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17FA5F">
      <w:pPr>
        <w:pStyle w:val="38"/>
        <w:rPr>
          <w:rFonts w:ascii="黑体" w:hAnsi="宋体" w:eastAsia="黑体" w:cs="黑体"/>
          <w:sz w:val="52"/>
          <w:szCs w:val="52"/>
          <w:lang w:bidi="ar"/>
        </w:rPr>
      </w:pPr>
      <w:bookmarkStart w:id="0" w:name="_Toc22064"/>
      <w:bookmarkStart w:id="1" w:name="_Toc3931"/>
    </w:p>
    <w:p w14:paraId="14340E49">
      <w:pPr>
        <w:pStyle w:val="38"/>
        <w:rPr>
          <w:rFonts w:ascii="黑体" w:hAnsi="宋体" w:eastAsia="黑体" w:cs="黑体"/>
          <w:sz w:val="52"/>
          <w:szCs w:val="52"/>
          <w:lang w:bidi="ar"/>
        </w:rPr>
      </w:pPr>
    </w:p>
    <w:p w14:paraId="6005CD1E">
      <w:pPr>
        <w:pStyle w:val="38"/>
        <w:rPr>
          <w:rFonts w:ascii="黑体" w:hAnsi="宋体" w:eastAsia="黑体" w:cs="黑体"/>
          <w:sz w:val="52"/>
          <w:szCs w:val="52"/>
          <w:lang w:bidi="ar"/>
        </w:rPr>
      </w:pPr>
    </w:p>
    <w:p w14:paraId="187CEE36">
      <w:pPr>
        <w:widowControl/>
        <w:jc w:val="center"/>
        <w:rPr>
          <w:sz w:val="24"/>
          <w:szCs w:val="32"/>
        </w:rPr>
      </w:pPr>
      <w:r>
        <w:rPr>
          <w:rFonts w:ascii="黑体" w:hAnsi="宋体" w:eastAsia="黑体" w:cs="黑体"/>
          <w:color w:val="000000"/>
          <w:kern w:val="0"/>
          <w:sz w:val="72"/>
          <w:szCs w:val="72"/>
          <w:lang w:bidi="ar"/>
        </w:rPr>
        <w:t>建设项目环境影响报告表</w:t>
      </w:r>
    </w:p>
    <w:p w14:paraId="0492F417">
      <w:pPr>
        <w:pStyle w:val="7"/>
        <w:ind w:firstLine="0" w:firstLineChars="0"/>
      </w:pPr>
    </w:p>
    <w:p w14:paraId="6712D851">
      <w:pPr>
        <w:pStyle w:val="21"/>
      </w:pPr>
    </w:p>
    <w:p w14:paraId="5FAD72E3"/>
    <w:p w14:paraId="2B035E72">
      <w:pPr>
        <w:pStyle w:val="38"/>
      </w:pPr>
    </w:p>
    <w:p w14:paraId="4FA60A2F">
      <w:pPr>
        <w:pStyle w:val="38"/>
      </w:pPr>
    </w:p>
    <w:p w14:paraId="524B9038">
      <w:pPr>
        <w:pStyle w:val="38"/>
      </w:pPr>
    </w:p>
    <w:p w14:paraId="7C87CC15">
      <w:pPr>
        <w:pStyle w:val="38"/>
      </w:pPr>
    </w:p>
    <w:p w14:paraId="26593402">
      <w:pPr>
        <w:pStyle w:val="38"/>
      </w:pPr>
    </w:p>
    <w:p w14:paraId="623BD75F">
      <w:pPr>
        <w:pStyle w:val="38"/>
        <w:spacing w:line="360" w:lineRule="auto"/>
      </w:pPr>
    </w:p>
    <w:p w14:paraId="2531D217">
      <w:pPr>
        <w:pStyle w:val="38"/>
        <w:spacing w:line="360" w:lineRule="auto"/>
      </w:pPr>
    </w:p>
    <w:p w14:paraId="405A8029">
      <w:pPr>
        <w:widowControl/>
        <w:spacing w:line="360" w:lineRule="auto"/>
        <w:jc w:val="left"/>
        <w:rPr>
          <w:rFonts w:hint="eastAsia" w:ascii="黑体" w:hAnsi="宋体" w:eastAsia="黑体" w:cs="黑体"/>
          <w:color w:val="000000"/>
          <w:kern w:val="0"/>
          <w:sz w:val="31"/>
          <w:szCs w:val="31"/>
          <w:lang w:bidi="ar"/>
        </w:rPr>
      </w:pPr>
      <w:r>
        <w:rPr>
          <w:rFonts w:ascii="黑体" w:hAnsi="宋体" w:eastAsia="黑体" w:cs="黑体"/>
          <w:color w:val="000000"/>
          <w:kern w:val="0"/>
          <w:sz w:val="31"/>
          <w:szCs w:val="31"/>
          <w:lang w:bidi="ar"/>
        </w:rPr>
        <w:t>项目名称</w:t>
      </w:r>
      <w:r>
        <w:rPr>
          <w:rFonts w:hint="eastAsia" w:ascii="黑体" w:hAnsi="宋体" w:eastAsia="黑体" w:cs="黑体"/>
          <w:color w:val="000000"/>
          <w:kern w:val="0"/>
          <w:sz w:val="31"/>
          <w:szCs w:val="31"/>
          <w:lang w:bidi="ar"/>
        </w:rPr>
        <w:t>：黑龙江鸡西鸡西</w:t>
      </w:r>
      <w:r>
        <w:rPr>
          <w:rFonts w:hint="default" w:ascii="Times New Roman" w:hAnsi="Times New Roman" w:eastAsia="黑体" w:cs="Times New Roman"/>
          <w:color w:val="000000"/>
          <w:kern w:val="0"/>
          <w:sz w:val="31"/>
          <w:szCs w:val="31"/>
          <w:lang w:bidi="ar"/>
        </w:rPr>
        <w:t>~</w:t>
      </w:r>
      <w:r>
        <w:rPr>
          <w:rFonts w:hint="eastAsia" w:ascii="黑体" w:hAnsi="宋体" w:eastAsia="黑体" w:cs="黑体"/>
          <w:color w:val="000000"/>
          <w:kern w:val="0"/>
          <w:sz w:val="31"/>
          <w:szCs w:val="31"/>
          <w:lang w:bidi="ar"/>
        </w:rPr>
        <w:t>恒山220kV线路工程</w:t>
      </w:r>
    </w:p>
    <w:p w14:paraId="1226D83B">
      <w:pPr>
        <w:widowControl/>
        <w:spacing w:line="360" w:lineRule="auto"/>
        <w:jc w:val="left"/>
      </w:pPr>
      <w:r>
        <w:rPr>
          <w:rFonts w:eastAsia="黑体"/>
          <w:color w:val="000000"/>
          <w:kern w:val="0"/>
          <w:sz w:val="31"/>
          <w:szCs w:val="31"/>
          <w:lang w:bidi="ar"/>
        </w:rPr>
        <w:t>建设单位（盖章）：国网黑龙江省电力有限公司</w:t>
      </w:r>
      <w:r>
        <w:rPr>
          <w:rFonts w:hint="eastAsia" w:eastAsia="黑体"/>
          <w:color w:val="000000"/>
          <w:kern w:val="0"/>
          <w:sz w:val="31"/>
          <w:szCs w:val="31"/>
          <w:lang w:val="en-US" w:eastAsia="zh-CN" w:bidi="ar"/>
        </w:rPr>
        <w:t>鸡西</w:t>
      </w:r>
      <w:r>
        <w:rPr>
          <w:rFonts w:eastAsia="黑体"/>
          <w:color w:val="000000"/>
          <w:kern w:val="0"/>
          <w:sz w:val="31"/>
          <w:szCs w:val="31"/>
          <w:lang w:bidi="ar"/>
        </w:rPr>
        <w:t>供电公司</w:t>
      </w:r>
    </w:p>
    <w:p w14:paraId="4F63A821">
      <w:pPr>
        <w:pStyle w:val="38"/>
        <w:rPr>
          <w:rFonts w:ascii="Times New Roman" w:cs="Times New Roman"/>
        </w:rPr>
      </w:pPr>
    </w:p>
    <w:p w14:paraId="4EDED6F0">
      <w:pPr>
        <w:pStyle w:val="38"/>
        <w:rPr>
          <w:rFonts w:ascii="Times New Roman" w:cs="Times New Roman"/>
        </w:rPr>
      </w:pPr>
    </w:p>
    <w:p w14:paraId="4BB4D01D">
      <w:pPr>
        <w:pStyle w:val="38"/>
        <w:rPr>
          <w:rFonts w:ascii="Times New Roman" w:cs="Times New Roman"/>
        </w:rPr>
      </w:pPr>
    </w:p>
    <w:p w14:paraId="58D64212">
      <w:pPr>
        <w:pStyle w:val="38"/>
        <w:rPr>
          <w:rFonts w:ascii="Times New Roman" w:cs="Times New Roman"/>
        </w:rPr>
      </w:pPr>
    </w:p>
    <w:p w14:paraId="4E508BC3">
      <w:pPr>
        <w:pStyle w:val="38"/>
        <w:rPr>
          <w:rFonts w:ascii="Times New Roman" w:cs="Times New Roman"/>
        </w:rPr>
      </w:pPr>
    </w:p>
    <w:p w14:paraId="3C2D3F24">
      <w:pPr>
        <w:pStyle w:val="38"/>
        <w:rPr>
          <w:rFonts w:ascii="Times New Roman" w:cs="Times New Roman"/>
        </w:rPr>
      </w:pPr>
    </w:p>
    <w:p w14:paraId="0228F753">
      <w:pPr>
        <w:pStyle w:val="38"/>
        <w:rPr>
          <w:rFonts w:ascii="Times New Roman" w:cs="Times New Roman"/>
        </w:rPr>
      </w:pPr>
    </w:p>
    <w:p w14:paraId="2F714BAC">
      <w:pPr>
        <w:pStyle w:val="38"/>
        <w:rPr>
          <w:rFonts w:ascii="Times New Roman" w:cs="Times New Roman"/>
        </w:rPr>
      </w:pPr>
    </w:p>
    <w:p w14:paraId="1334A536">
      <w:pPr>
        <w:pStyle w:val="38"/>
        <w:rPr>
          <w:rFonts w:ascii="Times New Roman" w:cs="Times New Roman"/>
        </w:rPr>
      </w:pPr>
    </w:p>
    <w:p w14:paraId="6BDFE812">
      <w:pPr>
        <w:pStyle w:val="38"/>
        <w:rPr>
          <w:rFonts w:ascii="Times New Roman" w:cs="Times New Roman"/>
        </w:rPr>
      </w:pPr>
    </w:p>
    <w:p w14:paraId="5AA3EF43">
      <w:pPr>
        <w:widowControl/>
        <w:ind w:firstLine="620" w:firstLineChars="200"/>
        <w:jc w:val="left"/>
        <w:rPr>
          <w:rFonts w:hint="default" w:eastAsia="黑体"/>
          <w:lang w:val="en-US" w:eastAsia="zh-CN"/>
        </w:rPr>
      </w:pPr>
      <w:r>
        <w:rPr>
          <w:rFonts w:eastAsia="黑体"/>
          <w:color w:val="000000"/>
          <w:kern w:val="0"/>
          <w:sz w:val="31"/>
          <w:szCs w:val="31"/>
          <w:lang w:bidi="ar"/>
        </w:rPr>
        <w:t>编 制 单 位 ：</w:t>
      </w:r>
      <w:r>
        <w:rPr>
          <w:rFonts w:hint="eastAsia" w:eastAsia="黑体"/>
          <w:color w:val="000000"/>
          <w:kern w:val="0"/>
          <w:sz w:val="31"/>
          <w:szCs w:val="31"/>
          <w:lang w:val="en-US" w:eastAsia="zh-CN" w:bidi="ar"/>
        </w:rPr>
        <w:t xml:space="preserve"> 盛创明（天津）环保科技有限公司</w:t>
      </w:r>
    </w:p>
    <w:p w14:paraId="53F22005">
      <w:pPr>
        <w:widowControl/>
        <w:ind w:firstLine="620" w:firstLineChars="200"/>
        <w:jc w:val="left"/>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rPr>
          <w:rFonts w:eastAsia="黑体"/>
          <w:color w:val="000000"/>
          <w:kern w:val="0"/>
          <w:sz w:val="31"/>
          <w:szCs w:val="31"/>
          <w:lang w:bidi="ar"/>
        </w:rPr>
        <w:t xml:space="preserve">编 制 日 期 ：          </w:t>
      </w:r>
      <w:r>
        <w:rPr>
          <w:rFonts w:hint="eastAsia" w:eastAsia="黑体"/>
          <w:color w:val="000000"/>
          <w:kern w:val="0"/>
          <w:sz w:val="31"/>
          <w:szCs w:val="31"/>
          <w:lang w:val="en-US" w:eastAsia="zh-CN" w:bidi="ar"/>
        </w:rPr>
        <w:t>2024</w:t>
      </w:r>
      <w:r>
        <w:rPr>
          <w:rFonts w:hint="eastAsia" w:eastAsia="黑体"/>
          <w:color w:val="000000"/>
          <w:kern w:val="0"/>
          <w:sz w:val="31"/>
          <w:szCs w:val="31"/>
          <w:lang w:bidi="ar"/>
        </w:rPr>
        <w:t>年</w:t>
      </w:r>
      <w:r>
        <w:rPr>
          <w:rFonts w:hint="eastAsia" w:eastAsia="黑体"/>
          <w:color w:val="000000"/>
          <w:kern w:val="0"/>
          <w:sz w:val="31"/>
          <w:szCs w:val="31"/>
          <w:lang w:val="en-US" w:eastAsia="zh-CN" w:bidi="ar"/>
        </w:rPr>
        <w:t>11</w:t>
      </w:r>
      <w:r>
        <w:rPr>
          <w:rFonts w:hint="eastAsia" w:eastAsia="黑体"/>
          <w:color w:val="000000"/>
          <w:kern w:val="0"/>
          <w:sz w:val="31"/>
          <w:szCs w:val="31"/>
          <w:lang w:bidi="ar"/>
        </w:rPr>
        <w:t>月</w:t>
      </w:r>
    </w:p>
    <w:p w14:paraId="5D0C08E9">
      <w:pPr>
        <w:spacing w:line="312" w:lineRule="auto"/>
        <w:jc w:val="center"/>
      </w:pPr>
      <w:r>
        <w:drawing>
          <wp:inline distT="0" distB="0" distL="114300" distR="114300">
            <wp:extent cx="5436235" cy="7620635"/>
            <wp:effectExtent l="0" t="0" r="12065" b="18415"/>
            <wp:docPr id="5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0"/>
                    <pic:cNvPicPr>
                      <a:picLocks noChangeAspect="1"/>
                    </pic:cNvPicPr>
                  </pic:nvPicPr>
                  <pic:blipFill>
                    <a:blip r:embed="rId9"/>
                    <a:stretch>
                      <a:fillRect/>
                    </a:stretch>
                  </pic:blipFill>
                  <pic:spPr>
                    <a:xfrm>
                      <a:off x="0" y="0"/>
                      <a:ext cx="5436235" cy="7620635"/>
                    </a:xfrm>
                    <a:prstGeom prst="rect">
                      <a:avLst/>
                    </a:prstGeom>
                    <a:noFill/>
                    <a:ln>
                      <a:noFill/>
                    </a:ln>
                  </pic:spPr>
                </pic:pic>
              </a:graphicData>
            </a:graphic>
          </wp:inline>
        </w:drawing>
      </w:r>
      <w:bookmarkStart w:id="82" w:name="_GoBack"/>
      <w:bookmarkEnd w:id="82"/>
    </w:p>
    <w:p w14:paraId="292C887E">
      <w:r>
        <w:br w:type="page"/>
      </w:r>
    </w:p>
    <w:p w14:paraId="22093FC8">
      <w:pPr>
        <w:spacing w:line="312" w:lineRule="auto"/>
        <w:jc w:val="center"/>
        <w:rPr>
          <w:rFonts w:ascii="Times New Roman" w:hAnsi="Times New Roman" w:eastAsia="宋体" w:cs="Times New Roman"/>
          <w:snapToGrid w:val="0"/>
          <w:kern w:val="2"/>
          <w:sz w:val="24"/>
          <w:szCs w:val="40"/>
          <w:lang w:val="en-US" w:eastAsia="zh-CN" w:bidi="ar-SA"/>
        </w:rPr>
      </w:pPr>
      <w:r>
        <w:rPr>
          <w:rFonts w:hint="eastAsia" w:ascii="宋体" w:hAnsi="宋体" w:eastAsia="宋体" w:cs="宋体"/>
          <w:snapToGrid w:val="0"/>
          <w:kern w:val="0"/>
          <w:sz w:val="30"/>
          <w:szCs w:val="30"/>
          <w:lang w:val="en-US" w:eastAsia="zh-CN" w:bidi="ar-SA"/>
        </w:rPr>
        <w:t xml:space="preserve">目 </w:t>
      </w:r>
      <w:r>
        <w:rPr>
          <w:rFonts w:hint="eastAsia" w:ascii="宋体" w:hAnsi="宋体" w:cs="宋体"/>
          <w:snapToGrid w:val="0"/>
          <w:kern w:val="0"/>
          <w:sz w:val="30"/>
          <w:szCs w:val="30"/>
          <w:lang w:val="en-US" w:eastAsia="zh-CN" w:bidi="ar-SA"/>
        </w:rPr>
        <w:t xml:space="preserve"> </w:t>
      </w:r>
      <w:r>
        <w:rPr>
          <w:rFonts w:hint="eastAsia" w:ascii="宋体" w:hAnsi="宋体" w:eastAsia="宋体" w:cs="宋体"/>
          <w:snapToGrid w:val="0"/>
          <w:kern w:val="0"/>
          <w:sz w:val="30"/>
          <w:szCs w:val="30"/>
          <w:lang w:val="en-US" w:eastAsia="zh-CN" w:bidi="ar-SA"/>
        </w:rPr>
        <w:t>录</w:t>
      </w:r>
      <w:r>
        <w:rPr>
          <w:sz w:val="24"/>
          <w:szCs w:val="32"/>
        </w:rPr>
        <w:fldChar w:fldCharType="begin"/>
      </w:r>
      <w:r>
        <w:rPr>
          <w:sz w:val="24"/>
          <w:szCs w:val="32"/>
        </w:rPr>
        <w:instrText xml:space="preserve"> TOC \o "1-1" \h \z \u </w:instrText>
      </w:r>
      <w:r>
        <w:rPr>
          <w:sz w:val="24"/>
          <w:szCs w:val="32"/>
        </w:rPr>
        <w:fldChar w:fldCharType="separate"/>
      </w:r>
    </w:p>
    <w:p w14:paraId="41120126">
      <w:pPr>
        <w:pStyle w:val="21"/>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ascii="Times New Roman" w:hAnsi="Times New Roman" w:eastAsia="宋体"/>
          <w:b w:val="0"/>
          <w:bCs w:val="0"/>
          <w:sz w:val="24"/>
          <w:szCs w:val="32"/>
        </w:rPr>
      </w:pP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HYPERLINK \l _Toc13045 </w:instrText>
      </w:r>
      <w:r>
        <w:rPr>
          <w:rFonts w:ascii="Times New Roman" w:hAnsi="Times New Roman" w:eastAsia="宋体"/>
          <w:b w:val="0"/>
          <w:bCs w:val="0"/>
          <w:sz w:val="24"/>
          <w:szCs w:val="32"/>
        </w:rPr>
        <w:fldChar w:fldCharType="separate"/>
      </w:r>
      <w:r>
        <w:rPr>
          <w:rFonts w:hint="eastAsia" w:ascii="Times New Roman" w:hAnsi="Times New Roman" w:eastAsia="宋体"/>
          <w:b w:val="0"/>
          <w:bCs w:val="0"/>
          <w:sz w:val="24"/>
          <w:szCs w:val="32"/>
        </w:rPr>
        <w:t>一、建设项目基本情况</w:t>
      </w:r>
      <w:r>
        <w:rPr>
          <w:rFonts w:ascii="Times New Roman" w:hAnsi="Times New Roman" w:eastAsia="宋体"/>
          <w:b w:val="0"/>
          <w:bCs w:val="0"/>
          <w:sz w:val="24"/>
          <w:szCs w:val="32"/>
        </w:rPr>
        <w:tab/>
      </w: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PAGEREF _Toc13045 \h </w:instrText>
      </w:r>
      <w:r>
        <w:rPr>
          <w:rFonts w:ascii="Times New Roman" w:hAnsi="Times New Roman" w:eastAsia="宋体"/>
          <w:b w:val="0"/>
          <w:bCs w:val="0"/>
          <w:sz w:val="24"/>
          <w:szCs w:val="32"/>
        </w:rPr>
        <w:fldChar w:fldCharType="separate"/>
      </w:r>
      <w:r>
        <w:rPr>
          <w:rFonts w:ascii="Times New Roman" w:hAnsi="Times New Roman" w:eastAsia="宋体"/>
          <w:b w:val="0"/>
          <w:bCs w:val="0"/>
          <w:sz w:val="24"/>
          <w:szCs w:val="32"/>
        </w:rPr>
        <w:t>1</w:t>
      </w:r>
      <w:r>
        <w:rPr>
          <w:rFonts w:ascii="Times New Roman" w:hAnsi="Times New Roman" w:eastAsia="宋体"/>
          <w:b w:val="0"/>
          <w:bCs w:val="0"/>
          <w:sz w:val="24"/>
          <w:szCs w:val="32"/>
        </w:rPr>
        <w:fldChar w:fldCharType="end"/>
      </w:r>
      <w:r>
        <w:rPr>
          <w:rFonts w:ascii="Times New Roman" w:hAnsi="Times New Roman" w:eastAsia="宋体"/>
          <w:b w:val="0"/>
          <w:bCs w:val="0"/>
          <w:sz w:val="24"/>
          <w:szCs w:val="32"/>
        </w:rPr>
        <w:fldChar w:fldCharType="end"/>
      </w:r>
    </w:p>
    <w:p w14:paraId="4E972439">
      <w:pPr>
        <w:pStyle w:val="21"/>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ascii="Times New Roman" w:hAnsi="Times New Roman" w:eastAsia="宋体"/>
          <w:b w:val="0"/>
          <w:bCs w:val="0"/>
          <w:sz w:val="24"/>
          <w:szCs w:val="32"/>
        </w:rPr>
      </w:pP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HYPERLINK \l _Toc12061 </w:instrText>
      </w:r>
      <w:r>
        <w:rPr>
          <w:rFonts w:ascii="Times New Roman" w:hAnsi="Times New Roman" w:eastAsia="宋体"/>
          <w:b w:val="0"/>
          <w:bCs w:val="0"/>
          <w:sz w:val="24"/>
          <w:szCs w:val="32"/>
        </w:rPr>
        <w:fldChar w:fldCharType="separate"/>
      </w:r>
      <w:r>
        <w:rPr>
          <w:rFonts w:hint="eastAsia" w:ascii="Times New Roman" w:hAnsi="Times New Roman" w:eastAsia="宋体"/>
          <w:b w:val="0"/>
          <w:bCs w:val="0"/>
          <w:sz w:val="24"/>
          <w:szCs w:val="32"/>
        </w:rPr>
        <w:t>二、建设内容</w:t>
      </w:r>
      <w:r>
        <w:rPr>
          <w:rFonts w:ascii="Times New Roman" w:hAnsi="Times New Roman" w:eastAsia="宋体"/>
          <w:b w:val="0"/>
          <w:bCs w:val="0"/>
          <w:sz w:val="24"/>
          <w:szCs w:val="32"/>
        </w:rPr>
        <w:tab/>
      </w: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PAGEREF _Toc12061 \h </w:instrText>
      </w:r>
      <w:r>
        <w:rPr>
          <w:rFonts w:ascii="Times New Roman" w:hAnsi="Times New Roman" w:eastAsia="宋体"/>
          <w:b w:val="0"/>
          <w:bCs w:val="0"/>
          <w:sz w:val="24"/>
          <w:szCs w:val="32"/>
        </w:rPr>
        <w:fldChar w:fldCharType="separate"/>
      </w:r>
      <w:r>
        <w:rPr>
          <w:rFonts w:ascii="Times New Roman" w:hAnsi="Times New Roman" w:eastAsia="宋体"/>
          <w:b w:val="0"/>
          <w:bCs w:val="0"/>
          <w:sz w:val="24"/>
          <w:szCs w:val="32"/>
        </w:rPr>
        <w:t>28</w:t>
      </w:r>
      <w:r>
        <w:rPr>
          <w:rFonts w:ascii="Times New Roman" w:hAnsi="Times New Roman" w:eastAsia="宋体"/>
          <w:b w:val="0"/>
          <w:bCs w:val="0"/>
          <w:sz w:val="24"/>
          <w:szCs w:val="32"/>
        </w:rPr>
        <w:fldChar w:fldCharType="end"/>
      </w:r>
      <w:r>
        <w:rPr>
          <w:rFonts w:ascii="Times New Roman" w:hAnsi="Times New Roman" w:eastAsia="宋体"/>
          <w:b w:val="0"/>
          <w:bCs w:val="0"/>
          <w:sz w:val="24"/>
          <w:szCs w:val="32"/>
        </w:rPr>
        <w:fldChar w:fldCharType="end"/>
      </w:r>
    </w:p>
    <w:p w14:paraId="3F44B04C">
      <w:pPr>
        <w:pStyle w:val="21"/>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ascii="Times New Roman" w:hAnsi="Times New Roman" w:eastAsia="宋体"/>
          <w:b w:val="0"/>
          <w:bCs w:val="0"/>
          <w:sz w:val="24"/>
          <w:szCs w:val="32"/>
        </w:rPr>
      </w:pP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HYPERLINK \l _Toc20620 </w:instrText>
      </w:r>
      <w:r>
        <w:rPr>
          <w:rFonts w:ascii="Times New Roman" w:hAnsi="Times New Roman" w:eastAsia="宋体"/>
          <w:b w:val="0"/>
          <w:bCs w:val="0"/>
          <w:sz w:val="24"/>
          <w:szCs w:val="32"/>
        </w:rPr>
        <w:fldChar w:fldCharType="separate"/>
      </w:r>
      <w:r>
        <w:rPr>
          <w:rFonts w:hint="eastAsia" w:ascii="Times New Roman" w:hAnsi="Times New Roman" w:eastAsia="宋体"/>
          <w:b w:val="0"/>
          <w:bCs w:val="0"/>
          <w:sz w:val="24"/>
          <w:szCs w:val="32"/>
        </w:rPr>
        <w:t>三、生态环境现状、保护目标及评价标准</w:t>
      </w:r>
      <w:r>
        <w:rPr>
          <w:rFonts w:ascii="Times New Roman" w:hAnsi="Times New Roman" w:eastAsia="宋体"/>
          <w:b w:val="0"/>
          <w:bCs w:val="0"/>
          <w:sz w:val="24"/>
          <w:szCs w:val="32"/>
        </w:rPr>
        <w:tab/>
      </w: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PAGEREF _Toc20620 \h </w:instrText>
      </w:r>
      <w:r>
        <w:rPr>
          <w:rFonts w:ascii="Times New Roman" w:hAnsi="Times New Roman" w:eastAsia="宋体"/>
          <w:b w:val="0"/>
          <w:bCs w:val="0"/>
          <w:sz w:val="24"/>
          <w:szCs w:val="32"/>
        </w:rPr>
        <w:fldChar w:fldCharType="separate"/>
      </w:r>
      <w:r>
        <w:rPr>
          <w:rFonts w:ascii="Times New Roman" w:hAnsi="Times New Roman" w:eastAsia="宋体"/>
          <w:b w:val="0"/>
          <w:bCs w:val="0"/>
          <w:sz w:val="24"/>
          <w:szCs w:val="32"/>
        </w:rPr>
        <w:t>42</w:t>
      </w:r>
      <w:r>
        <w:rPr>
          <w:rFonts w:ascii="Times New Roman" w:hAnsi="Times New Roman" w:eastAsia="宋体"/>
          <w:b w:val="0"/>
          <w:bCs w:val="0"/>
          <w:sz w:val="24"/>
          <w:szCs w:val="32"/>
        </w:rPr>
        <w:fldChar w:fldCharType="end"/>
      </w:r>
      <w:r>
        <w:rPr>
          <w:rFonts w:ascii="Times New Roman" w:hAnsi="Times New Roman" w:eastAsia="宋体"/>
          <w:b w:val="0"/>
          <w:bCs w:val="0"/>
          <w:sz w:val="24"/>
          <w:szCs w:val="32"/>
        </w:rPr>
        <w:fldChar w:fldCharType="end"/>
      </w:r>
    </w:p>
    <w:p w14:paraId="1F015F7A">
      <w:pPr>
        <w:pStyle w:val="21"/>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ascii="Times New Roman" w:hAnsi="Times New Roman" w:eastAsia="宋体"/>
          <w:b w:val="0"/>
          <w:bCs w:val="0"/>
          <w:sz w:val="24"/>
          <w:szCs w:val="32"/>
        </w:rPr>
      </w:pP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HYPERLINK \l _Toc7184 </w:instrText>
      </w:r>
      <w:r>
        <w:rPr>
          <w:rFonts w:ascii="Times New Roman" w:hAnsi="Times New Roman" w:eastAsia="宋体"/>
          <w:b w:val="0"/>
          <w:bCs w:val="0"/>
          <w:sz w:val="24"/>
          <w:szCs w:val="32"/>
        </w:rPr>
        <w:fldChar w:fldCharType="separate"/>
      </w:r>
      <w:r>
        <w:rPr>
          <w:rFonts w:hint="eastAsia" w:ascii="Times New Roman" w:hAnsi="Times New Roman" w:eastAsia="宋体"/>
          <w:b w:val="0"/>
          <w:bCs w:val="0"/>
          <w:sz w:val="24"/>
          <w:szCs w:val="32"/>
        </w:rPr>
        <w:t>四、生态环境影响分析</w:t>
      </w:r>
      <w:r>
        <w:rPr>
          <w:rFonts w:ascii="Times New Roman" w:hAnsi="Times New Roman" w:eastAsia="宋体"/>
          <w:b w:val="0"/>
          <w:bCs w:val="0"/>
          <w:sz w:val="24"/>
          <w:szCs w:val="32"/>
        </w:rPr>
        <w:tab/>
      </w: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PAGEREF _Toc7184 \h </w:instrText>
      </w:r>
      <w:r>
        <w:rPr>
          <w:rFonts w:ascii="Times New Roman" w:hAnsi="Times New Roman" w:eastAsia="宋体"/>
          <w:b w:val="0"/>
          <w:bCs w:val="0"/>
          <w:sz w:val="24"/>
          <w:szCs w:val="32"/>
        </w:rPr>
        <w:fldChar w:fldCharType="separate"/>
      </w:r>
      <w:r>
        <w:rPr>
          <w:rFonts w:ascii="Times New Roman" w:hAnsi="Times New Roman" w:eastAsia="宋体"/>
          <w:b w:val="0"/>
          <w:bCs w:val="0"/>
          <w:sz w:val="24"/>
          <w:szCs w:val="32"/>
        </w:rPr>
        <w:t>58</w:t>
      </w:r>
      <w:r>
        <w:rPr>
          <w:rFonts w:ascii="Times New Roman" w:hAnsi="Times New Roman" w:eastAsia="宋体"/>
          <w:b w:val="0"/>
          <w:bCs w:val="0"/>
          <w:sz w:val="24"/>
          <w:szCs w:val="32"/>
        </w:rPr>
        <w:fldChar w:fldCharType="end"/>
      </w:r>
      <w:r>
        <w:rPr>
          <w:rFonts w:ascii="Times New Roman" w:hAnsi="Times New Roman" w:eastAsia="宋体"/>
          <w:b w:val="0"/>
          <w:bCs w:val="0"/>
          <w:sz w:val="24"/>
          <w:szCs w:val="32"/>
        </w:rPr>
        <w:fldChar w:fldCharType="end"/>
      </w:r>
    </w:p>
    <w:p w14:paraId="203BC52A">
      <w:pPr>
        <w:pStyle w:val="21"/>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ascii="Times New Roman" w:hAnsi="Times New Roman" w:eastAsia="宋体"/>
          <w:b w:val="0"/>
          <w:bCs w:val="0"/>
          <w:sz w:val="24"/>
          <w:szCs w:val="32"/>
        </w:rPr>
      </w:pP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HYPERLINK \l _Toc18317 </w:instrText>
      </w:r>
      <w:r>
        <w:rPr>
          <w:rFonts w:ascii="Times New Roman" w:hAnsi="Times New Roman" w:eastAsia="宋体"/>
          <w:b w:val="0"/>
          <w:bCs w:val="0"/>
          <w:sz w:val="24"/>
          <w:szCs w:val="32"/>
        </w:rPr>
        <w:fldChar w:fldCharType="separate"/>
      </w:r>
      <w:r>
        <w:rPr>
          <w:rFonts w:hint="eastAsia" w:ascii="Times New Roman" w:hAnsi="Times New Roman" w:eastAsia="宋体"/>
          <w:b w:val="0"/>
          <w:bCs w:val="0"/>
          <w:sz w:val="24"/>
          <w:szCs w:val="32"/>
        </w:rPr>
        <w:t>五、主要生态环境保护措施</w:t>
      </w:r>
      <w:r>
        <w:rPr>
          <w:rFonts w:ascii="Times New Roman" w:hAnsi="Times New Roman" w:eastAsia="宋体"/>
          <w:b w:val="0"/>
          <w:bCs w:val="0"/>
          <w:sz w:val="24"/>
          <w:szCs w:val="32"/>
        </w:rPr>
        <w:tab/>
      </w: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PAGEREF _Toc18317 \h </w:instrText>
      </w:r>
      <w:r>
        <w:rPr>
          <w:rFonts w:ascii="Times New Roman" w:hAnsi="Times New Roman" w:eastAsia="宋体"/>
          <w:b w:val="0"/>
          <w:bCs w:val="0"/>
          <w:sz w:val="24"/>
          <w:szCs w:val="32"/>
        </w:rPr>
        <w:fldChar w:fldCharType="separate"/>
      </w:r>
      <w:r>
        <w:rPr>
          <w:rFonts w:ascii="Times New Roman" w:hAnsi="Times New Roman" w:eastAsia="宋体"/>
          <w:b w:val="0"/>
          <w:bCs w:val="0"/>
          <w:sz w:val="24"/>
          <w:szCs w:val="32"/>
        </w:rPr>
        <w:t>70</w:t>
      </w:r>
      <w:r>
        <w:rPr>
          <w:rFonts w:ascii="Times New Roman" w:hAnsi="Times New Roman" w:eastAsia="宋体"/>
          <w:b w:val="0"/>
          <w:bCs w:val="0"/>
          <w:sz w:val="24"/>
          <w:szCs w:val="32"/>
        </w:rPr>
        <w:fldChar w:fldCharType="end"/>
      </w:r>
      <w:r>
        <w:rPr>
          <w:rFonts w:ascii="Times New Roman" w:hAnsi="Times New Roman" w:eastAsia="宋体"/>
          <w:b w:val="0"/>
          <w:bCs w:val="0"/>
          <w:sz w:val="24"/>
          <w:szCs w:val="32"/>
        </w:rPr>
        <w:fldChar w:fldCharType="end"/>
      </w:r>
    </w:p>
    <w:p w14:paraId="1AFD31AE">
      <w:pPr>
        <w:pStyle w:val="21"/>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ascii="Times New Roman" w:hAnsi="Times New Roman" w:eastAsia="宋体"/>
          <w:b w:val="0"/>
          <w:bCs w:val="0"/>
          <w:sz w:val="24"/>
          <w:szCs w:val="32"/>
        </w:rPr>
      </w:pP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HYPERLINK \l _Toc11757 </w:instrText>
      </w:r>
      <w:r>
        <w:rPr>
          <w:rFonts w:ascii="Times New Roman" w:hAnsi="Times New Roman" w:eastAsia="宋体"/>
          <w:b w:val="0"/>
          <w:bCs w:val="0"/>
          <w:sz w:val="24"/>
          <w:szCs w:val="32"/>
        </w:rPr>
        <w:fldChar w:fldCharType="separate"/>
      </w:r>
      <w:r>
        <w:rPr>
          <w:rFonts w:hint="eastAsia" w:ascii="Times New Roman" w:hAnsi="Times New Roman" w:eastAsia="宋体"/>
          <w:b w:val="0"/>
          <w:bCs w:val="0"/>
          <w:sz w:val="24"/>
          <w:szCs w:val="32"/>
        </w:rPr>
        <w:t>六、生态环境保护措施监督检查清单</w:t>
      </w:r>
      <w:r>
        <w:rPr>
          <w:rFonts w:ascii="Times New Roman" w:hAnsi="Times New Roman" w:eastAsia="宋体"/>
          <w:b w:val="0"/>
          <w:bCs w:val="0"/>
          <w:sz w:val="24"/>
          <w:szCs w:val="32"/>
        </w:rPr>
        <w:tab/>
      </w: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PAGEREF _Toc11757 \h </w:instrText>
      </w:r>
      <w:r>
        <w:rPr>
          <w:rFonts w:ascii="Times New Roman" w:hAnsi="Times New Roman" w:eastAsia="宋体"/>
          <w:b w:val="0"/>
          <w:bCs w:val="0"/>
          <w:sz w:val="24"/>
          <w:szCs w:val="32"/>
        </w:rPr>
        <w:fldChar w:fldCharType="separate"/>
      </w:r>
      <w:r>
        <w:rPr>
          <w:rFonts w:ascii="Times New Roman" w:hAnsi="Times New Roman" w:eastAsia="宋体"/>
          <w:b w:val="0"/>
          <w:bCs w:val="0"/>
          <w:sz w:val="24"/>
          <w:szCs w:val="32"/>
        </w:rPr>
        <w:t>81</w:t>
      </w:r>
      <w:r>
        <w:rPr>
          <w:rFonts w:ascii="Times New Roman" w:hAnsi="Times New Roman" w:eastAsia="宋体"/>
          <w:b w:val="0"/>
          <w:bCs w:val="0"/>
          <w:sz w:val="24"/>
          <w:szCs w:val="32"/>
        </w:rPr>
        <w:fldChar w:fldCharType="end"/>
      </w:r>
      <w:r>
        <w:rPr>
          <w:rFonts w:ascii="Times New Roman" w:hAnsi="Times New Roman" w:eastAsia="宋体"/>
          <w:b w:val="0"/>
          <w:bCs w:val="0"/>
          <w:sz w:val="24"/>
          <w:szCs w:val="32"/>
        </w:rPr>
        <w:fldChar w:fldCharType="end"/>
      </w:r>
    </w:p>
    <w:p w14:paraId="5429A0B0">
      <w:pPr>
        <w:pStyle w:val="21"/>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ascii="Times New Roman" w:hAnsi="Times New Roman" w:eastAsia="宋体"/>
          <w:b w:val="0"/>
          <w:bCs w:val="0"/>
          <w:sz w:val="24"/>
          <w:szCs w:val="32"/>
        </w:rPr>
      </w:pP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HYPERLINK \l _Toc18293 </w:instrText>
      </w:r>
      <w:r>
        <w:rPr>
          <w:rFonts w:ascii="Times New Roman" w:hAnsi="Times New Roman" w:eastAsia="宋体"/>
          <w:b w:val="0"/>
          <w:bCs w:val="0"/>
          <w:sz w:val="24"/>
          <w:szCs w:val="32"/>
        </w:rPr>
        <w:fldChar w:fldCharType="separate"/>
      </w:r>
      <w:r>
        <w:rPr>
          <w:rFonts w:hint="eastAsia" w:ascii="Times New Roman" w:hAnsi="Times New Roman" w:eastAsia="宋体"/>
          <w:b w:val="0"/>
          <w:bCs w:val="0"/>
          <w:sz w:val="24"/>
          <w:szCs w:val="32"/>
        </w:rPr>
        <w:t>七、结论</w:t>
      </w:r>
      <w:r>
        <w:rPr>
          <w:rFonts w:ascii="Times New Roman" w:hAnsi="Times New Roman" w:eastAsia="宋体"/>
          <w:b w:val="0"/>
          <w:bCs w:val="0"/>
          <w:sz w:val="24"/>
          <w:szCs w:val="32"/>
        </w:rPr>
        <w:tab/>
      </w: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PAGEREF _Toc18293 \h </w:instrText>
      </w:r>
      <w:r>
        <w:rPr>
          <w:rFonts w:ascii="Times New Roman" w:hAnsi="Times New Roman" w:eastAsia="宋体"/>
          <w:b w:val="0"/>
          <w:bCs w:val="0"/>
          <w:sz w:val="24"/>
          <w:szCs w:val="32"/>
        </w:rPr>
        <w:fldChar w:fldCharType="separate"/>
      </w:r>
      <w:r>
        <w:rPr>
          <w:rFonts w:ascii="Times New Roman" w:hAnsi="Times New Roman" w:eastAsia="宋体"/>
          <w:b w:val="0"/>
          <w:bCs w:val="0"/>
          <w:sz w:val="24"/>
          <w:szCs w:val="32"/>
        </w:rPr>
        <w:t>84</w:t>
      </w:r>
      <w:r>
        <w:rPr>
          <w:rFonts w:ascii="Times New Roman" w:hAnsi="Times New Roman" w:eastAsia="宋体"/>
          <w:b w:val="0"/>
          <w:bCs w:val="0"/>
          <w:sz w:val="24"/>
          <w:szCs w:val="32"/>
        </w:rPr>
        <w:fldChar w:fldCharType="end"/>
      </w:r>
      <w:r>
        <w:rPr>
          <w:rFonts w:ascii="Times New Roman" w:hAnsi="Times New Roman" w:eastAsia="宋体"/>
          <w:b w:val="0"/>
          <w:bCs w:val="0"/>
          <w:sz w:val="24"/>
          <w:szCs w:val="32"/>
        </w:rPr>
        <w:fldChar w:fldCharType="end"/>
      </w:r>
    </w:p>
    <w:p w14:paraId="2FCEFFCA">
      <w:pPr>
        <w:pStyle w:val="21"/>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ascii="Times New Roman" w:hAnsi="Times New Roman" w:eastAsia="宋体"/>
          <w:b w:val="0"/>
          <w:bCs w:val="0"/>
          <w:sz w:val="24"/>
          <w:szCs w:val="32"/>
        </w:rPr>
      </w:pP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HYPERLINK \l _Toc16213 </w:instrText>
      </w:r>
      <w:r>
        <w:rPr>
          <w:rFonts w:ascii="Times New Roman" w:hAnsi="Times New Roman" w:eastAsia="宋体"/>
          <w:b w:val="0"/>
          <w:bCs w:val="0"/>
          <w:sz w:val="24"/>
          <w:szCs w:val="32"/>
        </w:rPr>
        <w:fldChar w:fldCharType="separate"/>
      </w:r>
      <w:r>
        <w:rPr>
          <w:rFonts w:hint="eastAsia" w:ascii="Times New Roman" w:hAnsi="Times New Roman" w:eastAsia="宋体"/>
          <w:b w:val="0"/>
          <w:bCs w:val="0"/>
          <w:sz w:val="24"/>
          <w:szCs w:val="32"/>
        </w:rPr>
        <w:t>专题1 电磁环境影响专题评价</w:t>
      </w:r>
      <w:r>
        <w:rPr>
          <w:rFonts w:ascii="Times New Roman" w:hAnsi="Times New Roman" w:eastAsia="宋体"/>
          <w:b w:val="0"/>
          <w:bCs w:val="0"/>
          <w:sz w:val="24"/>
          <w:szCs w:val="32"/>
        </w:rPr>
        <w:tab/>
      </w:r>
      <w:r>
        <w:rPr>
          <w:rFonts w:ascii="Times New Roman" w:hAnsi="Times New Roman" w:eastAsia="宋体"/>
          <w:b w:val="0"/>
          <w:bCs w:val="0"/>
          <w:sz w:val="24"/>
          <w:szCs w:val="32"/>
        </w:rPr>
        <w:fldChar w:fldCharType="begin"/>
      </w:r>
      <w:r>
        <w:rPr>
          <w:rFonts w:ascii="Times New Roman" w:hAnsi="Times New Roman" w:eastAsia="宋体"/>
          <w:b w:val="0"/>
          <w:bCs w:val="0"/>
          <w:sz w:val="24"/>
          <w:szCs w:val="32"/>
        </w:rPr>
        <w:instrText xml:space="preserve"> PAGEREF _Toc16213 \h </w:instrText>
      </w:r>
      <w:r>
        <w:rPr>
          <w:rFonts w:ascii="Times New Roman" w:hAnsi="Times New Roman" w:eastAsia="宋体"/>
          <w:b w:val="0"/>
          <w:bCs w:val="0"/>
          <w:sz w:val="24"/>
          <w:szCs w:val="32"/>
        </w:rPr>
        <w:fldChar w:fldCharType="separate"/>
      </w:r>
      <w:r>
        <w:rPr>
          <w:rFonts w:ascii="Times New Roman" w:hAnsi="Times New Roman" w:eastAsia="宋体"/>
          <w:b w:val="0"/>
          <w:bCs w:val="0"/>
          <w:sz w:val="24"/>
          <w:szCs w:val="32"/>
        </w:rPr>
        <w:t>85</w:t>
      </w:r>
      <w:r>
        <w:rPr>
          <w:rFonts w:ascii="Times New Roman" w:hAnsi="Times New Roman" w:eastAsia="宋体"/>
          <w:b w:val="0"/>
          <w:bCs w:val="0"/>
          <w:sz w:val="24"/>
          <w:szCs w:val="32"/>
        </w:rPr>
        <w:fldChar w:fldCharType="end"/>
      </w:r>
      <w:r>
        <w:rPr>
          <w:rFonts w:ascii="Times New Roman" w:hAnsi="Times New Roman" w:eastAsia="宋体"/>
          <w:b w:val="0"/>
          <w:bCs w:val="0"/>
          <w:sz w:val="24"/>
          <w:szCs w:val="32"/>
        </w:rPr>
        <w:fldChar w:fldCharType="end"/>
      </w:r>
    </w:p>
    <w:p w14:paraId="17DBAFC9"/>
    <w:p w14:paraId="19BD5355">
      <w:pPr>
        <w:pStyle w:val="14"/>
        <w:rPr>
          <w:rFonts w:hint="eastAsia"/>
          <w:lang w:val="en-US" w:eastAsia="zh-CN"/>
        </w:rPr>
      </w:pPr>
    </w:p>
    <w:p w14:paraId="739DE191">
      <w:pPr>
        <w:pStyle w:val="14"/>
        <w:rPr>
          <w:rFonts w:hint="eastAsia"/>
          <w:lang w:val="en-US" w:eastAsia="zh-CN"/>
        </w:rPr>
      </w:pPr>
    </w:p>
    <w:p w14:paraId="24F68D30">
      <w:pPr>
        <w:pStyle w:val="42"/>
        <w:spacing w:line="360" w:lineRule="auto"/>
        <w:jc w:val="center"/>
        <w:rPr>
          <w:snapToGrid w:val="0"/>
          <w:sz w:val="24"/>
          <w:szCs w:val="40"/>
        </w:rPr>
      </w:pPr>
      <w:r>
        <w:rPr>
          <w:snapToGrid w:val="0"/>
          <w:sz w:val="24"/>
          <w:szCs w:val="40"/>
        </w:rPr>
        <w:fldChar w:fldCharType="end"/>
      </w:r>
    </w:p>
    <w:p w14:paraId="043D0AF8">
      <w:pPr>
        <w:pStyle w:val="7"/>
        <w:ind w:firstLine="0" w:firstLineChars="0"/>
        <w:rPr>
          <w:rFonts w:hint="eastAsia" w:ascii="黑体" w:hAnsi="黑体" w:eastAsia="黑体"/>
          <w:snapToGrid w:val="0"/>
          <w:sz w:val="30"/>
          <w:szCs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720" w:num="1"/>
          <w:docGrid w:linePitch="312" w:charSpace="0"/>
        </w:sectPr>
      </w:pPr>
    </w:p>
    <w:p w14:paraId="49672F49">
      <w:pPr>
        <w:pStyle w:val="25"/>
        <w:jc w:val="center"/>
        <w:outlineLvl w:val="0"/>
        <w:rPr>
          <w:rFonts w:ascii="黑体" w:hAnsi="黑体" w:eastAsia="黑体"/>
          <w:snapToGrid w:val="0"/>
          <w:sz w:val="30"/>
          <w:szCs w:val="30"/>
        </w:rPr>
      </w:pPr>
      <w:bookmarkStart w:id="2" w:name="_Toc13045"/>
      <w:r>
        <w:rPr>
          <w:rFonts w:hint="eastAsia" w:ascii="黑体" w:hAnsi="黑体" w:eastAsia="黑体"/>
          <w:snapToGrid w:val="0"/>
          <w:sz w:val="30"/>
          <w:szCs w:val="30"/>
        </w:rPr>
        <w:t>一、建设项目基本情况</w:t>
      </w:r>
      <w:bookmarkEnd w:id="0"/>
      <w:bookmarkEnd w:id="1"/>
      <w:bookmarkEnd w:id="2"/>
    </w:p>
    <w:tbl>
      <w:tblPr>
        <w:tblStyle w:val="30"/>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879"/>
        <w:gridCol w:w="2282"/>
        <w:gridCol w:w="1866"/>
        <w:gridCol w:w="3012"/>
      </w:tblGrid>
      <w:tr w14:paraId="5EF523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79" w:type="dxa"/>
            <w:tcMar>
              <w:top w:w="16" w:type="dxa"/>
              <w:left w:w="16" w:type="dxa"/>
              <w:right w:w="16" w:type="dxa"/>
            </w:tcMar>
            <w:vAlign w:val="center"/>
          </w:tcPr>
          <w:p w14:paraId="17B90470">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建设项目名称</w:t>
            </w:r>
          </w:p>
        </w:tc>
        <w:tc>
          <w:tcPr>
            <w:tcW w:w="7160" w:type="dxa"/>
            <w:gridSpan w:val="3"/>
            <w:vAlign w:val="center"/>
          </w:tcPr>
          <w:p w14:paraId="70C50E81">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黑龙江鸡西鸡西~恒山220kV线路工程</w:t>
            </w:r>
          </w:p>
        </w:tc>
      </w:tr>
      <w:tr w14:paraId="5B00F1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79" w:type="dxa"/>
            <w:tcMar>
              <w:top w:w="16" w:type="dxa"/>
              <w:left w:w="16" w:type="dxa"/>
              <w:right w:w="16" w:type="dxa"/>
            </w:tcMar>
            <w:vAlign w:val="center"/>
          </w:tcPr>
          <w:p w14:paraId="18CC5BE0">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项目代码</w:t>
            </w:r>
          </w:p>
        </w:tc>
        <w:tc>
          <w:tcPr>
            <w:tcW w:w="7160" w:type="dxa"/>
            <w:gridSpan w:val="3"/>
            <w:vAlign w:val="center"/>
          </w:tcPr>
          <w:p w14:paraId="7CDE730E">
            <w:pPr>
              <w:keepNext w:val="0"/>
              <w:keepLines w:val="0"/>
              <w:suppressLineNumbers w:val="0"/>
              <w:adjustRightInd w:val="0"/>
              <w:snapToGrid w:val="0"/>
              <w:spacing w:before="0" w:beforeAutospacing="0" w:after="0" w:afterAutospacing="0"/>
              <w:ind w:left="0" w:right="0"/>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w:t>
            </w:r>
          </w:p>
        </w:tc>
      </w:tr>
      <w:tr w14:paraId="576901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79" w:type="dxa"/>
            <w:tcMar>
              <w:top w:w="16" w:type="dxa"/>
              <w:left w:w="16" w:type="dxa"/>
              <w:right w:w="16" w:type="dxa"/>
            </w:tcMar>
            <w:vAlign w:val="center"/>
          </w:tcPr>
          <w:p w14:paraId="10D2496E">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建设单位联系人</w:t>
            </w:r>
          </w:p>
        </w:tc>
        <w:tc>
          <w:tcPr>
            <w:tcW w:w="2282" w:type="dxa"/>
            <w:vAlign w:val="center"/>
          </w:tcPr>
          <w:p w14:paraId="3F8A5636">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李兴达</w:t>
            </w:r>
          </w:p>
        </w:tc>
        <w:tc>
          <w:tcPr>
            <w:tcW w:w="1866" w:type="dxa"/>
            <w:vAlign w:val="center"/>
          </w:tcPr>
          <w:p w14:paraId="6277EF9E">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联系方式</w:t>
            </w:r>
          </w:p>
        </w:tc>
        <w:tc>
          <w:tcPr>
            <w:tcW w:w="3012" w:type="dxa"/>
            <w:vAlign w:val="center"/>
          </w:tcPr>
          <w:p w14:paraId="36DA7DB8">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4"/>
                <w:lang w:val="en-US" w:eastAsia="zh-CN"/>
                <w14:textFill>
                  <w14:solidFill>
                    <w14:schemeClr w14:val="tx1"/>
                  </w14:solidFill>
                </w14:textFill>
              </w:rPr>
            </w:pPr>
            <w:r>
              <w:rPr>
                <w:rFonts w:hint="default"/>
                <w:color w:val="000000" w:themeColor="text1"/>
                <w:sz w:val="24"/>
                <w14:textFill>
                  <w14:solidFill>
                    <w14:schemeClr w14:val="tx1"/>
                  </w14:solidFill>
                </w14:textFill>
              </w:rPr>
              <w:t>13303679708</w:t>
            </w:r>
          </w:p>
        </w:tc>
      </w:tr>
      <w:tr w14:paraId="2EC3E0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79" w:type="dxa"/>
            <w:tcMar>
              <w:top w:w="16" w:type="dxa"/>
              <w:left w:w="16" w:type="dxa"/>
              <w:right w:w="16" w:type="dxa"/>
            </w:tcMar>
            <w:vAlign w:val="center"/>
          </w:tcPr>
          <w:p w14:paraId="59EA7254">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建设地点</w:t>
            </w:r>
          </w:p>
        </w:tc>
        <w:tc>
          <w:tcPr>
            <w:tcW w:w="7160" w:type="dxa"/>
            <w:gridSpan w:val="3"/>
            <w:vAlign w:val="center"/>
          </w:tcPr>
          <w:p w14:paraId="2A750EA3">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4"/>
                <w:lang w:val="en-US" w:eastAsia="zh-CN"/>
                <w14:textFill>
                  <w14:solidFill>
                    <w14:schemeClr w14:val="tx1"/>
                  </w14:solidFill>
                </w14:textFill>
              </w:rPr>
            </w:pPr>
            <w:r>
              <w:rPr>
                <w:rFonts w:hint="default"/>
                <w:color w:val="000000" w:themeColor="text1"/>
                <w:sz w:val="24"/>
                <w14:textFill>
                  <w14:solidFill>
                    <w14:schemeClr w14:val="tx1"/>
                  </w14:solidFill>
                </w14:textFill>
              </w:rPr>
              <w:t>黑龙江省</w:t>
            </w:r>
            <w:r>
              <w:rPr>
                <w:rFonts w:hint="eastAsia"/>
                <w:color w:val="000000" w:themeColor="text1"/>
                <w:sz w:val="24"/>
                <w:lang w:val="en-US" w:eastAsia="zh-CN"/>
                <w14:textFill>
                  <w14:solidFill>
                    <w14:schemeClr w14:val="tx1"/>
                  </w14:solidFill>
                </w14:textFill>
              </w:rPr>
              <w:t>鸡西市恒山区、鸡东县</w:t>
            </w:r>
          </w:p>
        </w:tc>
      </w:tr>
      <w:tr w14:paraId="347346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79" w:type="dxa"/>
            <w:tcMar>
              <w:top w:w="16" w:type="dxa"/>
              <w:left w:w="16" w:type="dxa"/>
              <w:right w:w="16" w:type="dxa"/>
            </w:tcMar>
            <w:vAlign w:val="center"/>
          </w:tcPr>
          <w:p w14:paraId="45920756">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地理坐标</w:t>
            </w:r>
          </w:p>
        </w:tc>
        <w:tc>
          <w:tcPr>
            <w:tcW w:w="7160" w:type="dxa"/>
            <w:gridSpan w:val="3"/>
            <w:vAlign w:val="center"/>
          </w:tcPr>
          <w:p w14:paraId="281872B0">
            <w:pPr>
              <w:keepNext w:val="0"/>
              <w:keepLines w:val="0"/>
              <w:suppressLineNumbers w:val="0"/>
              <w:adjustRightInd w:val="0"/>
              <w:snapToGrid w:val="0"/>
              <w:spacing w:before="0" w:beforeAutospacing="0" w:after="0" w:afterAutospacing="0"/>
              <w:ind w:left="0" w:right="0"/>
              <w:jc w:val="left"/>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恒山220kV变电站：</w:t>
            </w:r>
          </w:p>
          <w:p w14:paraId="10B844F5">
            <w:pPr>
              <w:keepNext w:val="0"/>
              <w:keepLines w:val="0"/>
              <w:suppressLineNumbers w:val="0"/>
              <w:adjustRightInd w:val="0"/>
              <w:snapToGrid w:val="0"/>
              <w:spacing w:before="0" w:beforeAutospacing="0" w:after="0" w:afterAutospacing="0"/>
              <w:ind w:left="0" w:right="0"/>
              <w:jc w:val="center"/>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（东经：133°13′25.326″，北纬：47°34′29.511″）</w:t>
            </w:r>
          </w:p>
          <w:p w14:paraId="387D31C3">
            <w:pPr>
              <w:keepNext w:val="0"/>
              <w:keepLines w:val="0"/>
              <w:suppressLineNumbers w:val="0"/>
              <w:adjustRightInd w:val="0"/>
              <w:snapToGrid w:val="0"/>
              <w:spacing w:before="0" w:beforeAutospacing="0" w:after="0" w:afterAutospacing="0"/>
              <w:ind w:left="0" w:right="0"/>
              <w:jc w:val="left"/>
              <w:rPr>
                <w:rFonts w:hint="default"/>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输电</w:t>
            </w:r>
            <w:r>
              <w:rPr>
                <w:rFonts w:hint="eastAsia"/>
                <w:color w:val="000000" w:themeColor="text1"/>
                <w:sz w:val="24"/>
                <w14:textFill>
                  <w14:solidFill>
                    <w14:schemeClr w14:val="tx1"/>
                  </w14:solidFill>
                </w14:textFill>
              </w:rPr>
              <w:t>线路工程：</w:t>
            </w:r>
          </w:p>
          <w:p w14:paraId="702EDCC0">
            <w:pPr>
              <w:keepNext w:val="0"/>
              <w:keepLines w:val="0"/>
              <w:suppressLineNumbers w:val="0"/>
              <w:adjustRightInd w:val="0"/>
              <w:snapToGrid w:val="0"/>
              <w:spacing w:before="0" w:beforeAutospacing="0" w:after="0" w:afterAutospacing="0"/>
              <w:ind w:left="0" w:right="0"/>
              <w:jc w:val="center"/>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起点（</w:t>
            </w:r>
            <w:r>
              <w:rPr>
                <w:rFonts w:hint="eastAsia"/>
                <w:color w:val="000000" w:themeColor="text1"/>
                <w:sz w:val="24"/>
                <w:lang w:val="en-US" w:eastAsia="zh-CN"/>
                <w14:textFill>
                  <w14:solidFill>
                    <w14:schemeClr w14:val="tx1"/>
                  </w14:solidFill>
                </w14:textFill>
              </w:rPr>
              <w:t>东经：133</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34.823</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北纬：47°21′45.936″</w:t>
            </w:r>
            <w:r>
              <w:rPr>
                <w:rFonts w:hint="eastAsia"/>
                <w:color w:val="000000" w:themeColor="text1"/>
                <w:sz w:val="24"/>
                <w14:textFill>
                  <w14:solidFill>
                    <w14:schemeClr w14:val="tx1"/>
                  </w14:solidFill>
                </w14:textFill>
              </w:rPr>
              <w:t>）</w:t>
            </w:r>
          </w:p>
          <w:p w14:paraId="299CC657">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终点（</w:t>
            </w:r>
            <w:r>
              <w:rPr>
                <w:rFonts w:hint="eastAsia"/>
                <w:color w:val="000000" w:themeColor="text1"/>
                <w:sz w:val="24"/>
                <w:lang w:val="en-US" w:eastAsia="zh-CN"/>
                <w14:textFill>
                  <w14:solidFill>
                    <w14:schemeClr w14:val="tx1"/>
                  </w14:solidFill>
                </w14:textFill>
              </w:rPr>
              <w:t>东经：133</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12</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58.559</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北纬：47</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34</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19.493</w:t>
            </w:r>
            <w:r>
              <w:rPr>
                <w:rFonts w:hint="eastAsia"/>
                <w:color w:val="000000" w:themeColor="text1"/>
                <w:sz w:val="24"/>
                <w14:textFill>
                  <w14:solidFill>
                    <w14:schemeClr w14:val="tx1"/>
                  </w14:solidFill>
                </w14:textFill>
              </w:rPr>
              <w:t>″）</w:t>
            </w:r>
          </w:p>
        </w:tc>
      </w:tr>
      <w:tr w14:paraId="65083B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879" w:type="dxa"/>
            <w:tcMar>
              <w:top w:w="16" w:type="dxa"/>
              <w:left w:w="16" w:type="dxa"/>
              <w:right w:w="16" w:type="dxa"/>
            </w:tcMar>
            <w:vAlign w:val="center"/>
          </w:tcPr>
          <w:p w14:paraId="47FF1A27">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建设项目</w:t>
            </w:r>
          </w:p>
          <w:p w14:paraId="0E6F9E92">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行业类别</w:t>
            </w:r>
          </w:p>
        </w:tc>
        <w:tc>
          <w:tcPr>
            <w:tcW w:w="2282" w:type="dxa"/>
            <w:vAlign w:val="center"/>
          </w:tcPr>
          <w:p w14:paraId="3C49DBA0">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161输变电工程</w:t>
            </w:r>
          </w:p>
        </w:tc>
        <w:tc>
          <w:tcPr>
            <w:tcW w:w="1866" w:type="dxa"/>
            <w:vAlign w:val="center"/>
          </w:tcPr>
          <w:p w14:paraId="564E382B">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用地（用海）面积（</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）/长度（km）</w:t>
            </w:r>
          </w:p>
        </w:tc>
        <w:tc>
          <w:tcPr>
            <w:tcW w:w="3012" w:type="dxa"/>
            <w:vAlign w:val="center"/>
          </w:tcPr>
          <w:p w14:paraId="7159A39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线路长度</w:t>
            </w:r>
            <w:r>
              <w:rPr>
                <w:rFonts w:hint="eastAsia" w:cs="Times New Roman"/>
                <w:color w:val="000000" w:themeColor="text1"/>
                <w:sz w:val="24"/>
                <w:lang w:val="en-US" w:eastAsia="zh-CN"/>
                <w14:textFill>
                  <w14:solidFill>
                    <w14:schemeClr w14:val="tx1"/>
                  </w14:solidFill>
                </w14:textFill>
              </w:rPr>
              <w:t>2×66</w:t>
            </w:r>
            <w:r>
              <w:rPr>
                <w:rFonts w:hint="eastAsia" w:ascii="Times New Roman" w:hAnsi="Times New Roman" w:eastAsia="宋体" w:cs="Times New Roman"/>
                <w:color w:val="000000" w:themeColor="text1"/>
                <w:sz w:val="24"/>
                <w:lang w:val="en-US" w:eastAsia="zh-CN"/>
                <w14:textFill>
                  <w14:solidFill>
                    <w14:schemeClr w14:val="tx1"/>
                  </w14:solidFill>
                </w14:textFill>
              </w:rPr>
              <w:t>km</w:t>
            </w:r>
          </w:p>
          <w:p w14:paraId="247AB14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永久占地</w:t>
            </w:r>
            <w:r>
              <w:rPr>
                <w:rFonts w:hint="eastAsia" w:cs="Times New Roman"/>
                <w:color w:val="000000" w:themeColor="text1"/>
                <w:sz w:val="24"/>
                <w:highlight w:val="none"/>
                <w:lang w:val="en-US" w:eastAsia="zh-CN"/>
                <w14:textFill>
                  <w14:solidFill>
                    <w14:schemeClr w14:val="tx1"/>
                  </w14:solidFill>
                </w14:textFill>
              </w:rPr>
              <w:t>5.32h</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2</w:t>
            </w:r>
          </w:p>
          <w:p w14:paraId="2579B5C5">
            <w:pPr>
              <w:keepNext w:val="0"/>
              <w:keepLines w:val="0"/>
              <w:suppressLineNumbers w:val="0"/>
              <w:adjustRightInd w:val="0"/>
              <w:snapToGrid w:val="0"/>
              <w:spacing w:before="0" w:beforeAutospacing="0" w:after="0" w:afterAutospacing="0"/>
              <w:ind w:left="0" w:right="0"/>
              <w:jc w:val="center"/>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临时占地</w:t>
            </w:r>
            <w:r>
              <w:rPr>
                <w:rFonts w:hint="eastAsia" w:cs="Times New Roman"/>
                <w:color w:val="000000" w:themeColor="text1"/>
                <w:sz w:val="24"/>
                <w:highlight w:val="none"/>
                <w:lang w:val="en-US" w:eastAsia="zh-CN"/>
                <w14:textFill>
                  <w14:solidFill>
                    <w14:schemeClr w14:val="tx1"/>
                  </w14:solidFill>
                </w14:textFill>
              </w:rPr>
              <w:t>80.54h</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2</w:t>
            </w:r>
          </w:p>
        </w:tc>
      </w:tr>
      <w:tr w14:paraId="2370E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879" w:type="dxa"/>
            <w:tcMar>
              <w:top w:w="16" w:type="dxa"/>
              <w:left w:w="16" w:type="dxa"/>
              <w:right w:w="16" w:type="dxa"/>
            </w:tcMar>
            <w:vAlign w:val="center"/>
          </w:tcPr>
          <w:p w14:paraId="050F90AD">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建设性质</w:t>
            </w:r>
          </w:p>
        </w:tc>
        <w:tc>
          <w:tcPr>
            <w:tcW w:w="2282" w:type="dxa"/>
            <w:shd w:val="clear" w:color="auto" w:fill="auto"/>
            <w:vAlign w:val="center"/>
          </w:tcPr>
          <w:p w14:paraId="6DDC34E9">
            <w:pPr>
              <w:keepNext w:val="0"/>
              <w:keepLines w:val="0"/>
              <w:suppressLineNumbers w:val="0"/>
              <w:adjustRightInd w:val="0"/>
              <w:snapToGrid w:val="0"/>
              <w:spacing w:before="0" w:beforeAutospacing="0" w:after="0" w:afterAutospacing="0"/>
              <w:ind w:left="0" w:right="0"/>
              <w:jc w:val="left"/>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2" w:char="0052"/>
            </w:r>
            <w:r>
              <w:rPr>
                <w:rFonts w:hint="eastAsia"/>
                <w:color w:val="000000" w:themeColor="text1"/>
                <w:sz w:val="24"/>
                <w14:textFill>
                  <w14:solidFill>
                    <w14:schemeClr w14:val="tx1"/>
                  </w14:solidFill>
                </w14:textFill>
              </w:rPr>
              <w:t>新建（迁建）</w:t>
            </w:r>
          </w:p>
          <w:p w14:paraId="16942DEB">
            <w:pPr>
              <w:keepNext w:val="0"/>
              <w:keepLines w:val="0"/>
              <w:suppressLineNumbers w:val="0"/>
              <w:adjustRightInd w:val="0"/>
              <w:snapToGrid w:val="0"/>
              <w:spacing w:before="0" w:beforeAutospacing="0" w:after="0" w:afterAutospacing="0"/>
              <w:ind w:left="0" w:right="0"/>
              <w:jc w:val="left"/>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2" w:char="00A3"/>
            </w:r>
            <w:r>
              <w:rPr>
                <w:rFonts w:hint="eastAsia"/>
                <w:color w:val="000000" w:themeColor="text1"/>
                <w:sz w:val="24"/>
                <w14:textFill>
                  <w14:solidFill>
                    <w14:schemeClr w14:val="tx1"/>
                  </w14:solidFill>
                </w14:textFill>
              </w:rPr>
              <w:t>改建</w:t>
            </w:r>
          </w:p>
          <w:p w14:paraId="53CD9713">
            <w:pPr>
              <w:keepNext w:val="0"/>
              <w:keepLines w:val="0"/>
              <w:suppressLineNumbers w:val="0"/>
              <w:adjustRightInd w:val="0"/>
              <w:snapToGrid w:val="0"/>
              <w:spacing w:before="0" w:beforeAutospacing="0" w:after="0" w:afterAutospacing="0"/>
              <w:ind w:left="0" w:right="0"/>
              <w:jc w:val="left"/>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sym w:font="Wingdings 2" w:char="00A3"/>
            </w:r>
            <w:r>
              <w:rPr>
                <w:rFonts w:hint="eastAsia"/>
                <w:color w:val="000000" w:themeColor="text1"/>
                <w:sz w:val="24"/>
                <w14:textFill>
                  <w14:solidFill>
                    <w14:schemeClr w14:val="tx1"/>
                  </w14:solidFill>
                </w14:textFill>
              </w:rPr>
              <w:t>扩建</w:t>
            </w:r>
          </w:p>
          <w:p w14:paraId="2B29CB72">
            <w:pPr>
              <w:keepNext w:val="0"/>
              <w:keepLines w:val="0"/>
              <w:suppressLineNumbers w:val="0"/>
              <w:adjustRightInd w:val="0"/>
              <w:snapToGrid w:val="0"/>
              <w:spacing w:before="0" w:beforeAutospacing="0" w:after="0" w:afterAutospacing="0"/>
              <w:ind w:left="0" w:right="0"/>
              <w:jc w:val="left"/>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2" w:char="00A3"/>
            </w:r>
            <w:r>
              <w:rPr>
                <w:rFonts w:hint="eastAsia"/>
                <w:color w:val="000000" w:themeColor="text1"/>
                <w:sz w:val="24"/>
                <w14:textFill>
                  <w14:solidFill>
                    <w14:schemeClr w14:val="tx1"/>
                  </w14:solidFill>
                </w14:textFill>
              </w:rPr>
              <w:t>技术改造</w:t>
            </w:r>
          </w:p>
        </w:tc>
        <w:tc>
          <w:tcPr>
            <w:tcW w:w="1866" w:type="dxa"/>
            <w:shd w:val="clear" w:color="auto" w:fill="auto"/>
            <w:vAlign w:val="center"/>
          </w:tcPr>
          <w:p w14:paraId="37731292">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建设项目</w:t>
            </w:r>
          </w:p>
          <w:p w14:paraId="65981F01">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申报情形</w:t>
            </w:r>
          </w:p>
        </w:tc>
        <w:tc>
          <w:tcPr>
            <w:tcW w:w="3012" w:type="dxa"/>
            <w:shd w:val="clear" w:color="auto" w:fill="auto"/>
            <w:vAlign w:val="center"/>
          </w:tcPr>
          <w:p w14:paraId="0B94970E">
            <w:pPr>
              <w:keepNext w:val="0"/>
              <w:keepLines w:val="0"/>
              <w:suppressLineNumbers w:val="0"/>
              <w:adjustRightInd w:val="0"/>
              <w:snapToGrid w:val="0"/>
              <w:spacing w:before="0" w:beforeAutospacing="0" w:after="0" w:afterAutospacing="0"/>
              <w:ind w:left="0" w:right="0"/>
              <w:jc w:val="left"/>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sym w:font="Wingdings 2" w:char="0052"/>
            </w:r>
            <w:r>
              <w:rPr>
                <w:rFonts w:hint="eastAsia"/>
                <w:color w:val="000000" w:themeColor="text1"/>
                <w:sz w:val="24"/>
                <w14:textFill>
                  <w14:solidFill>
                    <w14:schemeClr w14:val="tx1"/>
                  </w14:solidFill>
                </w14:textFill>
              </w:rPr>
              <w:t>首次申报项目</w:t>
            </w:r>
          </w:p>
          <w:p w14:paraId="3F33285E">
            <w:pPr>
              <w:keepNext w:val="0"/>
              <w:keepLines w:val="0"/>
              <w:suppressLineNumbers w:val="0"/>
              <w:adjustRightInd w:val="0"/>
              <w:snapToGrid w:val="0"/>
              <w:spacing w:before="0" w:beforeAutospacing="0" w:after="0" w:afterAutospacing="0"/>
              <w:ind w:left="0" w:right="0"/>
              <w:jc w:val="left"/>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2" w:char="00A3"/>
            </w:r>
            <w:r>
              <w:rPr>
                <w:rFonts w:hint="eastAsia"/>
                <w:color w:val="000000" w:themeColor="text1"/>
                <w:sz w:val="24"/>
                <w14:textFill>
                  <w14:solidFill>
                    <w14:schemeClr w14:val="tx1"/>
                  </w14:solidFill>
                </w14:textFill>
              </w:rPr>
              <w:t>不予批准后再次申报项目</w:t>
            </w:r>
          </w:p>
          <w:p w14:paraId="0EFBF1C2">
            <w:pPr>
              <w:keepNext w:val="0"/>
              <w:keepLines w:val="0"/>
              <w:suppressLineNumbers w:val="0"/>
              <w:adjustRightInd w:val="0"/>
              <w:snapToGrid w:val="0"/>
              <w:spacing w:before="0" w:beforeAutospacing="0" w:after="0" w:afterAutospacing="0"/>
              <w:ind w:left="0" w:right="0"/>
              <w:jc w:val="left"/>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2" w:char="00A3"/>
            </w:r>
            <w:r>
              <w:rPr>
                <w:rFonts w:hint="eastAsia"/>
                <w:color w:val="000000" w:themeColor="text1"/>
                <w:sz w:val="24"/>
                <w14:textFill>
                  <w14:solidFill>
                    <w14:schemeClr w14:val="tx1"/>
                  </w14:solidFill>
                </w14:textFill>
              </w:rPr>
              <w:t>超五年重新审核项目</w:t>
            </w:r>
          </w:p>
          <w:p w14:paraId="5069DD8C">
            <w:pPr>
              <w:keepNext w:val="0"/>
              <w:keepLines w:val="0"/>
              <w:suppressLineNumbers w:val="0"/>
              <w:adjustRightInd w:val="0"/>
              <w:snapToGrid w:val="0"/>
              <w:spacing w:before="0" w:beforeAutospacing="0" w:after="0" w:afterAutospacing="0"/>
              <w:ind w:left="0" w:right="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2" w:char="00A3"/>
            </w:r>
            <w:r>
              <w:rPr>
                <w:rFonts w:hint="eastAsia"/>
                <w:color w:val="000000" w:themeColor="text1"/>
                <w:sz w:val="24"/>
                <w14:textFill>
                  <w14:solidFill>
                    <w14:schemeClr w14:val="tx1"/>
                  </w14:solidFill>
                </w14:textFill>
              </w:rPr>
              <w:t>重大变动重新报批项目</w:t>
            </w:r>
          </w:p>
        </w:tc>
      </w:tr>
      <w:tr w14:paraId="2F91AA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879" w:type="dxa"/>
            <w:tcMar>
              <w:top w:w="16" w:type="dxa"/>
              <w:left w:w="16" w:type="dxa"/>
              <w:right w:w="16" w:type="dxa"/>
            </w:tcMar>
            <w:vAlign w:val="center"/>
          </w:tcPr>
          <w:p w14:paraId="7A1CAAAA">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项目审批（核准</w:t>
            </w:r>
            <w:r>
              <w:rPr>
                <w:rFonts w:hint="default"/>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备案）部门（选填）</w:t>
            </w:r>
          </w:p>
        </w:tc>
        <w:tc>
          <w:tcPr>
            <w:tcW w:w="2282" w:type="dxa"/>
            <w:vAlign w:val="center"/>
          </w:tcPr>
          <w:p w14:paraId="4921BEDD">
            <w:pPr>
              <w:keepNext w:val="0"/>
              <w:keepLines w:val="0"/>
              <w:suppressLineNumbers w:val="0"/>
              <w:adjustRightInd w:val="0"/>
              <w:snapToGrid w:val="0"/>
              <w:spacing w:before="0" w:beforeAutospacing="0" w:after="0" w:afterAutospacing="0"/>
              <w:ind w:left="0" w:right="0"/>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w:t>
            </w:r>
          </w:p>
        </w:tc>
        <w:tc>
          <w:tcPr>
            <w:tcW w:w="1866" w:type="dxa"/>
            <w:vAlign w:val="center"/>
          </w:tcPr>
          <w:p w14:paraId="2ABA5D28">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项目审批（核准</w:t>
            </w:r>
            <w:r>
              <w:rPr>
                <w:rFonts w:hint="default"/>
                <w:color w:val="000000" w:themeColor="text1"/>
                <w:sz w:val="24"/>
                <w14:textFill>
                  <w14:solidFill>
                    <w14:schemeClr w14:val="tx1"/>
                  </w14:solidFill>
                </w14:textFill>
              </w:rPr>
              <w:t>/</w:t>
            </w:r>
          </w:p>
          <w:p w14:paraId="1B582BA4">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备案）文号（选填）</w:t>
            </w:r>
          </w:p>
        </w:tc>
        <w:tc>
          <w:tcPr>
            <w:tcW w:w="3012" w:type="dxa"/>
            <w:vAlign w:val="center"/>
          </w:tcPr>
          <w:p w14:paraId="75A077C6">
            <w:pPr>
              <w:keepNext w:val="0"/>
              <w:keepLines w:val="0"/>
              <w:suppressLineNumbers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14:paraId="003BEF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79" w:type="dxa"/>
            <w:tcMar>
              <w:top w:w="16" w:type="dxa"/>
              <w:left w:w="16" w:type="dxa"/>
              <w:right w:w="16" w:type="dxa"/>
            </w:tcMar>
            <w:vAlign w:val="center"/>
          </w:tcPr>
          <w:p w14:paraId="1AF55112">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总投资（万元）</w:t>
            </w:r>
          </w:p>
        </w:tc>
        <w:tc>
          <w:tcPr>
            <w:tcW w:w="2282" w:type="dxa"/>
            <w:vAlign w:val="center"/>
          </w:tcPr>
          <w:p w14:paraId="7A7C0246">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32290</w:t>
            </w:r>
          </w:p>
        </w:tc>
        <w:tc>
          <w:tcPr>
            <w:tcW w:w="1866" w:type="dxa"/>
            <w:tcMar>
              <w:top w:w="16" w:type="dxa"/>
              <w:left w:w="16" w:type="dxa"/>
              <w:right w:w="16" w:type="dxa"/>
            </w:tcMar>
            <w:vAlign w:val="center"/>
          </w:tcPr>
          <w:p w14:paraId="542C31B1">
            <w:pPr>
              <w:keepNext w:val="0"/>
              <w:keepLines w:val="0"/>
              <w:suppressLineNumbers w:val="0"/>
              <w:adjustRightInd w:val="0"/>
              <w:snapToGrid w:val="0"/>
              <w:spacing w:before="0" w:beforeAutospacing="0" w:after="0" w:afterAutospacing="0"/>
              <w:ind w:left="0" w:right="0"/>
              <w:jc w:val="center"/>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环保投资（万元）</w:t>
            </w:r>
          </w:p>
        </w:tc>
        <w:tc>
          <w:tcPr>
            <w:tcW w:w="3012" w:type="dxa"/>
            <w:vAlign w:val="center"/>
          </w:tcPr>
          <w:p w14:paraId="20A9AAB0">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958</w:t>
            </w:r>
          </w:p>
        </w:tc>
      </w:tr>
      <w:tr w14:paraId="3338B1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879" w:type="dxa"/>
            <w:tcMar>
              <w:top w:w="16" w:type="dxa"/>
              <w:left w:w="16" w:type="dxa"/>
              <w:right w:w="16" w:type="dxa"/>
            </w:tcMar>
            <w:vAlign w:val="center"/>
          </w:tcPr>
          <w:p w14:paraId="341FBDB1">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环保投资占比（</w:t>
            </w:r>
            <w:r>
              <w:rPr>
                <w:rFonts w:hint="default"/>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p>
        </w:tc>
        <w:tc>
          <w:tcPr>
            <w:tcW w:w="2282" w:type="dxa"/>
            <w:vAlign w:val="center"/>
          </w:tcPr>
          <w:p w14:paraId="35E923EA">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2.97%</w:t>
            </w:r>
          </w:p>
        </w:tc>
        <w:tc>
          <w:tcPr>
            <w:tcW w:w="1866" w:type="dxa"/>
            <w:tcMar>
              <w:top w:w="16" w:type="dxa"/>
              <w:left w:w="16" w:type="dxa"/>
              <w:right w:w="16" w:type="dxa"/>
            </w:tcMar>
            <w:vAlign w:val="center"/>
          </w:tcPr>
          <w:p w14:paraId="5F5D277F">
            <w:pPr>
              <w:keepNext w:val="0"/>
              <w:keepLines w:val="0"/>
              <w:suppressLineNumbers w:val="0"/>
              <w:adjustRightInd w:val="0"/>
              <w:snapToGrid w:val="0"/>
              <w:spacing w:before="0" w:beforeAutospacing="0" w:after="0" w:afterAutospacing="0"/>
              <w:ind w:left="0" w:right="0"/>
              <w:jc w:val="center"/>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施工工期</w:t>
            </w:r>
          </w:p>
        </w:tc>
        <w:tc>
          <w:tcPr>
            <w:tcW w:w="3012" w:type="dxa"/>
            <w:vAlign w:val="center"/>
          </w:tcPr>
          <w:p w14:paraId="71B22F01">
            <w:pPr>
              <w:keepNext w:val="0"/>
              <w:keepLines w:val="0"/>
              <w:suppressLineNumbers w:val="0"/>
              <w:adjustRightInd w:val="0"/>
              <w:snapToGrid w:val="0"/>
              <w:spacing w:before="0" w:beforeAutospacing="0" w:after="0" w:afterAutospacing="0"/>
              <w:ind w:left="0" w:right="0"/>
              <w:jc w:val="center"/>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202</w:t>
            </w:r>
            <w:r>
              <w:rPr>
                <w:rFonts w:hint="eastAsia"/>
                <w:color w:val="000000" w:themeColor="text1"/>
                <w:sz w:val="24"/>
                <w:highlight w:val="none"/>
                <w:lang w:val="en-US" w:eastAsia="zh-CN"/>
                <w14:textFill>
                  <w14:solidFill>
                    <w14:schemeClr w14:val="tx1"/>
                  </w14:solidFill>
                </w14:textFill>
              </w:rPr>
              <w:t>5</w:t>
            </w:r>
            <w:r>
              <w:rPr>
                <w:rFonts w:hint="default"/>
                <w:color w:val="000000" w:themeColor="text1"/>
                <w:sz w:val="24"/>
                <w:highlight w:val="none"/>
                <w14:textFill>
                  <w14:solidFill>
                    <w14:schemeClr w14:val="tx1"/>
                  </w14:solidFill>
                </w14:textFill>
              </w:rPr>
              <w:t>年</w:t>
            </w:r>
            <w:r>
              <w:rPr>
                <w:rFonts w:hint="eastAsia"/>
                <w:color w:val="000000" w:themeColor="text1"/>
                <w:sz w:val="24"/>
                <w:highlight w:val="none"/>
                <w:lang w:val="en-US" w:eastAsia="zh-CN"/>
                <w14:textFill>
                  <w14:solidFill>
                    <w14:schemeClr w14:val="tx1"/>
                  </w14:solidFill>
                </w14:textFill>
              </w:rPr>
              <w:t>6</w:t>
            </w:r>
            <w:r>
              <w:rPr>
                <w:rFonts w:hint="default"/>
                <w:color w:val="000000" w:themeColor="text1"/>
                <w:sz w:val="24"/>
                <w:highlight w:val="none"/>
                <w14:textFill>
                  <w14:solidFill>
                    <w14:schemeClr w14:val="tx1"/>
                  </w14:solidFill>
                </w14:textFill>
              </w:rPr>
              <w:t>月</w:t>
            </w:r>
            <w:r>
              <w:rPr>
                <w:rFonts w:hint="eastAsia"/>
                <w:color w:val="000000" w:themeColor="text1"/>
                <w:sz w:val="24"/>
                <w:highlight w:val="none"/>
                <w14:textFill>
                  <w14:solidFill>
                    <w14:schemeClr w14:val="tx1"/>
                  </w14:solidFill>
                </w14:textFill>
              </w:rPr>
              <w:t>~</w:t>
            </w:r>
            <w:r>
              <w:rPr>
                <w:rFonts w:hint="default"/>
                <w:color w:val="000000" w:themeColor="text1"/>
                <w:sz w:val="24"/>
                <w:highlight w:val="none"/>
                <w14:textFill>
                  <w14:solidFill>
                    <w14:schemeClr w14:val="tx1"/>
                  </w14:solidFill>
                </w14:textFill>
              </w:rPr>
              <w:t>202</w:t>
            </w:r>
            <w:r>
              <w:rPr>
                <w:rFonts w:hint="eastAsia"/>
                <w:color w:val="000000" w:themeColor="text1"/>
                <w:sz w:val="24"/>
                <w:highlight w:val="none"/>
                <w:lang w:val="en-US" w:eastAsia="zh-CN"/>
                <w14:textFill>
                  <w14:solidFill>
                    <w14:schemeClr w14:val="tx1"/>
                  </w14:solidFill>
                </w14:textFill>
              </w:rPr>
              <w:t>7</w:t>
            </w:r>
            <w:r>
              <w:rPr>
                <w:rFonts w:hint="default"/>
                <w:color w:val="000000" w:themeColor="text1"/>
                <w:sz w:val="24"/>
                <w:highlight w:val="none"/>
                <w14:textFill>
                  <w14:solidFill>
                    <w14:schemeClr w14:val="tx1"/>
                  </w14:solidFill>
                </w14:textFill>
              </w:rPr>
              <w:t>年</w:t>
            </w:r>
            <w:r>
              <w:rPr>
                <w:rFonts w:hint="eastAsia"/>
                <w:color w:val="000000" w:themeColor="text1"/>
                <w:sz w:val="24"/>
                <w:highlight w:val="none"/>
                <w:lang w:val="en-US" w:eastAsia="zh-CN"/>
                <w14:textFill>
                  <w14:solidFill>
                    <w14:schemeClr w14:val="tx1"/>
                  </w14:solidFill>
                </w14:textFill>
              </w:rPr>
              <w:t>6</w:t>
            </w:r>
            <w:r>
              <w:rPr>
                <w:rFonts w:hint="default"/>
                <w:color w:val="000000" w:themeColor="text1"/>
                <w:sz w:val="24"/>
                <w:highlight w:val="none"/>
                <w14:textFill>
                  <w14:solidFill>
                    <w14:schemeClr w14:val="tx1"/>
                  </w14:solidFill>
                </w14:textFill>
              </w:rPr>
              <w:t>月</w:t>
            </w:r>
          </w:p>
        </w:tc>
      </w:tr>
      <w:tr w14:paraId="6CA6BC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879" w:type="dxa"/>
            <w:tcMar>
              <w:top w:w="16" w:type="dxa"/>
              <w:left w:w="16" w:type="dxa"/>
              <w:right w:w="16" w:type="dxa"/>
            </w:tcMar>
            <w:vAlign w:val="center"/>
          </w:tcPr>
          <w:p w14:paraId="7C50C331">
            <w:pPr>
              <w:keepNext w:val="0"/>
              <w:keepLines w:val="0"/>
              <w:suppressLineNumbers w:val="0"/>
              <w:adjustRightInd w:val="0"/>
              <w:snapToGrid w:val="0"/>
              <w:spacing w:before="0" w:beforeAutospacing="0" w:after="0" w:afterAutospacing="0"/>
              <w:ind w:left="0" w:right="0"/>
              <w:jc w:val="center"/>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是否开工建设</w:t>
            </w:r>
          </w:p>
        </w:tc>
        <w:tc>
          <w:tcPr>
            <w:tcW w:w="7160" w:type="dxa"/>
            <w:gridSpan w:val="3"/>
            <w:vAlign w:val="center"/>
          </w:tcPr>
          <w:p w14:paraId="5746CF23">
            <w:pPr>
              <w:keepNext w:val="0"/>
              <w:keepLines w:val="0"/>
              <w:suppressLineNumbers w:val="0"/>
              <w:adjustRightInd w:val="0"/>
              <w:snapToGrid w:val="0"/>
              <w:spacing w:before="0" w:beforeAutospacing="0" w:after="0" w:afterAutospacing="0"/>
              <w:ind w:left="0" w:right="0" w:firstLine="105"/>
              <w:jc w:val="left"/>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否</w:t>
            </w:r>
          </w:p>
          <w:p w14:paraId="3714B341">
            <w:pPr>
              <w:keepNext w:val="0"/>
              <w:keepLines w:val="0"/>
              <w:suppressLineNumbers w:val="0"/>
              <w:adjustRightInd w:val="0"/>
              <w:snapToGrid w:val="0"/>
              <w:spacing w:before="0" w:beforeAutospacing="0" w:after="0" w:afterAutospacing="0"/>
              <w:ind w:left="0" w:right="0" w:firstLine="92"/>
              <w:jc w:val="left"/>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是：</w:t>
            </w:r>
            <w:r>
              <w:rPr>
                <w:rFonts w:hint="default"/>
                <w:color w:val="000000" w:themeColor="text1"/>
                <w:sz w:val="24"/>
                <w:u w:val="single"/>
                <w14:textFill>
                  <w14:solidFill>
                    <w14:schemeClr w14:val="tx1"/>
                  </w14:solidFill>
                </w14:textFill>
              </w:rPr>
              <w:t xml:space="preserve">                             </w:t>
            </w:r>
          </w:p>
        </w:tc>
      </w:tr>
      <w:tr w14:paraId="2CDA6C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879" w:type="dxa"/>
            <w:tcMar>
              <w:top w:w="16" w:type="dxa"/>
              <w:left w:w="16" w:type="dxa"/>
              <w:right w:w="16" w:type="dxa"/>
            </w:tcMar>
            <w:vAlign w:val="center"/>
          </w:tcPr>
          <w:p w14:paraId="041C9F29">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专项评价设置</w:t>
            </w:r>
          </w:p>
          <w:p w14:paraId="01EE1B44">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情况</w:t>
            </w:r>
          </w:p>
        </w:tc>
        <w:tc>
          <w:tcPr>
            <w:tcW w:w="7160" w:type="dxa"/>
            <w:gridSpan w:val="3"/>
            <w:tcMar>
              <w:top w:w="16" w:type="dxa"/>
              <w:left w:w="16" w:type="dxa"/>
              <w:right w:w="16" w:type="dxa"/>
            </w:tcMar>
            <w:vAlign w:val="center"/>
          </w:tcPr>
          <w:p w14:paraId="33AE4C21">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专项评价类别：电磁环境</w:t>
            </w:r>
          </w:p>
          <w:p w14:paraId="4F3D58F7">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设置理由：</w:t>
            </w:r>
            <w:r>
              <w:rPr>
                <w:rFonts w:hint="default"/>
                <w:color w:val="000000" w:themeColor="text1"/>
                <w:kern w:val="0"/>
                <w:sz w:val="24"/>
                <w14:textFill>
                  <w14:solidFill>
                    <w14:schemeClr w14:val="tx1"/>
                  </w14:solidFill>
                </w14:textFill>
              </w:rPr>
              <w:t>根据《环境影响评价技术导则 输变电》（HJ</w:t>
            </w:r>
            <w:r>
              <w:rPr>
                <w:rFonts w:hint="eastAsia"/>
                <w:color w:val="000000" w:themeColor="text1"/>
                <w:kern w:val="0"/>
                <w:sz w:val="24"/>
                <w14:textFill>
                  <w14:solidFill>
                    <w14:schemeClr w14:val="tx1"/>
                  </w14:solidFill>
                </w14:textFill>
              </w:rPr>
              <w:t xml:space="preserve"> </w:t>
            </w:r>
            <w:r>
              <w:rPr>
                <w:rFonts w:hint="default"/>
                <w:color w:val="000000" w:themeColor="text1"/>
                <w:kern w:val="0"/>
                <w:sz w:val="24"/>
                <w14:textFill>
                  <w14:solidFill>
                    <w14:schemeClr w14:val="tx1"/>
                  </w14:solidFill>
                </w14:textFill>
              </w:rPr>
              <w:t>24-2020）</w:t>
            </w:r>
            <w:r>
              <w:rPr>
                <w:rFonts w:hint="eastAsia"/>
                <w:color w:val="000000" w:themeColor="text1"/>
                <w:kern w:val="0"/>
                <w:sz w:val="24"/>
                <w14:textFill>
                  <w14:solidFill>
                    <w14:schemeClr w14:val="tx1"/>
                  </w14:solidFill>
                </w14:textFill>
              </w:rPr>
              <w:t>附录B</w:t>
            </w:r>
            <w:r>
              <w:rPr>
                <w:rFonts w:hint="default"/>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本</w:t>
            </w:r>
            <w:r>
              <w:rPr>
                <w:rFonts w:hint="default"/>
                <w:color w:val="000000" w:themeColor="text1"/>
                <w:kern w:val="0"/>
                <w:sz w:val="24"/>
                <w14:textFill>
                  <w14:solidFill>
                    <w14:schemeClr w14:val="tx1"/>
                  </w14:solidFill>
                </w14:textFill>
              </w:rPr>
              <w:t>项目</w:t>
            </w:r>
            <w:r>
              <w:rPr>
                <w:rFonts w:hint="eastAsia"/>
                <w:color w:val="000000" w:themeColor="text1"/>
                <w:kern w:val="0"/>
                <w:sz w:val="24"/>
                <w14:textFill>
                  <w14:solidFill>
                    <w14:schemeClr w14:val="tx1"/>
                  </w14:solidFill>
                </w14:textFill>
              </w:rPr>
              <w:t>应</w:t>
            </w:r>
            <w:r>
              <w:rPr>
                <w:rFonts w:hint="default"/>
                <w:color w:val="000000" w:themeColor="text1"/>
                <w:kern w:val="0"/>
                <w:sz w:val="24"/>
                <w14:textFill>
                  <w14:solidFill>
                    <w14:schemeClr w14:val="tx1"/>
                  </w14:solidFill>
                </w14:textFill>
              </w:rPr>
              <w:t>设电磁影响专</w:t>
            </w:r>
            <w:r>
              <w:rPr>
                <w:rFonts w:hint="eastAsia"/>
                <w:color w:val="000000" w:themeColor="text1"/>
                <w:kern w:val="0"/>
                <w:sz w:val="24"/>
                <w14:textFill>
                  <w14:solidFill>
                    <w14:schemeClr w14:val="tx1"/>
                  </w14:solidFill>
                </w14:textFill>
              </w:rPr>
              <w:t>题</w:t>
            </w:r>
            <w:r>
              <w:rPr>
                <w:rFonts w:hint="default"/>
                <w:color w:val="000000" w:themeColor="text1"/>
                <w:kern w:val="0"/>
                <w:sz w:val="24"/>
                <w14:textFill>
                  <w14:solidFill>
                    <w14:schemeClr w14:val="tx1"/>
                  </w14:solidFill>
                </w14:textFill>
              </w:rPr>
              <w:t>评价</w:t>
            </w:r>
            <w:r>
              <w:rPr>
                <w:rFonts w:hint="eastAsia"/>
                <w:color w:val="000000" w:themeColor="text1"/>
                <w:kern w:val="0"/>
                <w:sz w:val="24"/>
                <w14:textFill>
                  <w14:solidFill>
                    <w14:schemeClr w14:val="tx1"/>
                  </w14:solidFill>
                </w14:textFill>
              </w:rPr>
              <w:t>。</w:t>
            </w:r>
          </w:p>
        </w:tc>
      </w:tr>
      <w:tr w14:paraId="3178F2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1" w:hRule="atLeast"/>
        </w:trPr>
        <w:tc>
          <w:tcPr>
            <w:tcW w:w="1879" w:type="dxa"/>
            <w:tcMar>
              <w:top w:w="16" w:type="dxa"/>
              <w:left w:w="16" w:type="dxa"/>
              <w:right w:w="16" w:type="dxa"/>
            </w:tcMar>
            <w:vAlign w:val="center"/>
          </w:tcPr>
          <w:p w14:paraId="2F643FEA">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规划情况</w:t>
            </w:r>
          </w:p>
        </w:tc>
        <w:tc>
          <w:tcPr>
            <w:tcW w:w="7160" w:type="dxa"/>
            <w:gridSpan w:val="3"/>
            <w:tcMar>
              <w:top w:w="16" w:type="dxa"/>
              <w:left w:w="16" w:type="dxa"/>
              <w:right w:w="16" w:type="dxa"/>
            </w:tcMar>
            <w:vAlign w:val="center"/>
          </w:tcPr>
          <w:p w14:paraId="297FC2F4">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无</w:t>
            </w:r>
          </w:p>
        </w:tc>
      </w:tr>
      <w:tr w14:paraId="42D6B2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49" w:hRule="atLeast"/>
        </w:trPr>
        <w:tc>
          <w:tcPr>
            <w:tcW w:w="1879" w:type="dxa"/>
            <w:tcMar>
              <w:top w:w="16" w:type="dxa"/>
              <w:left w:w="16" w:type="dxa"/>
              <w:right w:w="16" w:type="dxa"/>
            </w:tcMar>
            <w:vAlign w:val="center"/>
          </w:tcPr>
          <w:p w14:paraId="4C2208C4">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规划环境影响评价情况</w:t>
            </w:r>
          </w:p>
        </w:tc>
        <w:tc>
          <w:tcPr>
            <w:tcW w:w="7160" w:type="dxa"/>
            <w:gridSpan w:val="3"/>
            <w:tcMar>
              <w:top w:w="16" w:type="dxa"/>
              <w:left w:w="16" w:type="dxa"/>
              <w:right w:w="16" w:type="dxa"/>
            </w:tcMar>
            <w:vAlign w:val="center"/>
          </w:tcPr>
          <w:p w14:paraId="61EC25A0">
            <w:pPr>
              <w:keepNext w:val="0"/>
              <w:keepLines w:val="0"/>
              <w:suppressLineNumbers w:val="0"/>
              <w:adjustRightInd w:val="0"/>
              <w:snapToGrid w:val="0"/>
              <w:spacing w:before="0" w:beforeAutospacing="0" w:after="0" w:afterAutospacing="0"/>
              <w:ind w:left="0" w:right="0"/>
              <w:jc w:val="center"/>
              <w:rPr>
                <w:rFonts w:hint="default"/>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无</w:t>
            </w:r>
          </w:p>
        </w:tc>
      </w:tr>
      <w:tr w14:paraId="08CDD3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73" w:hRule="atLeast"/>
        </w:trPr>
        <w:tc>
          <w:tcPr>
            <w:tcW w:w="1879" w:type="dxa"/>
            <w:tcMar>
              <w:top w:w="16" w:type="dxa"/>
              <w:left w:w="16" w:type="dxa"/>
              <w:right w:w="16" w:type="dxa"/>
            </w:tcMar>
            <w:vAlign w:val="center"/>
          </w:tcPr>
          <w:p w14:paraId="613C44F5">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规划及</w:t>
            </w:r>
            <w:r>
              <w:rPr>
                <w:rFonts w:hint="eastAsia"/>
                <w:color w:val="000000" w:themeColor="text1"/>
                <w:sz w:val="24"/>
                <w14:textFill>
                  <w14:solidFill>
                    <w14:schemeClr w14:val="tx1"/>
                  </w14:solidFill>
                </w14:textFill>
              </w:rPr>
              <w:t>规划环境影响评价</w:t>
            </w:r>
            <w:r>
              <w:rPr>
                <w:rFonts w:hint="eastAsia"/>
                <w:color w:val="000000" w:themeColor="text1"/>
                <w:kern w:val="0"/>
                <w:sz w:val="24"/>
                <w14:textFill>
                  <w14:solidFill>
                    <w14:schemeClr w14:val="tx1"/>
                  </w14:solidFill>
                </w14:textFill>
              </w:rPr>
              <w:t>符合性分析</w:t>
            </w:r>
          </w:p>
        </w:tc>
        <w:tc>
          <w:tcPr>
            <w:tcW w:w="7160" w:type="dxa"/>
            <w:gridSpan w:val="3"/>
            <w:tcMar>
              <w:top w:w="16" w:type="dxa"/>
              <w:left w:w="16" w:type="dxa"/>
              <w:right w:w="16" w:type="dxa"/>
            </w:tcMar>
            <w:vAlign w:val="center"/>
          </w:tcPr>
          <w:p w14:paraId="01334FDE">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color w:val="000000" w:themeColor="text1"/>
                <w:sz w:val="24"/>
                <w14:textFill>
                  <w14:solidFill>
                    <w14:schemeClr w14:val="tx1"/>
                  </w14:solidFill>
                </w14:textFill>
              </w:rPr>
            </w:pPr>
            <w:r>
              <w:rPr>
                <w:rFonts w:hint="eastAsia"/>
                <w:color w:val="000000" w:themeColor="text1"/>
                <w:kern w:val="0"/>
                <w:sz w:val="24"/>
                <w14:textFill>
                  <w14:solidFill>
                    <w14:schemeClr w14:val="tx1"/>
                  </w14:solidFill>
                </w14:textFill>
              </w:rPr>
              <w:t>无</w:t>
            </w:r>
          </w:p>
        </w:tc>
      </w:tr>
      <w:tr w14:paraId="24D5C2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20" w:hRule="atLeast"/>
        </w:trPr>
        <w:tc>
          <w:tcPr>
            <w:tcW w:w="1879" w:type="dxa"/>
            <w:tcMar>
              <w:top w:w="16" w:type="dxa"/>
              <w:left w:w="16" w:type="dxa"/>
              <w:right w:w="16" w:type="dxa"/>
            </w:tcMar>
            <w:vAlign w:val="center"/>
          </w:tcPr>
          <w:p w14:paraId="54EDE4E9">
            <w:pPr>
              <w:keepNext w:val="0"/>
              <w:keepLines w:val="0"/>
              <w:suppressLineNumbers w:val="0"/>
              <w:autoSpaceDE w:val="0"/>
              <w:autoSpaceDN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bookmarkStart w:id="3" w:name="_Hlk56690880"/>
            <w:r>
              <w:rPr>
                <w:rFonts w:hint="eastAsia" w:ascii="宋体" w:hAnsi="宋体" w:cs="宋体"/>
                <w:color w:val="000000" w:themeColor="text1"/>
                <w:kern w:val="0"/>
                <w:sz w:val="24"/>
                <w14:textFill>
                  <w14:solidFill>
                    <w14:schemeClr w14:val="tx1"/>
                  </w14:solidFill>
                </w14:textFill>
              </w:rPr>
              <w:t>其他符合性分析</w:t>
            </w:r>
            <w:bookmarkEnd w:id="3"/>
          </w:p>
        </w:tc>
        <w:tc>
          <w:tcPr>
            <w:tcW w:w="7160" w:type="dxa"/>
            <w:gridSpan w:val="3"/>
            <w:tcMar>
              <w:top w:w="16" w:type="dxa"/>
              <w:left w:w="16" w:type="dxa"/>
              <w:right w:w="16" w:type="dxa"/>
            </w:tcMar>
            <w:vAlign w:val="center"/>
          </w:tcPr>
          <w:p w14:paraId="11FE1693">
            <w:pPr>
              <w:keepNext w:val="0"/>
              <w:keepLines w:val="0"/>
              <w:suppressLineNumbers w:val="0"/>
              <w:autoSpaceDE w:val="0"/>
              <w:autoSpaceDN w:val="0"/>
              <w:adjustRightInd w:val="0"/>
              <w:spacing w:before="0" w:beforeAutospacing="0" w:after="0" w:afterAutospacing="0" w:line="360" w:lineRule="auto"/>
              <w:ind w:left="0" w:right="0" w:firstLine="482" w:firstLineChars="200"/>
              <w:rPr>
                <w:rFonts w:hint="default"/>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1、产业政策符合性分析</w:t>
            </w:r>
          </w:p>
          <w:p w14:paraId="4A833E5A">
            <w:pPr>
              <w:keepNext w:val="0"/>
              <w:keepLines w:val="0"/>
              <w:suppressLineNumbers w:val="0"/>
              <w:adjustRightInd w:val="0"/>
              <w:spacing w:before="0" w:beforeAutospacing="0" w:after="0" w:afterAutospacing="0" w:line="360" w:lineRule="auto"/>
              <w:ind w:left="105" w:leftChars="50" w:right="105" w:rightChars="50" w:firstLine="480" w:firstLineChars="200"/>
              <w:jc w:val="both"/>
              <w:rPr>
                <w:rFonts w:hint="default"/>
                <w:color w:val="000000" w:themeColor="text1"/>
                <w:sz w:val="24"/>
                <w:szCs w:val="24"/>
                <w14:textFill>
                  <w14:solidFill>
                    <w14:schemeClr w14:val="tx1"/>
                  </w14:solidFill>
                </w14:textFill>
              </w:rPr>
            </w:pPr>
            <w:r>
              <w:rPr>
                <w:rFonts w:hint="default"/>
                <w:color w:val="000000" w:themeColor="text1"/>
                <w:sz w:val="24"/>
                <w:szCs w:val="24"/>
                <w14:textFill>
                  <w14:solidFill>
                    <w14:schemeClr w14:val="tx1"/>
                  </w14:solidFill>
                </w14:textFill>
              </w:rPr>
              <w:t>根据《产业结构调整指导目录（2024年本）》（国家发改委2023年第7号令），本项目属于国家发改委发布的第一类</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鼓励类</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第四项</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电力</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第2条</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电力基础设施建设</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项目。</w:t>
            </w:r>
          </w:p>
          <w:p w14:paraId="5EE7E0A9">
            <w:pPr>
              <w:keepNext w:val="0"/>
              <w:keepLines w:val="0"/>
              <w:suppressLineNumbers w:val="0"/>
              <w:adjustRightInd w:val="0"/>
              <w:spacing w:before="0" w:beforeAutospacing="0" w:after="0" w:afterAutospacing="0" w:line="360" w:lineRule="auto"/>
              <w:ind w:left="105" w:leftChars="50" w:right="105" w:rightChars="50" w:firstLine="480" w:firstLineChars="200"/>
              <w:jc w:val="both"/>
              <w:rPr>
                <w:rFonts w:hint="default"/>
                <w:color w:val="000000" w:themeColor="text1"/>
                <w:sz w:val="24"/>
                <w:szCs w:val="24"/>
                <w14:textFill>
                  <w14:solidFill>
                    <w14:schemeClr w14:val="tx1"/>
                  </w14:solidFill>
                </w14:textFill>
              </w:rPr>
            </w:pPr>
            <w:r>
              <w:rPr>
                <w:rFonts w:hint="default"/>
                <w:color w:val="000000" w:themeColor="text1"/>
                <w:sz w:val="24"/>
                <w:szCs w:val="24"/>
                <w14:textFill>
                  <w14:solidFill>
                    <w14:schemeClr w14:val="tx1"/>
                  </w14:solidFill>
                </w14:textFill>
              </w:rPr>
              <w:t>因此，本项目建设符合国家产业政策要求。</w:t>
            </w:r>
          </w:p>
          <w:p w14:paraId="4B4874CF">
            <w:pPr>
              <w:keepNext w:val="0"/>
              <w:keepLines w:val="0"/>
              <w:suppressLineNumbers w:val="0"/>
              <w:autoSpaceDE w:val="0"/>
              <w:autoSpaceDN w:val="0"/>
              <w:adjustRightInd w:val="0"/>
              <w:snapToGrid w:val="0"/>
              <w:spacing w:before="0" w:beforeAutospacing="0" w:after="0" w:afterAutospacing="0" w:line="360" w:lineRule="auto"/>
              <w:ind w:left="0" w:right="105" w:rightChars="50" w:firstLine="482" w:firstLineChars="200"/>
              <w:rPr>
                <w:rFonts w:hint="eastAsia"/>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2、</w:t>
            </w:r>
            <w:r>
              <w:rPr>
                <w:rFonts w:hint="eastAsia"/>
                <w:b/>
                <w:bCs/>
                <w:color w:val="000000" w:themeColor="text1"/>
                <w:sz w:val="24"/>
                <w:szCs w:val="24"/>
                <w14:textFill>
                  <w14:solidFill>
                    <w14:schemeClr w14:val="tx1"/>
                  </w14:solidFill>
                </w14:textFill>
              </w:rPr>
              <w:t>与《黑龙江省国民经济和社会发展第十四个五年规划和二○三五年远景目标纲要》符合性分析和《鸡西市国民经济和社会发展第十四个五年规划和二〇三五年远景目标纲要》符合性分析</w:t>
            </w:r>
          </w:p>
          <w:p w14:paraId="50970D83">
            <w:pPr>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480" w:firstLineChars="20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w:t>
            </w:r>
            <w:r>
              <w:rPr>
                <w:rFonts w:hint="eastAsia"/>
                <w:color w:val="000000" w:themeColor="text1"/>
                <w:sz w:val="24"/>
                <w:szCs w:val="24"/>
                <w:lang w:val="en-US" w:eastAsia="zh-CN"/>
                <w14:textFill>
                  <w14:solidFill>
                    <w14:schemeClr w14:val="tx1"/>
                  </w14:solidFill>
                </w14:textFill>
              </w:rPr>
              <w:t>黑龙江省</w:t>
            </w:r>
            <w:r>
              <w:rPr>
                <w:rFonts w:hint="eastAsia"/>
                <w:color w:val="000000" w:themeColor="text1"/>
                <w:sz w:val="24"/>
                <w:szCs w:val="24"/>
                <w14:textFill>
                  <w14:solidFill>
                    <w14:schemeClr w14:val="tx1"/>
                  </w14:solidFill>
                </w14:textFill>
              </w:rPr>
              <w:t>人民政府2021年</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月</w:t>
            </w:r>
            <w:r>
              <w:rPr>
                <w:rFonts w:hint="eastAsia"/>
                <w:color w:val="000000" w:themeColor="text1"/>
                <w:sz w:val="24"/>
                <w:szCs w:val="24"/>
                <w:lang w:val="en-US" w:eastAsia="zh-CN"/>
                <w14:textFill>
                  <w14:solidFill>
                    <w14:schemeClr w14:val="tx1"/>
                  </w14:solidFill>
                </w14:textFill>
              </w:rPr>
              <w:t>2</w:t>
            </w:r>
            <w:r>
              <w:rPr>
                <w:rFonts w:hint="eastAsia"/>
                <w:color w:val="000000" w:themeColor="text1"/>
                <w:sz w:val="24"/>
                <w:szCs w:val="24"/>
                <w14:textFill>
                  <w14:solidFill>
                    <w14:schemeClr w14:val="tx1"/>
                  </w14:solidFill>
                </w14:textFill>
              </w:rPr>
              <w:t>日印发的《黑龙江省国民经济和社会发展第十四个五年规划和二○三五年远景目标纲要》，纲要中“第十三章 推动基础设施高质量发展，提高现代化建设综合承载能力。加快电网建设。优化电力生产和输送通道布局，完善500千伏骨干网，形成</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三横五纵</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网架格局，实现500千伏电网覆盖市（地）。强化220千伏网架结构，实现220千伏电网覆盖县（市）。争取建设以我省为起点的特高压电力外送通道。加强城市配电网建设，提升智能化水平。推进农村电网巩固提升工程建设，加快补齐农网短板。提高供电质量和可靠性，提升电力普遍服务水平。支持将俄电使用范围扩大到黑河自贸片区。”</w:t>
            </w:r>
          </w:p>
          <w:p w14:paraId="30513B43">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根据</w:t>
            </w:r>
            <w:r>
              <w:rPr>
                <w:rFonts w:hint="eastAsia" w:cs="Times New Roman"/>
                <w:color w:val="000000" w:themeColor="text1"/>
                <w:kern w:val="2"/>
                <w:sz w:val="24"/>
                <w:szCs w:val="24"/>
                <w:lang w:val="en-US" w:eastAsia="zh-CN" w:bidi="ar-SA"/>
                <w14:textFill>
                  <w14:solidFill>
                    <w14:schemeClr w14:val="tx1"/>
                  </w14:solidFill>
                </w14:textFill>
              </w:rPr>
              <w:t>鸡西</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市人民政府2021年3月</w:t>
            </w:r>
            <w:r>
              <w:rPr>
                <w:rFonts w:hint="eastAsia" w:cs="Times New Roman"/>
                <w:color w:val="000000" w:themeColor="text1"/>
                <w:kern w:val="2"/>
                <w:sz w:val="24"/>
                <w:szCs w:val="24"/>
                <w:lang w:val="en-US" w:eastAsia="zh-CN" w:bidi="ar-SA"/>
                <w14:textFill>
                  <w14:solidFill>
                    <w14:schemeClr w14:val="tx1"/>
                  </w14:solidFill>
                </w14:textFill>
              </w:rPr>
              <w:t>30</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日印发的《鸡西市国民经济和社会发展第十四个五年规划和二〇三五年远景目标纲要》，纲要中加快推进电网提档升级。完善220千伏主干网架结构，提高电网供电可靠性、供电能力及电源外送能力。加强城市配电网建设，提升信息化、自动化、智能化水平，形成灵活、可靠、绿色的现代配电网络。继续加大县域农村电网改造升级力度，加快补齐农村电网短板。加强产业园区等重点区域电力基础设施建设，保障相关配套电网工程与项目用电时序有效衔接，提高供电质量和可靠性。</w:t>
            </w:r>
          </w:p>
          <w:p w14:paraId="34DEAE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本项目黑龙江鸡西鸡西~恒山220kV线路工程，加快了电网建设，</w:t>
            </w:r>
            <w:r>
              <w:rPr>
                <w:rFonts w:hint="eastAsia"/>
                <w:color w:val="000000" w:themeColor="text1"/>
                <w:sz w:val="24"/>
                <w:szCs w:val="24"/>
                <w:lang w:val="en-US" w:eastAsia="zh-CN"/>
                <w14:textFill>
                  <w14:solidFill>
                    <w14:schemeClr w14:val="tx1"/>
                  </w14:solidFill>
                </w14:textFill>
              </w:rPr>
              <w:t>优化了鸡西市的电网布局，为实现电网覆盖县（市）奠定良好的基础。因此，本项目</w:t>
            </w:r>
            <w:r>
              <w:rPr>
                <w:rFonts w:hint="eastAsia"/>
                <w:color w:val="000000" w:themeColor="text1"/>
                <w:sz w:val="24"/>
                <w:szCs w:val="24"/>
                <w14:textFill>
                  <w14:solidFill>
                    <w14:schemeClr w14:val="tx1"/>
                  </w14:solidFill>
                </w14:textFill>
              </w:rPr>
              <w:t>符合《黑龙江省国民经济和社会发展第十四个五年规划和二○三五年远景目标纲要》和《</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鸡西市国民经济和社会发展第十四个五年规划和二〇三五年远景目标纲要</w:t>
            </w:r>
            <w:r>
              <w:rPr>
                <w:rFonts w:hint="eastAsia"/>
                <w:color w:val="000000" w:themeColor="text1"/>
                <w:sz w:val="24"/>
                <w:szCs w:val="24"/>
                <w14:textFill>
                  <w14:solidFill>
                    <w14:schemeClr w14:val="tx1"/>
                  </w14:solidFill>
                </w14:textFill>
              </w:rPr>
              <w:t>》要求。</w:t>
            </w:r>
          </w:p>
          <w:p w14:paraId="48BACE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left"/>
              <w:textAlignment w:val="auto"/>
              <w:rPr>
                <w:rFonts w:hint="eastAsia"/>
                <w:b/>
                <w:bCs/>
                <w:color w:val="FF0000"/>
                <w:sz w:val="24"/>
                <w:szCs w:val="24"/>
              </w:rPr>
            </w:pPr>
            <w:r>
              <w:rPr>
                <w:rFonts w:hint="eastAsia"/>
                <w:b/>
                <w:bCs/>
                <w:color w:val="FF0000"/>
                <w:sz w:val="24"/>
                <w:szCs w:val="24"/>
                <w:lang w:val="en-US" w:eastAsia="zh-CN"/>
              </w:rPr>
              <w:t>3</w:t>
            </w:r>
            <w:r>
              <w:rPr>
                <w:rFonts w:hint="eastAsia"/>
                <w:b/>
                <w:bCs/>
                <w:color w:val="FF0000"/>
                <w:sz w:val="24"/>
                <w:szCs w:val="24"/>
              </w:rPr>
              <w:t>、与生态环境分区管控的符合性分析</w:t>
            </w:r>
          </w:p>
          <w:p w14:paraId="5F2F8B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left"/>
              <w:textAlignment w:val="auto"/>
              <w:rPr>
                <w:rFonts w:hint="eastAsia"/>
                <w:color w:val="FF0000"/>
                <w:sz w:val="24"/>
                <w:szCs w:val="24"/>
                <w:lang w:val="en-US" w:eastAsia="zh-CN"/>
              </w:rPr>
            </w:pPr>
            <w:r>
              <w:rPr>
                <w:rFonts w:hint="eastAsia"/>
                <w:color w:val="FF0000"/>
                <w:sz w:val="24"/>
                <w:szCs w:val="24"/>
                <w:lang w:val="en-US" w:eastAsia="zh-CN"/>
              </w:rPr>
              <w:t>本项目位于</w:t>
            </w:r>
            <w:r>
              <w:rPr>
                <w:rFonts w:hint="default"/>
                <w:color w:val="FF0000"/>
                <w:sz w:val="24"/>
              </w:rPr>
              <w:t>黑龙江省</w:t>
            </w:r>
            <w:r>
              <w:rPr>
                <w:rFonts w:hint="eastAsia"/>
                <w:color w:val="FF0000"/>
                <w:sz w:val="24"/>
                <w:lang w:val="en-US" w:eastAsia="zh-CN"/>
              </w:rPr>
              <w:t>鸡西市恒山区、鸡东县</w:t>
            </w:r>
            <w:r>
              <w:rPr>
                <w:rFonts w:hint="eastAsia"/>
                <w:color w:val="FF0000"/>
                <w:sz w:val="24"/>
                <w:szCs w:val="24"/>
                <w:lang w:val="en-US" w:eastAsia="zh-CN"/>
              </w:rPr>
              <w:t>，根据黑龙江省生态环境厅发布的《关于发布2023年生态环境分区管控动态更新成果的通知》（黑环发〔2024〕1号）、</w:t>
            </w:r>
            <w:r>
              <w:rPr>
                <w:rFonts w:hint="eastAsia" w:ascii="Times New Roman" w:hAnsi="Times New Roman" w:eastAsia="宋体" w:cs="Times New Roman"/>
                <w:color w:val="FF0000"/>
                <w:kern w:val="0"/>
                <w:sz w:val="24"/>
                <w:highlight w:val="none"/>
                <w:lang w:val="en-US" w:eastAsia="zh-CN" w:bidi="ar"/>
              </w:rPr>
              <w:t>《关于发布鸡西市生态环境准入清单（2023年版）的通知》（2024年2月28日）、</w:t>
            </w:r>
            <w:r>
              <w:rPr>
                <w:rFonts w:hint="eastAsia"/>
                <w:color w:val="FF0000"/>
                <w:sz w:val="24"/>
                <w:szCs w:val="24"/>
                <w:lang w:val="en-US" w:eastAsia="zh-CN"/>
              </w:rPr>
              <w:t>《鸡西市人民政府关于实施“三线一单”生态环境分区管控的意见》（鸡政发〔2021〕7号）、《自然资源部办公厅关于依据“三区三线”划定成果报批建设项目用地用海有关事宜的函》（自然资办函〔2022〕2072号）及《关于在国土空间规划中统筹划定落实三条控制线的指导意见》（国务院办公厅〔2019〕32号）及黑龙江省生态环境分区管控数据应用平台查询结果，本项目区域位于优先保护单元、一般管控单元和重点管控单元。本项目与鸡西市“生态环境分区管控”符合性分析详见表1-1。</w:t>
            </w:r>
          </w:p>
          <w:p w14:paraId="02A46AF1">
            <w:pPr>
              <w:pStyle w:val="76"/>
              <w:keepNext w:val="0"/>
              <w:keepLines w:val="0"/>
              <w:widowControl w:val="0"/>
              <w:suppressLineNumbers w:val="0"/>
              <w:bidi w:val="0"/>
              <w:adjustRightInd/>
              <w:snapToGrid/>
              <w:spacing w:before="0" w:beforeLines="-2147483648" w:beforeAutospacing="0" w:after="0" w:afterLines="-2147483648" w:afterAutospacing="0" w:line="240" w:lineRule="auto"/>
              <w:ind w:left="0" w:right="0" w:firstLine="0" w:firstLineChars="0"/>
              <w:rPr>
                <w:rFonts w:hint="eastAsia" w:ascii="Times New Roman" w:hAnsi="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b/>
                <w:color w:val="000000" w:themeColor="text1"/>
                <w:sz w:val="24"/>
                <w:szCs w:val="24"/>
                <w:highlight w:val="none"/>
                <w:lang w:val="en-US" w:eastAsia="zh-CN"/>
                <w14:textFill>
                  <w14:solidFill>
                    <w14:schemeClr w14:val="tx1"/>
                  </w14:solidFill>
                </w14:textFill>
              </w:rPr>
              <w:t>表</w:t>
            </w:r>
            <w:r>
              <w:rPr>
                <w:rFonts w:hint="eastAsia" w:ascii="Times New Roman" w:hAnsi="Times New Roman"/>
                <w:b/>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b/>
                <w:color w:val="000000" w:themeColor="text1"/>
                <w:sz w:val="24"/>
                <w:szCs w:val="24"/>
                <w:highlight w:val="none"/>
                <w:lang w:val="en-US" w:eastAsia="zh-CN"/>
                <w14:textFill>
                  <w14:solidFill>
                    <w14:schemeClr w14:val="tx1"/>
                  </w14:solidFill>
                </w14:textFill>
              </w:rPr>
              <w:t>1-1</w:t>
            </w:r>
            <w:r>
              <w:rPr>
                <w:rFonts w:hint="eastAsia" w:ascii="Times New Roman" w:hAnsi="Times New Roman"/>
                <w:b/>
                <w:color w:val="000000" w:themeColor="text1"/>
                <w:sz w:val="24"/>
                <w:szCs w:val="24"/>
                <w:highlight w:val="none"/>
                <w:lang w:val="en-US" w:eastAsia="zh-CN"/>
                <w14:textFill>
                  <w14:solidFill>
                    <w14:schemeClr w14:val="tx1"/>
                  </w14:solidFill>
                </w14:textFill>
              </w:rPr>
              <w:t xml:space="preserve"> </w:t>
            </w:r>
            <w:r>
              <w:rPr>
                <w:rFonts w:hint="eastAsia" w:ascii="Times New Roman"/>
                <w:b/>
                <w:color w:val="000000" w:themeColor="text1"/>
                <w:sz w:val="24"/>
                <w:szCs w:val="24"/>
                <w:highlight w:val="none"/>
                <w:lang w:val="en-US" w:eastAsia="zh-CN"/>
                <w14:textFill>
                  <w14:solidFill>
                    <w14:schemeClr w14:val="tx1"/>
                  </w14:solidFill>
                </w14:textFill>
              </w:rPr>
              <w:t>鸡西</w:t>
            </w:r>
            <w:r>
              <w:rPr>
                <w:rFonts w:hint="default" w:ascii="Times New Roman" w:hAnsi="Times New Roman"/>
                <w:b/>
                <w:color w:val="000000" w:themeColor="text1"/>
                <w:sz w:val="24"/>
                <w:szCs w:val="24"/>
                <w:highlight w:val="none"/>
                <w:lang w:val="en-US" w:eastAsia="zh-CN"/>
                <w14:textFill>
                  <w14:solidFill>
                    <w14:schemeClr w14:val="tx1"/>
                  </w14:solidFill>
                </w14:textFill>
              </w:rPr>
              <w:t>市“生态环境分区管控”符合性分析</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8"/>
              <w:gridCol w:w="3529"/>
              <w:gridCol w:w="53"/>
              <w:gridCol w:w="2508"/>
            </w:tblGrid>
            <w:tr w14:paraId="6E50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tcBorders>
                    <w:tl2br w:val="nil"/>
                    <w:tr2bl w:val="nil"/>
                  </w:tcBorders>
                  <w:vAlign w:val="center"/>
                </w:tcPr>
                <w:p w14:paraId="3DFCE482">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一、生态保护红线</w:t>
                  </w:r>
                </w:p>
              </w:tc>
            </w:tr>
            <w:tr w14:paraId="47FC3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2" w:type="pct"/>
                  <w:tcBorders>
                    <w:tl2br w:val="nil"/>
                    <w:tr2bl w:val="nil"/>
                  </w:tcBorders>
                  <w:vAlign w:val="center"/>
                </w:tcPr>
                <w:p w14:paraId="191D2869">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管控单元类别</w:t>
                  </w:r>
                </w:p>
              </w:tc>
              <w:tc>
                <w:tcPr>
                  <w:tcW w:w="4277" w:type="pct"/>
                  <w:gridSpan w:val="3"/>
                  <w:tcBorders>
                    <w:tl2br w:val="nil"/>
                    <w:tr2bl w:val="nil"/>
                  </w:tcBorders>
                  <w:vAlign w:val="center"/>
                </w:tcPr>
                <w:p w14:paraId="2FDE4B1E">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一般生态空间（优先</w:t>
                  </w:r>
                  <w:r>
                    <w:rPr>
                      <w:rFonts w:hint="eastAsia"/>
                      <w:color w:val="000000" w:themeColor="text1"/>
                      <w:sz w:val="21"/>
                      <w:szCs w:val="21"/>
                      <w:lang w:val="en-US" w:eastAsia="zh-CN"/>
                      <w14:textFill>
                        <w14:solidFill>
                          <w14:schemeClr w14:val="tx1"/>
                        </w14:solidFill>
                      </w14:textFill>
                    </w:rPr>
                    <w:t>保护</w:t>
                  </w:r>
                  <w:r>
                    <w:rPr>
                      <w:rFonts w:hint="eastAsia" w:ascii="Times New Roman"/>
                      <w:color w:val="000000" w:themeColor="text1"/>
                      <w:sz w:val="21"/>
                      <w:szCs w:val="21"/>
                      <w:lang w:val="en-US" w:eastAsia="zh-CN"/>
                      <w14:textFill>
                        <w14:solidFill>
                          <w14:schemeClr w14:val="tx1"/>
                        </w14:solidFill>
                      </w14:textFill>
                    </w:rPr>
                    <w:t>单元）</w:t>
                  </w:r>
                </w:p>
              </w:tc>
            </w:tr>
            <w:tr w14:paraId="1186C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2" w:type="pct"/>
                  <w:tcBorders>
                    <w:tl2br w:val="nil"/>
                    <w:tr2bl w:val="nil"/>
                  </w:tcBorders>
                  <w:vAlign w:val="center"/>
                </w:tcPr>
                <w:p w14:paraId="389DFD4D">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w:t>
                  </w:r>
                </w:p>
                <w:p w14:paraId="24A66AEA">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要求</w:t>
                  </w:r>
                </w:p>
              </w:tc>
              <w:tc>
                <w:tcPr>
                  <w:tcW w:w="4277" w:type="pct"/>
                  <w:gridSpan w:val="3"/>
                  <w:tcBorders>
                    <w:tl2br w:val="nil"/>
                    <w:tr2bl w:val="nil"/>
                  </w:tcBorders>
                  <w:vAlign w:val="center"/>
                </w:tcPr>
                <w:p w14:paraId="2329E0EC">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color w:val="000000" w:themeColor="text1"/>
                      <w:sz w:val="21"/>
                      <w:szCs w:val="21"/>
                      <w14:textFill>
                        <w14:solidFill>
                          <w14:schemeClr w14:val="tx1"/>
                        </w14:solidFill>
                      </w14:textFill>
                    </w:rPr>
                  </w:pPr>
                  <w:r>
                    <w:rPr>
                      <w:rFonts w:hint="default" w:ascii="Times New Roman"/>
                      <w:color w:val="auto"/>
                      <w:sz w:val="21"/>
                      <w:szCs w:val="21"/>
                    </w:rPr>
                    <w:t>生态空间包括生态保护红线和一般生态空间，生态保护红线及一般生态空间均属于优先保护区，其余区域属于一般管控区。</w:t>
                  </w:r>
                </w:p>
              </w:tc>
            </w:tr>
            <w:tr w14:paraId="50096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722" w:type="pct"/>
                  <w:tcBorders>
                    <w:tl2br w:val="nil"/>
                    <w:tr2bl w:val="nil"/>
                  </w:tcBorders>
                  <w:vAlign w:val="center"/>
                </w:tcPr>
                <w:p w14:paraId="3743709A">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符合性分析</w:t>
                  </w:r>
                </w:p>
              </w:tc>
              <w:tc>
                <w:tcPr>
                  <w:tcW w:w="4277" w:type="pct"/>
                  <w:gridSpan w:val="3"/>
                  <w:tcBorders>
                    <w:tl2br w:val="nil"/>
                    <w:tr2bl w:val="nil"/>
                  </w:tcBorders>
                  <w:vAlign w:val="center"/>
                </w:tcPr>
                <w:p w14:paraId="5184D985">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eastAsia="宋体"/>
                      <w:color w:val="000000" w:themeColor="text1"/>
                      <w:sz w:val="21"/>
                      <w:szCs w:val="21"/>
                      <w:lang w:eastAsia="zh-CN"/>
                      <w14:textFill>
                        <w14:solidFill>
                          <w14:schemeClr w14:val="tx1"/>
                        </w14:solidFill>
                      </w14:textFill>
                    </w:rPr>
                  </w:pPr>
                  <w:r>
                    <w:rPr>
                      <w:rFonts w:hint="eastAsia" w:ascii="Times New Roman"/>
                      <w:color w:val="000000" w:themeColor="text1"/>
                      <w:sz w:val="21"/>
                      <w:szCs w:val="21"/>
                      <w14:textFill>
                        <w14:solidFill>
                          <w14:schemeClr w14:val="tx1"/>
                        </w14:solidFill>
                      </w14:textFill>
                    </w:rPr>
                    <w:t>根据《黑龙江省人民政府关于实施“</w:t>
                  </w:r>
                  <w:r>
                    <w:rPr>
                      <w:rFonts w:hint="eastAsia"/>
                      <w:color w:val="000000" w:themeColor="text1"/>
                      <w:sz w:val="21"/>
                      <w:szCs w:val="21"/>
                      <w:lang w:eastAsia="zh-CN"/>
                      <w14:textFill>
                        <w14:solidFill>
                          <w14:schemeClr w14:val="tx1"/>
                        </w14:solidFill>
                      </w14:textFill>
                    </w:rPr>
                    <w:t>生态环境分区管控</w:t>
                  </w:r>
                  <w:r>
                    <w:rPr>
                      <w:rFonts w:hint="eastAsia" w:ascii="Times New Roman"/>
                      <w:color w:val="000000" w:themeColor="text1"/>
                      <w:sz w:val="21"/>
                      <w:szCs w:val="21"/>
                      <w14:textFill>
                        <w14:solidFill>
                          <w14:schemeClr w14:val="tx1"/>
                        </w14:solidFill>
                      </w14:textFill>
                    </w:rPr>
                    <w:t>”生态环境分区管控的意见》（黑政发〔2020〕14号）、《自然资源部办公厅关于依据“三区三线”划定成果报批建设项目用地用海有关事宜的函》（自然资办函〔2022</w:t>
                  </w:r>
                  <w:r>
                    <w:rPr>
                      <w:rFonts w:hint="eastAsia" w:ascii="Times New Roman" w:hAnsi="Times New Roman" w:eastAsia="宋体" w:cs="Times New Roman"/>
                      <w:color w:val="000000" w:themeColor="text1"/>
                      <w:sz w:val="21"/>
                      <w:szCs w:val="21"/>
                      <w14:textFill>
                        <w14:solidFill>
                          <w14:schemeClr w14:val="tx1"/>
                        </w14:solidFill>
                      </w14:textFill>
                    </w:rPr>
                    <w:t>〕2072号）和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《鸡西市人民政府关于实施“</w:t>
                  </w:r>
                  <w:r>
                    <w:rPr>
                      <w:rFonts w:hint="eastAsia" w:cs="Times New Roman"/>
                      <w:color w:val="000000" w:themeColor="text1"/>
                      <w:sz w:val="21"/>
                      <w:szCs w:val="21"/>
                      <w:lang w:val="en-US" w:eastAsia="zh-CN"/>
                      <w14:textFill>
                        <w14:solidFill>
                          <w14:schemeClr w14:val="tx1"/>
                        </w14:solidFill>
                      </w14:textFill>
                    </w:rPr>
                    <w:t>生态环境分区管控</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”生态环境分区管控的意见》（鸡政发〔2021〕7号）</w:t>
                  </w:r>
                  <w:r>
                    <w:rPr>
                      <w:rFonts w:hint="eastAsia" w:ascii="Times New Roman" w:hAnsi="Times New Roman" w:eastAsia="宋体" w:cs="Times New Roman"/>
                      <w:color w:val="000000" w:themeColor="text1"/>
                      <w:sz w:val="21"/>
                      <w:szCs w:val="21"/>
                      <w14:textFill>
                        <w14:solidFill>
                          <w14:schemeClr w14:val="tx1"/>
                        </w14:solidFill>
                      </w14:textFill>
                    </w:rPr>
                    <w:t>中要求，本项目位于黑龙江省鸡西市恒山区、鸡东县境内，本项目不在生态保护红线范围内及各类保护地内，不涉及国家、省、市级自然保护区、自然文化遗产、风景名胜区、文物</w:t>
                  </w:r>
                  <w:r>
                    <w:rPr>
                      <w:rFonts w:hint="eastAsia" w:ascii="Times New Roman"/>
                      <w:color w:val="000000" w:themeColor="text1"/>
                      <w:sz w:val="21"/>
                      <w:szCs w:val="21"/>
                      <w14:textFill>
                        <w14:solidFill>
                          <w14:schemeClr w14:val="tx1"/>
                        </w14:solidFill>
                      </w14:textFill>
                    </w:rPr>
                    <w:t>古迹、生态红线、饮用水水源保护区、重要湿地等区域</w:t>
                  </w:r>
                  <w:r>
                    <w:rPr>
                      <w:rFonts w:hint="eastAsia"/>
                      <w:color w:val="000000" w:themeColor="text1"/>
                      <w:sz w:val="21"/>
                      <w:szCs w:val="21"/>
                      <w:lang w:eastAsia="zh-CN"/>
                      <w14:textFill>
                        <w14:solidFill>
                          <w14:schemeClr w14:val="tx1"/>
                        </w14:solidFill>
                      </w14:textFill>
                    </w:rPr>
                    <w:t>。</w:t>
                  </w:r>
                </w:p>
                <w:p w14:paraId="5B4E1EF6">
                  <w:pPr>
                    <w:keepNext w:val="0"/>
                    <w:keepLines w:val="0"/>
                    <w:suppressLineNumbers w:val="0"/>
                    <w:adjustRightInd w:val="0"/>
                    <w:spacing w:before="0" w:beforeAutospacing="0" w:after="0" w:afterAutospacing="0" w:line="240" w:lineRule="atLeast"/>
                    <w:ind w:left="0" w:right="0"/>
                    <w:jc w:val="left"/>
                    <w:textAlignment w:val="baseline"/>
                    <w:rPr>
                      <w:rFonts w:hint="default" w:ascii="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w:t>
                  </w:r>
                  <w:r>
                    <w:rPr>
                      <w:rFonts w:hint="eastAsia" w:ascii="Times New Roman"/>
                      <w:color w:val="000000" w:themeColor="text1"/>
                      <w:sz w:val="21"/>
                      <w:szCs w:val="21"/>
                      <w:highlight w:val="none"/>
                      <w:lang w:val="en-US" w:eastAsia="zh-CN"/>
                      <w14:textFill>
                        <w14:solidFill>
                          <w14:schemeClr w14:val="tx1"/>
                        </w14:solidFill>
                      </w14:textFill>
                    </w:rPr>
                    <w:t>线路涉及一般生态空间，属于</w:t>
                  </w:r>
                  <w:r>
                    <w:rPr>
                      <w:rFonts w:hint="eastAsia" w:ascii="Times New Roman"/>
                      <w:color w:val="000000" w:themeColor="text1"/>
                      <w:sz w:val="21"/>
                      <w:szCs w:val="21"/>
                      <w:highlight w:val="none"/>
                      <w14:textFill>
                        <w14:solidFill>
                          <w14:schemeClr w14:val="tx1"/>
                        </w14:solidFill>
                      </w14:textFill>
                    </w:rPr>
                    <w:t>优先保护单元，</w:t>
                  </w:r>
                  <w:r>
                    <w:rPr>
                      <w:rFonts w:hint="eastAsia"/>
                      <w:color w:val="000000" w:themeColor="text1"/>
                      <w:sz w:val="21"/>
                      <w:szCs w:val="21"/>
                      <w:highlight w:val="none"/>
                      <w:lang w:val="en-US" w:eastAsia="zh-CN"/>
                      <w14:textFill>
                        <w14:solidFill>
                          <w14:schemeClr w14:val="tx1"/>
                        </w14:solidFill>
                      </w14:textFill>
                    </w:rPr>
                    <w:t>本项目不占用生态空间中的林地、草原等，不对生态空间产生损害影响，且</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不属于《黑龙江省重点生态功能区产业准入负面清单（试行版）》限制类、禁止类产业。</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能耗较低，无新增废水外排。工程建设过程中通过采取相应污染</w:t>
                  </w:r>
                  <w:r>
                    <w:rPr>
                      <w:rFonts w:hint="eastAsia" w:cs="Times New Roman"/>
                      <w:color w:val="000000" w:themeColor="text1"/>
                      <w:kern w:val="0"/>
                      <w:sz w:val="21"/>
                      <w:szCs w:val="21"/>
                      <w:highlight w:val="none"/>
                      <w:lang w:val="en-US" w:eastAsia="zh-CN" w:bidi="ar"/>
                      <w14:textFill>
                        <w14:solidFill>
                          <w14:schemeClr w14:val="tx1"/>
                        </w14:solidFill>
                      </w14:textFill>
                    </w:rPr>
                    <w:t>防治</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措施后，周边环境质量均满足相应标准要求，对周边环境影响可接受。</w:t>
                  </w:r>
                  <w:r>
                    <w:rPr>
                      <w:rFonts w:hint="eastAsia" w:ascii="Times New Roman"/>
                      <w:color w:val="000000" w:themeColor="text1"/>
                      <w:sz w:val="21"/>
                      <w:szCs w:val="21"/>
                      <w:highlight w:val="none"/>
                      <w14:textFill>
                        <w14:solidFill>
                          <w14:schemeClr w14:val="tx1"/>
                        </w14:solidFill>
                      </w14:textFill>
                    </w:rPr>
                    <w:t>符合</w:t>
                  </w:r>
                  <w:r>
                    <w:rPr>
                      <w:rFonts w:hint="eastAsia" w:ascii="Times New Roman"/>
                      <w:color w:val="000000" w:themeColor="text1"/>
                      <w:sz w:val="21"/>
                      <w:szCs w:val="21"/>
                      <w:lang w:val="en-US" w:eastAsia="zh-CN"/>
                      <w14:textFill>
                        <w14:solidFill>
                          <w14:schemeClr w14:val="tx1"/>
                        </w14:solidFill>
                      </w14:textFill>
                    </w:rPr>
                    <w:t>一般生态空间</w:t>
                  </w:r>
                  <w:r>
                    <w:rPr>
                      <w:rFonts w:hint="eastAsia" w:ascii="Times New Roman"/>
                      <w:color w:val="000000" w:themeColor="text1"/>
                      <w:sz w:val="21"/>
                      <w:szCs w:val="21"/>
                      <w:highlight w:val="none"/>
                      <w14:textFill>
                        <w14:solidFill>
                          <w14:schemeClr w14:val="tx1"/>
                        </w14:solidFill>
                      </w14:textFill>
                    </w:rPr>
                    <w:t>要求。</w:t>
                  </w:r>
                </w:p>
              </w:tc>
            </w:tr>
            <w:tr w14:paraId="3AAE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5000" w:type="pct"/>
                  <w:gridSpan w:val="4"/>
                  <w:tcBorders>
                    <w:tl2br w:val="nil"/>
                    <w:tr2bl w:val="nil"/>
                  </w:tcBorders>
                  <w:vAlign w:val="center"/>
                </w:tcPr>
                <w:p w14:paraId="2A9A7E03">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二、环境质量底线</w:t>
                  </w:r>
                </w:p>
              </w:tc>
            </w:tr>
            <w:tr w14:paraId="52669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5000" w:type="pct"/>
                  <w:gridSpan w:val="4"/>
                  <w:tcBorders>
                    <w:tl2br w:val="nil"/>
                    <w:tr2bl w:val="nil"/>
                  </w:tcBorders>
                  <w:vAlign w:val="center"/>
                </w:tcPr>
                <w:p w14:paraId="366E4289">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地下水</w:t>
                  </w:r>
                  <w:r>
                    <w:rPr>
                      <w:rFonts w:hint="default" w:ascii="Times New Roman"/>
                      <w:b/>
                      <w:bCs/>
                      <w:color w:val="000000" w:themeColor="text1"/>
                      <w:sz w:val="21"/>
                      <w:szCs w:val="21"/>
                      <w14:textFill>
                        <w14:solidFill>
                          <w14:schemeClr w14:val="tx1"/>
                        </w14:solidFill>
                      </w14:textFill>
                    </w:rPr>
                    <w:t>环境</w:t>
                  </w:r>
                </w:p>
              </w:tc>
            </w:tr>
            <w:tr w14:paraId="5DA0B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5000" w:type="pct"/>
                  <w:gridSpan w:val="4"/>
                  <w:tcBorders>
                    <w:tl2br w:val="nil"/>
                    <w:tr2bl w:val="nil"/>
                  </w:tcBorders>
                  <w:vAlign w:val="center"/>
                </w:tcPr>
                <w:p w14:paraId="613A4677">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水环境</w:t>
                  </w:r>
                </w:p>
              </w:tc>
            </w:tr>
            <w:tr w14:paraId="00290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722" w:type="pct"/>
                  <w:tcBorders>
                    <w:tl2br w:val="nil"/>
                    <w:tr2bl w:val="nil"/>
                  </w:tcBorders>
                  <w:vAlign w:val="center"/>
                </w:tcPr>
                <w:p w14:paraId="12EE9E12">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管控单元类别</w:t>
                  </w:r>
                </w:p>
              </w:tc>
              <w:tc>
                <w:tcPr>
                  <w:tcW w:w="4277" w:type="pct"/>
                  <w:gridSpan w:val="3"/>
                  <w:tcBorders>
                    <w:tl2br w:val="nil"/>
                    <w:tr2bl w:val="nil"/>
                  </w:tcBorders>
                  <w:vAlign w:val="center"/>
                </w:tcPr>
                <w:p w14:paraId="1A318E91">
                  <w:pPr>
                    <w:keepNext w:val="0"/>
                    <w:keepLines w:val="0"/>
                    <w:suppressLineNumbers w:val="0"/>
                    <w:adjustRightInd w:val="0"/>
                    <w:spacing w:before="0" w:beforeAutospacing="0" w:after="0" w:afterAutospacing="0" w:line="240" w:lineRule="atLeast"/>
                    <w:ind w:left="0" w:right="0"/>
                    <w:jc w:val="center"/>
                    <w:textAlignment w:val="baseline"/>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恒山区地下水环境一般管控区</w:t>
                  </w:r>
                </w:p>
                <w:p w14:paraId="1CD97D06">
                  <w:pPr>
                    <w:keepNext w:val="0"/>
                    <w:keepLines w:val="0"/>
                    <w:suppressLineNumbers w:val="0"/>
                    <w:adjustRightInd w:val="0"/>
                    <w:spacing w:before="0" w:beforeAutospacing="0" w:after="0" w:afterAutospacing="0" w:line="240" w:lineRule="atLeast"/>
                    <w:ind w:left="0" w:right="0"/>
                    <w:jc w:val="center"/>
                    <w:textAlignment w:val="baseline"/>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鸡东县地下水环境一般管控区</w:t>
                  </w:r>
                </w:p>
              </w:tc>
            </w:tr>
            <w:tr w14:paraId="5A477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238" w:type="pct"/>
                  <w:gridSpan w:val="3"/>
                  <w:tcBorders>
                    <w:tl2br w:val="nil"/>
                    <w:tr2bl w:val="nil"/>
                  </w:tcBorders>
                  <w:vAlign w:val="center"/>
                </w:tcPr>
                <w:p w14:paraId="438FC69A">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管控要求</w:t>
                  </w:r>
                </w:p>
              </w:tc>
              <w:tc>
                <w:tcPr>
                  <w:tcW w:w="1761" w:type="pct"/>
                  <w:tcBorders>
                    <w:tl2br w:val="nil"/>
                    <w:tr2bl w:val="nil"/>
                  </w:tcBorders>
                  <w:vAlign w:val="center"/>
                </w:tcPr>
                <w:p w14:paraId="5C9C9B7D">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符合性分析</w:t>
                  </w:r>
                </w:p>
              </w:tc>
            </w:tr>
            <w:tr w14:paraId="3EC19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2" w:type="pct"/>
                  <w:tcBorders>
                    <w:tl2br w:val="nil"/>
                    <w:tr2bl w:val="nil"/>
                  </w:tcBorders>
                  <w:vAlign w:val="center"/>
                </w:tcPr>
                <w:p w14:paraId="12D8D04B">
                  <w:pPr>
                    <w:keepNext w:val="0"/>
                    <w:keepLines w:val="0"/>
                    <w:suppressLineNumbers w:val="0"/>
                    <w:adjustRightInd w:val="0"/>
                    <w:spacing w:before="0" w:beforeAutospacing="0" w:after="0" w:afterAutospacing="0" w:line="240" w:lineRule="atLeast"/>
                    <w:ind w:left="0" w:right="0"/>
                    <w:jc w:val="center"/>
                    <w:textAlignment w:val="baseline"/>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环境</w:t>
                  </w:r>
                </w:p>
                <w:p w14:paraId="19C00F13">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eastAsiaTheme="minorEastAsia"/>
                      <w:b/>
                      <w:bCs/>
                      <w:color w:val="000000" w:themeColor="text1"/>
                      <w:sz w:val="21"/>
                      <w:szCs w:val="21"/>
                      <w:lang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风险</w:t>
                  </w:r>
                </w:p>
              </w:tc>
              <w:tc>
                <w:tcPr>
                  <w:tcW w:w="2516" w:type="pct"/>
                  <w:gridSpan w:val="2"/>
                  <w:tcBorders>
                    <w:tl2br w:val="nil"/>
                    <w:tr2bl w:val="nil"/>
                  </w:tcBorders>
                  <w:vAlign w:val="center"/>
                </w:tcPr>
                <w:p w14:paraId="0FDB1478">
                  <w:pPr>
                    <w:keepNext w:val="0"/>
                    <w:keepLines w:val="0"/>
                    <w:suppressLineNumbers w:val="0"/>
                    <w:adjustRightInd w:val="0"/>
                    <w:spacing w:before="0" w:beforeAutospacing="0" w:after="0" w:afterAutospacing="0" w:line="240" w:lineRule="atLeast"/>
                    <w:ind w:left="0" w:right="0"/>
                    <w:jc w:val="left"/>
                    <w:textAlignment w:val="baseline"/>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761" w:type="pct"/>
                  <w:tcBorders>
                    <w:tl2br w:val="nil"/>
                    <w:tr2bl w:val="nil"/>
                  </w:tcBorders>
                  <w:vAlign w:val="center"/>
                </w:tcPr>
                <w:p w14:paraId="6A75C432">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14:textFill>
                        <w14:solidFill>
                          <w14:schemeClr w14:val="tx1"/>
                        </w14:solidFill>
                      </w14:textFill>
                    </w:rPr>
                  </w:pPr>
                  <w:r>
                    <w:rPr>
                      <w:rFonts w:hint="eastAsia" w:ascii="Times New Roman" w:hAnsi="Times New Roman" w:eastAsia="宋体" w:cs="宋体"/>
                      <w:b w:val="0"/>
                      <w:bCs w:val="0"/>
                      <w:color w:val="000000" w:themeColor="text1"/>
                      <w:kern w:val="0"/>
                      <w:sz w:val="21"/>
                      <w:szCs w:val="21"/>
                      <w:lang w:val="en-US" w:eastAsia="zh-CN" w:bidi="ar"/>
                      <w14:textFill>
                        <w14:solidFill>
                          <w14:schemeClr w14:val="tx1"/>
                        </w14:solidFill>
                      </w14:textFill>
                    </w:rPr>
                    <w:t>本项目建设阶段不向水体排污，施工人员生活污水排入变电站现有防渗化粪池，</w:t>
                  </w:r>
                  <w:r>
                    <w:rPr>
                      <w:rFonts w:hint="eastAsia" w:cs="宋体"/>
                      <w:b w:val="0"/>
                      <w:bCs w:val="0"/>
                      <w:color w:val="auto"/>
                      <w:kern w:val="0"/>
                      <w:sz w:val="21"/>
                      <w:szCs w:val="21"/>
                      <w:lang w:val="en-US" w:eastAsia="zh-CN" w:bidi="ar"/>
                    </w:rPr>
                    <w:t>线路沿线村庄民房现有旱厕</w:t>
                  </w:r>
                  <w:r>
                    <w:rPr>
                      <w:rFonts w:hint="eastAsia" w:ascii="Times New Roman" w:hAnsi="Times New Roman" w:eastAsia="宋体" w:cs="宋体"/>
                      <w:b w:val="0"/>
                      <w:bCs w:val="0"/>
                      <w:color w:val="auto"/>
                      <w:kern w:val="0"/>
                      <w:sz w:val="21"/>
                      <w:szCs w:val="21"/>
                      <w:lang w:val="en-US" w:eastAsia="zh-CN" w:bidi="ar"/>
                    </w:rPr>
                    <w:t>，</w:t>
                  </w:r>
                  <w:r>
                    <w:rPr>
                      <w:rFonts w:hint="eastAsia" w:ascii="Times New Roman" w:hAnsi="Times New Roman" w:eastAsia="宋体" w:cs="宋体"/>
                      <w:b w:val="0"/>
                      <w:bCs w:val="0"/>
                      <w:color w:val="000000" w:themeColor="text1"/>
                      <w:kern w:val="0"/>
                      <w:sz w:val="21"/>
                      <w:szCs w:val="21"/>
                      <w:lang w:val="en-US" w:eastAsia="zh-CN" w:bidi="ar"/>
                      <w14:textFill>
                        <w14:solidFill>
                          <w14:schemeClr w14:val="tx1"/>
                        </w14:solidFill>
                      </w14:textFill>
                    </w:rPr>
                    <w:t>定期清掏外运，不外排，不会影响当地水环境质量。</w:t>
                  </w:r>
                </w:p>
              </w:tc>
            </w:tr>
            <w:tr w14:paraId="41676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5000" w:type="pct"/>
                  <w:gridSpan w:val="4"/>
                  <w:tcBorders>
                    <w:tl2br w:val="nil"/>
                    <w:tr2bl w:val="nil"/>
                  </w:tcBorders>
                  <w:vAlign w:val="center"/>
                </w:tcPr>
                <w:p w14:paraId="2A06266E">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三、资源利用上线</w:t>
                  </w:r>
                </w:p>
              </w:tc>
            </w:tr>
            <w:tr w14:paraId="784F4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4"/>
                  <w:tcBorders>
                    <w:tl2br w:val="nil"/>
                    <w:tr2bl w:val="nil"/>
                  </w:tcBorders>
                  <w:vAlign w:val="center"/>
                </w:tcPr>
                <w:p w14:paraId="041CC51B">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eastAsia="宋体"/>
                      <w:color w:val="000000" w:themeColor="text1"/>
                      <w:sz w:val="21"/>
                      <w:szCs w:val="21"/>
                      <w:lang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自然资源</w:t>
                  </w:r>
                </w:p>
              </w:tc>
            </w:tr>
            <w:tr w14:paraId="02928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2" w:type="pct"/>
                  <w:tcBorders>
                    <w:tl2br w:val="nil"/>
                    <w:tr2bl w:val="nil"/>
                  </w:tcBorders>
                  <w:vAlign w:val="center"/>
                </w:tcPr>
                <w:p w14:paraId="6DF5DC95">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管控单元类别</w:t>
                  </w:r>
                </w:p>
              </w:tc>
              <w:tc>
                <w:tcPr>
                  <w:tcW w:w="4277" w:type="pct"/>
                  <w:gridSpan w:val="3"/>
                  <w:tcBorders>
                    <w:tl2br w:val="nil"/>
                    <w:tr2bl w:val="nil"/>
                  </w:tcBorders>
                  <w:vAlign w:val="center"/>
                </w:tcPr>
                <w:p w14:paraId="46EAD57D">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一般</w:t>
                  </w:r>
                  <w:r>
                    <w:rPr>
                      <w:rFonts w:hint="default" w:ascii="Times New Roman"/>
                      <w:color w:val="000000" w:themeColor="text1"/>
                      <w:sz w:val="21"/>
                      <w:szCs w:val="21"/>
                      <w14:textFill>
                        <w14:solidFill>
                          <w14:schemeClr w14:val="tx1"/>
                        </w14:solidFill>
                      </w14:textFill>
                    </w:rPr>
                    <w:t>管控区</w:t>
                  </w:r>
                </w:p>
              </w:tc>
            </w:tr>
            <w:tr w14:paraId="0E408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2" w:type="pct"/>
                  <w:tcBorders>
                    <w:tl2br w:val="nil"/>
                    <w:tr2bl w:val="nil"/>
                  </w:tcBorders>
                  <w:vAlign w:val="center"/>
                </w:tcPr>
                <w:p w14:paraId="1EED78E4">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w:t>
                  </w:r>
                </w:p>
                <w:p w14:paraId="576D8718">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要求</w:t>
                  </w:r>
                </w:p>
              </w:tc>
              <w:tc>
                <w:tcPr>
                  <w:tcW w:w="4277" w:type="pct"/>
                  <w:gridSpan w:val="3"/>
                  <w:tcBorders>
                    <w:tl2br w:val="nil"/>
                    <w:tr2bl w:val="nil"/>
                  </w:tcBorders>
                  <w:vAlign w:val="center"/>
                </w:tcPr>
                <w:p w14:paraId="284315C6">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1.水资源：</w:t>
                  </w:r>
                </w:p>
                <w:p w14:paraId="1DDBA4FB">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全市2025年用水总量不得超过35.50亿立方米，2030年用水总量控制指标不高于省政府确定的指标。</w:t>
                  </w:r>
                </w:p>
                <w:p w14:paraId="2151D0ED">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2.土地资源：</w:t>
                  </w:r>
                </w:p>
                <w:p w14:paraId="07C6CA1C">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全市2025和2035年耕地保有量不低于规划指标。</w:t>
                  </w:r>
                </w:p>
                <w:p w14:paraId="6C826359">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3.能源：</w:t>
                  </w:r>
                </w:p>
                <w:p w14:paraId="0FD624F3">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2025年和2035年，全市煤炭消费上线不高于省政府确定的指标</w:t>
                  </w:r>
                  <w:r>
                    <w:rPr>
                      <w:rFonts w:hint="eastAsia"/>
                      <w:color w:val="000000" w:themeColor="text1"/>
                      <w:sz w:val="21"/>
                      <w:szCs w:val="21"/>
                      <w:lang w:val="en-US" w:eastAsia="zh-CN"/>
                      <w14:textFill>
                        <w14:solidFill>
                          <w14:schemeClr w14:val="tx1"/>
                        </w14:solidFill>
                      </w14:textFill>
                    </w:rPr>
                    <w:t>。</w:t>
                  </w:r>
                </w:p>
              </w:tc>
            </w:tr>
            <w:tr w14:paraId="6D57B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2" w:type="pct"/>
                  <w:tcBorders>
                    <w:tl2br w:val="nil"/>
                    <w:tr2bl w:val="nil"/>
                  </w:tcBorders>
                  <w:vAlign w:val="center"/>
                </w:tcPr>
                <w:p w14:paraId="40BC3927">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项目符合性分析</w:t>
                  </w:r>
                </w:p>
              </w:tc>
              <w:tc>
                <w:tcPr>
                  <w:tcW w:w="4277" w:type="pct"/>
                  <w:gridSpan w:val="3"/>
                  <w:tcBorders>
                    <w:tl2br w:val="nil"/>
                    <w:tr2bl w:val="nil"/>
                  </w:tcBorders>
                  <w:vAlign w:val="center"/>
                </w:tcPr>
                <w:p w14:paraId="40F8081C">
                  <w:pPr>
                    <w:keepNext w:val="0"/>
                    <w:keepLines w:val="0"/>
                    <w:suppressLineNumbers w:val="0"/>
                    <w:adjustRightInd w:val="0"/>
                    <w:spacing w:before="0" w:beforeAutospacing="0" w:after="0" w:afterAutospacing="0" w:line="240" w:lineRule="atLeast"/>
                    <w:ind w:left="0" w:right="0"/>
                    <w:jc w:val="left"/>
                    <w:textAlignment w:val="baseline"/>
                    <w:rPr>
                      <w:rFonts w:hint="default" w:ascii="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本项目为输变电项目，电能为清洁能源</w:t>
                  </w: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，运营期间不消耗其他能源</w:t>
                  </w:r>
                  <w:r>
                    <w:rPr>
                      <w:rFonts w:hint="default" w:ascii="Times New Roman"/>
                      <w:color w:val="000000" w:themeColor="text1"/>
                      <w:sz w:val="21"/>
                      <w:szCs w:val="21"/>
                      <w14:textFill>
                        <w14:solidFill>
                          <w14:schemeClr w14:val="tx1"/>
                        </w14:solidFill>
                      </w14:textFill>
                    </w:rPr>
                    <w:t>，因此未突破</w:t>
                  </w:r>
                  <w:r>
                    <w:rPr>
                      <w:rFonts w:hint="eastAsia" w:ascii="Times New Roman"/>
                      <w:color w:val="000000" w:themeColor="text1"/>
                      <w:sz w:val="21"/>
                      <w:szCs w:val="21"/>
                      <w:lang w:val="en-US" w:eastAsia="zh-CN"/>
                      <w14:textFill>
                        <w14:solidFill>
                          <w14:schemeClr w14:val="tx1"/>
                        </w14:solidFill>
                      </w14:textFill>
                    </w:rPr>
                    <w:t>能源</w:t>
                  </w:r>
                  <w:r>
                    <w:rPr>
                      <w:rFonts w:hint="eastAsia" w:ascii="Times New Roman"/>
                      <w:color w:val="000000" w:themeColor="text1"/>
                      <w:sz w:val="21"/>
                      <w:szCs w:val="21"/>
                      <w14:textFill>
                        <w14:solidFill>
                          <w14:schemeClr w14:val="tx1"/>
                        </w14:solidFill>
                      </w14:textFill>
                    </w:rPr>
                    <w:t>利用上线</w:t>
                  </w:r>
                  <w:r>
                    <w:rPr>
                      <w:rFonts w:hint="eastAsia" w:ascii="Times New Roman"/>
                      <w:color w:val="000000" w:themeColor="text1"/>
                      <w:sz w:val="21"/>
                      <w:szCs w:val="21"/>
                      <w:lang w:val="en-US" w:eastAsia="zh-CN"/>
                      <w14:textFill>
                        <w14:solidFill>
                          <w14:schemeClr w14:val="tx1"/>
                        </w14:solidFill>
                      </w14:textFill>
                    </w:rPr>
                    <w:t>要求。</w:t>
                  </w: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本项目为</w:t>
                  </w:r>
                  <w:r>
                    <w:rPr>
                      <w:rFonts w:hint="eastAsia" w:cs="宋体"/>
                      <w:color w:val="000000" w:themeColor="text1"/>
                      <w:kern w:val="2"/>
                      <w:sz w:val="21"/>
                      <w:szCs w:val="21"/>
                      <w:lang w:val="en-US" w:eastAsia="zh-CN" w:bidi="ar"/>
                      <w14:textFill>
                        <w14:solidFill>
                          <w14:schemeClr w14:val="tx1"/>
                        </w14:solidFill>
                      </w14:textFill>
                    </w:rPr>
                    <w:t>输变电线路</w:t>
                  </w: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工程，运营期间不消耗水资源</w:t>
                  </w:r>
                  <w:r>
                    <w:rPr>
                      <w:rFonts w:hint="default" w:ascii="Times New Roman"/>
                      <w:color w:val="000000" w:themeColor="text1"/>
                      <w:sz w:val="21"/>
                      <w:szCs w:val="21"/>
                      <w14:textFill>
                        <w14:solidFill>
                          <w14:schemeClr w14:val="tx1"/>
                        </w14:solidFill>
                      </w14:textFill>
                    </w:rPr>
                    <w:t>，</w:t>
                  </w: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不新增值守人员，无新增用水量，</w:t>
                  </w:r>
                  <w:r>
                    <w:rPr>
                      <w:rFonts w:hint="default" w:ascii="Times New Roman"/>
                      <w:color w:val="000000" w:themeColor="text1"/>
                      <w:sz w:val="21"/>
                      <w:szCs w:val="21"/>
                      <w14:textFill>
                        <w14:solidFill>
                          <w14:schemeClr w14:val="tx1"/>
                        </w14:solidFill>
                      </w14:textFill>
                    </w:rPr>
                    <w:t>未突破</w:t>
                  </w:r>
                  <w:r>
                    <w:rPr>
                      <w:rFonts w:hint="eastAsia" w:ascii="Times New Roman"/>
                      <w:color w:val="000000" w:themeColor="text1"/>
                      <w:sz w:val="21"/>
                      <w:szCs w:val="21"/>
                      <w:lang w:val="en-US" w:eastAsia="zh-CN"/>
                      <w14:textFill>
                        <w14:solidFill>
                          <w14:schemeClr w14:val="tx1"/>
                        </w14:solidFill>
                      </w14:textFill>
                    </w:rPr>
                    <w:t>水资源</w:t>
                  </w:r>
                  <w:r>
                    <w:rPr>
                      <w:rFonts w:hint="eastAsia" w:ascii="Times New Roman"/>
                      <w:color w:val="000000" w:themeColor="text1"/>
                      <w:sz w:val="21"/>
                      <w:szCs w:val="21"/>
                      <w14:textFill>
                        <w14:solidFill>
                          <w14:schemeClr w14:val="tx1"/>
                        </w14:solidFill>
                      </w14:textFill>
                    </w:rPr>
                    <w:t>利用上线</w:t>
                  </w:r>
                  <w:r>
                    <w:rPr>
                      <w:rFonts w:hint="eastAsia" w:ascii="Times New Roman"/>
                      <w:color w:val="000000" w:themeColor="text1"/>
                      <w:sz w:val="21"/>
                      <w:szCs w:val="21"/>
                      <w:lang w:val="en-US" w:eastAsia="zh-CN"/>
                      <w14:textFill>
                        <w14:solidFill>
                          <w14:schemeClr w14:val="tx1"/>
                        </w14:solidFill>
                      </w14:textFill>
                    </w:rPr>
                    <w:t>要求。本项目输变电线路工程</w:t>
                  </w:r>
                  <w:r>
                    <w:rPr>
                      <w:rFonts w:hint="eastAsia"/>
                      <w:color w:val="000000" w:themeColor="text1"/>
                      <w:sz w:val="21"/>
                      <w:szCs w:val="21"/>
                      <w:lang w:val="en-US" w:eastAsia="zh-CN"/>
                      <w14:textFill>
                        <w14:solidFill>
                          <w14:schemeClr w14:val="tx1"/>
                        </w14:solidFill>
                      </w14:textFill>
                    </w:rPr>
                    <w:t>，新增少量永久占地，施工前办理征地手续，</w:t>
                  </w:r>
                  <w:r>
                    <w:rPr>
                      <w:rFonts w:hint="default" w:ascii="Times New Roman"/>
                      <w:color w:val="000000" w:themeColor="text1"/>
                      <w:sz w:val="21"/>
                      <w:szCs w:val="21"/>
                      <w14:textFill>
                        <w14:solidFill>
                          <w14:schemeClr w14:val="tx1"/>
                        </w14:solidFill>
                      </w14:textFill>
                    </w:rPr>
                    <w:t>未突破</w:t>
                  </w:r>
                  <w:r>
                    <w:rPr>
                      <w:rFonts w:hint="eastAsia" w:ascii="Times New Roman"/>
                      <w:color w:val="000000" w:themeColor="text1"/>
                      <w:sz w:val="21"/>
                      <w:szCs w:val="21"/>
                      <w:lang w:val="en-US" w:eastAsia="zh-CN"/>
                      <w14:textFill>
                        <w14:solidFill>
                          <w14:schemeClr w14:val="tx1"/>
                        </w14:solidFill>
                      </w14:textFill>
                    </w:rPr>
                    <w:t>土地资源</w:t>
                  </w:r>
                  <w:r>
                    <w:rPr>
                      <w:rFonts w:hint="eastAsia" w:ascii="Times New Roman"/>
                      <w:color w:val="000000" w:themeColor="text1"/>
                      <w:sz w:val="21"/>
                      <w:szCs w:val="21"/>
                      <w14:textFill>
                        <w14:solidFill>
                          <w14:schemeClr w14:val="tx1"/>
                        </w14:solidFill>
                      </w14:textFill>
                    </w:rPr>
                    <w:t>利用上线</w:t>
                  </w:r>
                  <w:r>
                    <w:rPr>
                      <w:rFonts w:hint="eastAsia" w:ascii="Times New Roman"/>
                      <w:color w:val="000000" w:themeColor="text1"/>
                      <w:sz w:val="21"/>
                      <w:szCs w:val="21"/>
                      <w:lang w:val="en-US" w:eastAsia="zh-CN"/>
                      <w14:textFill>
                        <w14:solidFill>
                          <w14:schemeClr w14:val="tx1"/>
                        </w14:solidFill>
                      </w14:textFill>
                    </w:rPr>
                    <w:t>要求</w:t>
                  </w:r>
                  <w:r>
                    <w:rPr>
                      <w:rFonts w:hint="eastAsia"/>
                      <w:color w:val="000000" w:themeColor="text1"/>
                      <w:sz w:val="21"/>
                      <w:szCs w:val="21"/>
                      <w:lang w:val="en-US" w:eastAsia="zh-CN"/>
                      <w14:textFill>
                        <w14:solidFill>
                          <w14:schemeClr w14:val="tx1"/>
                        </w14:solidFill>
                      </w14:textFill>
                    </w:rPr>
                    <w:t>。</w:t>
                  </w:r>
                </w:p>
              </w:tc>
            </w:tr>
            <w:tr w14:paraId="05470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5000" w:type="pct"/>
                  <w:gridSpan w:val="4"/>
                  <w:tcBorders>
                    <w:tl2br w:val="nil"/>
                    <w:tr2bl w:val="nil"/>
                  </w:tcBorders>
                  <w:vAlign w:val="center"/>
                </w:tcPr>
                <w:p w14:paraId="673A6D77">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四、环境准入清单</w:t>
                  </w:r>
                </w:p>
              </w:tc>
            </w:tr>
            <w:tr w14:paraId="3DA11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722" w:type="pct"/>
                  <w:tcBorders>
                    <w:tl2br w:val="nil"/>
                    <w:tr2bl w:val="nil"/>
                  </w:tcBorders>
                  <w:vAlign w:val="center"/>
                </w:tcPr>
                <w:p w14:paraId="4C3BB307">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环境管控单元名称</w:t>
                  </w:r>
                </w:p>
              </w:tc>
              <w:tc>
                <w:tcPr>
                  <w:tcW w:w="4277" w:type="pct"/>
                  <w:gridSpan w:val="3"/>
                  <w:tcBorders>
                    <w:tl2br w:val="nil"/>
                    <w:tr2bl w:val="nil"/>
                  </w:tcBorders>
                  <w:vAlign w:val="center"/>
                </w:tcPr>
                <w:p w14:paraId="443F5443">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鸡东县</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一般生态空间</w:t>
                  </w:r>
                </w:p>
              </w:tc>
            </w:tr>
            <w:tr w14:paraId="4C9E7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722" w:type="pct"/>
                  <w:tcBorders>
                    <w:tl2br w:val="nil"/>
                    <w:tr2bl w:val="nil"/>
                  </w:tcBorders>
                  <w:vAlign w:val="center"/>
                </w:tcPr>
                <w:p w14:paraId="328E51DB">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环境管控单元编码</w:t>
                  </w:r>
                </w:p>
              </w:tc>
              <w:tc>
                <w:tcPr>
                  <w:tcW w:w="4277" w:type="pct"/>
                  <w:gridSpan w:val="3"/>
                  <w:tcBorders>
                    <w:tl2br w:val="nil"/>
                    <w:tr2bl w:val="nil"/>
                  </w:tcBorders>
                  <w:vAlign w:val="center"/>
                </w:tcPr>
                <w:p w14:paraId="50D4EF13">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ZH230</w:t>
                  </w:r>
                  <w:r>
                    <w:rPr>
                      <w:rFonts w:hint="eastAsia" w:cs="Times New Roman"/>
                      <w:color w:val="000000" w:themeColor="text1"/>
                      <w:sz w:val="21"/>
                      <w:szCs w:val="21"/>
                      <w:lang w:val="en-US" w:eastAsia="zh-CN"/>
                      <w14:textFill>
                        <w14:solidFill>
                          <w14:schemeClr w14:val="tx1"/>
                        </w14:solidFill>
                      </w14:textFill>
                    </w:rPr>
                    <w:t>32110002</w:t>
                  </w:r>
                </w:p>
              </w:tc>
            </w:tr>
            <w:tr w14:paraId="31735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722" w:type="pct"/>
                  <w:tcBorders>
                    <w:tl2br w:val="nil"/>
                    <w:tr2bl w:val="nil"/>
                  </w:tcBorders>
                  <w:vAlign w:val="center"/>
                </w:tcPr>
                <w:p w14:paraId="320F946B">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管控单元类别</w:t>
                  </w:r>
                </w:p>
              </w:tc>
              <w:tc>
                <w:tcPr>
                  <w:tcW w:w="4277" w:type="pct"/>
                  <w:gridSpan w:val="3"/>
                  <w:tcBorders>
                    <w:tl2br w:val="nil"/>
                    <w:tr2bl w:val="nil"/>
                  </w:tcBorders>
                  <w:vAlign w:val="center"/>
                </w:tcPr>
                <w:p w14:paraId="54CCFB2A">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优先保护单元</w:t>
                  </w:r>
                </w:p>
              </w:tc>
            </w:tr>
            <w:tr w14:paraId="1FAE1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3238" w:type="pct"/>
                  <w:gridSpan w:val="3"/>
                  <w:tcBorders>
                    <w:tl2br w:val="nil"/>
                    <w:tr2bl w:val="nil"/>
                  </w:tcBorders>
                  <w:vAlign w:val="center"/>
                </w:tcPr>
                <w:p w14:paraId="57596A93">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管控要求</w:t>
                  </w:r>
                </w:p>
              </w:tc>
              <w:tc>
                <w:tcPr>
                  <w:tcW w:w="1761" w:type="pct"/>
                  <w:tcBorders>
                    <w:tl2br w:val="nil"/>
                    <w:tr2bl w:val="nil"/>
                  </w:tcBorders>
                  <w:vAlign w:val="center"/>
                </w:tcPr>
                <w:p w14:paraId="08ED453D">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项目符合性分析</w:t>
                  </w:r>
                </w:p>
              </w:tc>
            </w:tr>
            <w:tr w14:paraId="5FB8E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722" w:type="pct"/>
                  <w:tcBorders>
                    <w:tl2br w:val="nil"/>
                    <w:tr2bl w:val="nil"/>
                  </w:tcBorders>
                  <w:vAlign w:val="center"/>
                </w:tcPr>
                <w:p w14:paraId="67849C2E">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空间布局约束</w:t>
                  </w:r>
                </w:p>
              </w:tc>
              <w:tc>
                <w:tcPr>
                  <w:tcW w:w="2516" w:type="pct"/>
                  <w:gridSpan w:val="2"/>
                  <w:tcBorders>
                    <w:tl2br w:val="nil"/>
                    <w:tr2bl w:val="nil"/>
                  </w:tcBorders>
                  <w:vAlign w:val="center"/>
                </w:tcPr>
                <w:p w14:paraId="727AFD7B">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1.区域执行 （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w:t>
                  </w:r>
                </w:p>
                <w:p w14:paraId="15005ECC">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生态退耕条件的耕地，并纳入国家生态退耕总体安排，或因国家重大生态工程建设需要外，不得随意转用。 （2）对依法保护的生态空间实行承载力控制，防止过度垦殖、放牧、采伐、取水、渔猎、旅游等对生态功能造成损害，确保自然生态系统的稳定。 （3）避免开发建设活动损害其生态服务功能和生态产品质量。 （4）已经侵占生态空间的，应建立退出机制、制定治理方案及时间表。 2.鸡东哈达河风景名胜区时执行禁止开发建设活动要求： （1）在风景名胜区内禁止进行下列活动：开山、采石、开矿、开荒、修坟立碑等破坏景观、植被和地形地貌的活动；修建储存爆炸性、易燃性、放射性、毒害性、腐蚀性物品的设施；在景物或者设施上刻划、涂污；乱扔垃圾。 （2）禁止违反风景名胜区规划，在风景名胜区内设立各类开发区和在核心景区内建设宾馆、招待所、培训中心、疗养院以及与风景名胜资源保护无关的其他建筑物；已经建设的，应当按照风景名胜区规划，逐步迁出。 （3）禁止在风景名胜区内建设畜禽养殖场、养殖小区。 限制开发建设活动要求： 1）在国家级风景名胜区内修建缆车、索道等重大建设工程，项目的选址方案应当报省、自治区人民政府建设主管部门和直辖市人民政府风景名胜区主管部门核准。 2）在风景名胜区内进行下列活动，应当经风景名胜区管理机构审核后，依照有关法律、法规的规定报有关主管部门批准：（1）设置、张贴商业广告；（2）举办大型游乐等活动；（3）改变水资源、水环境自然状态的活动；（4）其他影响生态和景观的活动。 3）风景名胜区内的建设项目应当符合风景名胜区规划，并与景观相协调，不得破坏景观、污染环境、妨碍游览。 4）在风景名胜区内进行建设活动的，生产建设单位应当依法编制水土保持方案，建设单位、施工单位应当制定污染防治方案，并采取有效措施，保护好周围景物、水体、林草植被、野生动物资源和地形地貌。3.鸡西市团山子水库饮用水水源、鸡西市哈达水库饮用水水源同时执行 饮用水地表</w:t>
                  </w:r>
                </w:p>
                <w:p w14:paraId="45FEF4A7">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水源各级保护区及准保护区内均必须遵守下列规定： 1）禁止一切破坏水环境生态平衡的活动以及破坏水源林、护岸林、与水源保护相关植被的活动。 2）禁止向水域倾倒工业废渣、</w:t>
                  </w:r>
                </w:p>
                <w:p w14:paraId="02CE4271">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城市垃圾、粪便及其它废弃物。 3）运输有毒有害物质、油类、粪便的船舶和车辆一般不准进入保护区，必须进入者应事先申请并经有关部门批准、登记并设置防渗、防溢、防漏设</w:t>
                  </w:r>
                </w:p>
                <w:p w14:paraId="4F0F71D8">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施。 4）禁止使用剧毒和高残留农药，不得滥用化肥，不得使用炸药、毒品捕杀鱼类。 5）禁止建设畜禽养殖场、养殖小区。 6）禁止设置排污口。 饮用水地表水源各级保护区及准保护区内必须分别遵守下列规定： 1）一级保护区内：禁止新建、扩建与供水设施和保护水源无关的建设项目，已建成的与供水设施和保护水源无关的建设项目，由县级以上人民政府责令拆除或者关闭；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 2）二级保护区内：禁止新建、改建、扩建排放污染物的建设项目，已建成的排放污染物的建设项目，由县级以上人民政府责令拆除或者关闭；原有排污口依法拆除或者关闭；禁止设立装卸垃圾、粪便、油类和有毒物品的码头。 3）准保护区内：禁止新建、扩建对水体污染严重的建设项目；改建建设项目，不得增加排污量。 4）国务院和省、自治区、直辖市人民政府根据水环境保护的需要，可以规定在饮用水水源保护区内，采取禁止或者限制使用含磷洗涤剂、化肥、农药以及限制种植养殖等措施。 5）饮用水地下水源各级保护区及准保护区内均必须遵守下列规定：禁止利用渗坑、渗井、裂隙、溶洞等排放污水和其它有害废弃物；禁止利用透水层孔隙、裂隙、溶洞及废弃矿坑储存石油、天然气、放射性物质、有毒有害化工原料、农药等；实行人工回灌地下水时不得污染当地地下水源。 （1）一级保护区内：禁止建设与取水设施无关的建筑物；禁止从事农牧业活动；禁止倾倒、堆放工业废渣及城市垃圾、粪便和其它有害废弃物；禁止输送污水的渠道、管道及输油管道通过本区；</w:t>
                  </w:r>
                </w:p>
                <w:p w14:paraId="453D0D47">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禁止建设油库；禁止建立墓地。（2）二级保护区内：①对于潜水含水层地下水水源地：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②对于承压含水层地下水水源地：禁止承压水和潜水的混合开采，作好潜水的止水措施。③准保护区内：禁止建设城市垃圾、粪便和易溶、有毒有害废弃物的堆放场站，因特殊需要设立转运站的，必须经有关部门批准，并采取防渗漏措施；当补给源为地表水体时，该地表水体水质不应低于《地表水环境质量标准》Ⅲ类标准；不得使用不符合《农田灌溉水质标准》的污水进行灌溉，合理使用化肥；保护水源林，禁止毁林开荒，禁止非更新砍伐水源林。</w:t>
                  </w:r>
                </w:p>
              </w:tc>
              <w:tc>
                <w:tcPr>
                  <w:tcW w:w="1761" w:type="pct"/>
                  <w:tcBorders>
                    <w:tl2br w:val="nil"/>
                    <w:tr2bl w:val="nil"/>
                  </w:tcBorders>
                  <w:vAlign w:val="center"/>
                </w:tcPr>
                <w:p w14:paraId="6D502DDB">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本项目</w:t>
                  </w:r>
                  <w:r>
                    <w:rPr>
                      <w:rFonts w:hint="eastAsia" w:ascii="Times New Roman"/>
                      <w:color w:val="000000" w:themeColor="text1"/>
                      <w:sz w:val="21"/>
                      <w:szCs w:val="21"/>
                      <w:lang w:val="en-US" w:eastAsia="zh-CN"/>
                      <w14:textFill>
                        <w14:solidFill>
                          <w14:schemeClr w14:val="tx1"/>
                        </w14:solidFill>
                      </w14:textFill>
                    </w:rPr>
                    <w:t>线路涉及一般生态空间，属于</w:t>
                  </w:r>
                  <w:r>
                    <w:rPr>
                      <w:rFonts w:hint="eastAsia" w:ascii="Times New Roman"/>
                      <w:color w:val="000000" w:themeColor="text1"/>
                      <w:sz w:val="21"/>
                      <w:szCs w:val="21"/>
                      <w14:textFill>
                        <w14:solidFill>
                          <w14:schemeClr w14:val="tx1"/>
                        </w14:solidFill>
                      </w14:textFill>
                    </w:rPr>
                    <w:t>优先保护单元，</w:t>
                  </w:r>
                  <w:r>
                    <w:rPr>
                      <w:rFonts w:hint="eastAsia" w:ascii="Times New Roman" w:hAnsi="Times New Roman" w:eastAsia="宋体" w:cs="Times New Roman"/>
                      <w:color w:val="000000" w:themeColor="text1"/>
                      <w:sz w:val="21"/>
                      <w:szCs w:val="21"/>
                      <w14:textFill>
                        <w14:solidFill>
                          <w14:schemeClr w14:val="tx1"/>
                        </w14:solidFill>
                      </w14:textFill>
                    </w:rPr>
                    <w:t>本项目不在生态保护红线范围内及各类保护地内，不涉及国家、省、市级自然保护区、自然文化遗产、风景名胜区、文物</w:t>
                  </w:r>
                  <w:r>
                    <w:rPr>
                      <w:rFonts w:hint="eastAsia" w:ascii="Times New Roman"/>
                      <w:color w:val="000000" w:themeColor="text1"/>
                      <w:sz w:val="21"/>
                      <w:szCs w:val="21"/>
                      <w14:textFill>
                        <w14:solidFill>
                          <w14:schemeClr w14:val="tx1"/>
                        </w14:solidFill>
                      </w14:textFill>
                    </w:rPr>
                    <w:t>古迹、生态红线、饮用水水源保护区、重要湿地等区域</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本项目不占用生态空间中的林地、草原等，不对生态空间产生损害影响，且</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不属于《黑龙江省重点生态功能区产业准入负面清单（试行版）》限制类、禁止类产业。</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本项目</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能耗较低，无新增废水外排。工程建设过程中通过采取相应污染防止措施后，周边环境质量均满足相应标准要求，对周边环境影响可接受。</w:t>
                  </w:r>
                </w:p>
              </w:tc>
            </w:tr>
            <w:tr w14:paraId="3EAAC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722" w:type="pct"/>
                  <w:tcBorders>
                    <w:tl2br w:val="nil"/>
                    <w:tr2bl w:val="nil"/>
                  </w:tcBorders>
                  <w:vAlign w:val="center"/>
                </w:tcPr>
                <w:p w14:paraId="09210CC2">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环境管控单元名称</w:t>
                  </w:r>
                </w:p>
              </w:tc>
              <w:tc>
                <w:tcPr>
                  <w:tcW w:w="4277" w:type="pct"/>
                  <w:gridSpan w:val="3"/>
                  <w:tcBorders>
                    <w:tl2br w:val="nil"/>
                    <w:tr2bl w:val="nil"/>
                  </w:tcBorders>
                  <w:vAlign w:val="center"/>
                </w:tcPr>
                <w:p w14:paraId="308D2805">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恒山区一般生态空间</w:t>
                  </w:r>
                </w:p>
              </w:tc>
            </w:tr>
            <w:tr w14:paraId="4CCBB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722" w:type="pct"/>
                  <w:tcBorders>
                    <w:tl2br w:val="nil"/>
                    <w:tr2bl w:val="nil"/>
                  </w:tcBorders>
                  <w:vAlign w:val="center"/>
                </w:tcPr>
                <w:p w14:paraId="71EEF487">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环境管控单元编码</w:t>
                  </w:r>
                </w:p>
              </w:tc>
              <w:tc>
                <w:tcPr>
                  <w:tcW w:w="4277" w:type="pct"/>
                  <w:gridSpan w:val="3"/>
                  <w:tcBorders>
                    <w:tl2br w:val="nil"/>
                    <w:tr2bl w:val="nil"/>
                  </w:tcBorders>
                  <w:vAlign w:val="center"/>
                </w:tcPr>
                <w:p w14:paraId="700AA982">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ZH230</w:t>
                  </w:r>
                  <w:r>
                    <w:rPr>
                      <w:rFonts w:hint="eastAsia" w:cs="Times New Roman"/>
                      <w:color w:val="000000" w:themeColor="text1"/>
                      <w:sz w:val="21"/>
                      <w:szCs w:val="21"/>
                      <w:lang w:val="en-US" w:eastAsia="zh-CN"/>
                      <w14:textFill>
                        <w14:solidFill>
                          <w14:schemeClr w14:val="tx1"/>
                        </w14:solidFill>
                      </w14:textFill>
                    </w:rPr>
                    <w:t>30310002</w:t>
                  </w:r>
                </w:p>
              </w:tc>
            </w:tr>
            <w:tr w14:paraId="01C6E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722" w:type="pct"/>
                  <w:tcBorders>
                    <w:tl2br w:val="nil"/>
                    <w:tr2bl w:val="nil"/>
                  </w:tcBorders>
                  <w:vAlign w:val="center"/>
                </w:tcPr>
                <w:p w14:paraId="41221892">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管控单元类别</w:t>
                  </w:r>
                </w:p>
              </w:tc>
              <w:tc>
                <w:tcPr>
                  <w:tcW w:w="4277" w:type="pct"/>
                  <w:gridSpan w:val="3"/>
                  <w:tcBorders>
                    <w:tl2br w:val="nil"/>
                    <w:tr2bl w:val="nil"/>
                  </w:tcBorders>
                  <w:vAlign w:val="center"/>
                </w:tcPr>
                <w:p w14:paraId="7D1FC6B1">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优先保护单元</w:t>
                  </w:r>
                </w:p>
              </w:tc>
            </w:tr>
            <w:tr w14:paraId="6608D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3201" w:type="pct"/>
                  <w:gridSpan w:val="2"/>
                  <w:tcBorders>
                    <w:tl2br w:val="nil"/>
                    <w:tr2bl w:val="nil"/>
                  </w:tcBorders>
                  <w:vAlign w:val="center"/>
                </w:tcPr>
                <w:p w14:paraId="69AD3EA7">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管控要求</w:t>
                  </w:r>
                </w:p>
              </w:tc>
              <w:tc>
                <w:tcPr>
                  <w:tcW w:w="1798" w:type="pct"/>
                  <w:gridSpan w:val="2"/>
                  <w:tcBorders>
                    <w:tl2br w:val="nil"/>
                    <w:tr2bl w:val="nil"/>
                  </w:tcBorders>
                  <w:vAlign w:val="center"/>
                </w:tcPr>
                <w:p w14:paraId="0F4165C6">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项目符合性分析</w:t>
                  </w:r>
                </w:p>
              </w:tc>
            </w:tr>
            <w:tr w14:paraId="22B8E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722" w:type="pct"/>
                  <w:tcBorders>
                    <w:tl2br w:val="nil"/>
                    <w:tr2bl w:val="nil"/>
                  </w:tcBorders>
                  <w:vAlign w:val="center"/>
                </w:tcPr>
                <w:p w14:paraId="41841E6D">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空间布局约束</w:t>
                  </w:r>
                </w:p>
              </w:tc>
              <w:tc>
                <w:tcPr>
                  <w:tcW w:w="2478" w:type="pct"/>
                  <w:tcBorders>
                    <w:tl2br w:val="nil"/>
                    <w:tr2bl w:val="nil"/>
                  </w:tcBorders>
                  <w:vAlign w:val="center"/>
                </w:tcPr>
                <w:p w14:paraId="57511E28">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1.原则上按限制开发区域的要求进行管理。严格限制与生态功能不一致的开发建设活动。符合区域准入条件的新增建设项目，涉及占用生态空间中的林地、草原等，按有关法律法规规</w:t>
                  </w:r>
                </w:p>
                <w:p w14:paraId="5590D840">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2.对依法保护的生态空间实行承载力控制，防止过度垦殖、放牧、采伐、取水、渔猎、旅游等对生态功能造成损害，确保自然生态系统的稳定。 3.避免开发建设活动损害其生态服务功能和生态产品质量。 4.已经侵占生态空间的，应建立退出机制、制定治理方案及时间</w:t>
                  </w:r>
                </w:p>
                <w:p w14:paraId="245C1EE4">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表。</w:t>
                  </w:r>
                </w:p>
              </w:tc>
              <w:tc>
                <w:tcPr>
                  <w:tcW w:w="1798" w:type="pct"/>
                  <w:gridSpan w:val="2"/>
                  <w:tcBorders>
                    <w:tl2br w:val="nil"/>
                    <w:tr2bl w:val="nil"/>
                  </w:tcBorders>
                  <w:vAlign w:val="center"/>
                </w:tcPr>
                <w:p w14:paraId="23915139">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本项目</w:t>
                  </w:r>
                  <w:r>
                    <w:rPr>
                      <w:rFonts w:hint="eastAsia" w:ascii="Times New Roman"/>
                      <w:color w:val="000000" w:themeColor="text1"/>
                      <w:sz w:val="21"/>
                      <w:szCs w:val="21"/>
                      <w:lang w:val="en-US" w:eastAsia="zh-CN"/>
                      <w14:textFill>
                        <w14:solidFill>
                          <w14:schemeClr w14:val="tx1"/>
                        </w14:solidFill>
                      </w14:textFill>
                    </w:rPr>
                    <w:t>线路涉及一般生态空间，属于</w:t>
                  </w:r>
                  <w:r>
                    <w:rPr>
                      <w:rFonts w:hint="eastAsia" w:ascii="Times New Roman"/>
                      <w:color w:val="000000" w:themeColor="text1"/>
                      <w:sz w:val="21"/>
                      <w:szCs w:val="21"/>
                      <w14:textFill>
                        <w14:solidFill>
                          <w14:schemeClr w14:val="tx1"/>
                        </w14:solidFill>
                      </w14:textFill>
                    </w:rPr>
                    <w:t>优先保护单元，</w:t>
                  </w:r>
                  <w:r>
                    <w:rPr>
                      <w:rFonts w:hint="eastAsia"/>
                      <w:color w:val="000000" w:themeColor="text1"/>
                      <w:sz w:val="21"/>
                      <w:szCs w:val="21"/>
                      <w:lang w:val="en-US" w:eastAsia="zh-CN"/>
                      <w14:textFill>
                        <w14:solidFill>
                          <w14:schemeClr w14:val="tx1"/>
                        </w14:solidFill>
                      </w14:textFill>
                    </w:rPr>
                    <w:t>本项目不占用生态空间中的林地、草原等，不对生态空间产生损害影响，且</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不属于《黑龙江省重点生态功能区产业准入负面清单（试行版）》限制类、禁止类产业。</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本项目</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能耗较低，无新增废水外排。工程建设过程中通过采取相应污染防止措施后，周边环境质量均满足相应标准要求，对周边环境影响可接受。</w:t>
                  </w:r>
                </w:p>
              </w:tc>
            </w:tr>
            <w:tr w14:paraId="63C94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2" w:type="pct"/>
                  <w:tcBorders>
                    <w:tl2br w:val="nil"/>
                    <w:tr2bl w:val="nil"/>
                  </w:tcBorders>
                  <w:vAlign w:val="center"/>
                </w:tcPr>
                <w:p w14:paraId="77B3E8C6">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环境管控单元名称</w:t>
                  </w:r>
                </w:p>
              </w:tc>
              <w:tc>
                <w:tcPr>
                  <w:tcW w:w="4277" w:type="pct"/>
                  <w:gridSpan w:val="3"/>
                  <w:tcBorders>
                    <w:tl2br w:val="nil"/>
                    <w:tr2bl w:val="nil"/>
                  </w:tcBorders>
                  <w:vAlign w:val="center"/>
                </w:tcPr>
                <w:p w14:paraId="0594FEFF">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恒山区大气环境布局敏感重点管控区</w:t>
                  </w:r>
                </w:p>
              </w:tc>
            </w:tr>
            <w:tr w14:paraId="4E4E6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2" w:type="pct"/>
                  <w:tcBorders>
                    <w:tl2br w:val="nil"/>
                    <w:tr2bl w:val="nil"/>
                  </w:tcBorders>
                  <w:vAlign w:val="center"/>
                </w:tcPr>
                <w:p w14:paraId="39652CBF">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环境管控单元编码</w:t>
                  </w:r>
                </w:p>
              </w:tc>
              <w:tc>
                <w:tcPr>
                  <w:tcW w:w="4277" w:type="pct"/>
                  <w:gridSpan w:val="3"/>
                  <w:tcBorders>
                    <w:tl2br w:val="nil"/>
                    <w:tr2bl w:val="nil"/>
                  </w:tcBorders>
                  <w:vAlign w:val="center"/>
                </w:tcPr>
                <w:p w14:paraId="531B8680">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ZH230</w:t>
                  </w:r>
                  <w:r>
                    <w:rPr>
                      <w:rFonts w:hint="eastAsia" w:cs="Times New Roman"/>
                      <w:color w:val="000000" w:themeColor="text1"/>
                      <w:sz w:val="21"/>
                      <w:szCs w:val="21"/>
                      <w:lang w:val="en-US" w:eastAsia="zh-CN"/>
                      <w14:textFill>
                        <w14:solidFill>
                          <w14:schemeClr w14:val="tx1"/>
                        </w14:solidFill>
                      </w14:textFill>
                    </w:rPr>
                    <w:t>30320004</w:t>
                  </w:r>
                </w:p>
              </w:tc>
            </w:tr>
            <w:tr w14:paraId="5FAA2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2" w:type="pct"/>
                  <w:tcBorders>
                    <w:tl2br w:val="nil"/>
                    <w:tr2bl w:val="nil"/>
                  </w:tcBorders>
                  <w:vAlign w:val="center"/>
                </w:tcPr>
                <w:p w14:paraId="5A3A8DDB">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管控单元类别</w:t>
                  </w:r>
                </w:p>
              </w:tc>
              <w:tc>
                <w:tcPr>
                  <w:tcW w:w="4277" w:type="pct"/>
                  <w:gridSpan w:val="3"/>
                  <w:tcBorders>
                    <w:tl2br w:val="nil"/>
                    <w:tr2bl w:val="nil"/>
                  </w:tcBorders>
                  <w:vAlign w:val="center"/>
                </w:tcPr>
                <w:p w14:paraId="6E3C549D">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重点</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管控单元</w:t>
                  </w:r>
                </w:p>
              </w:tc>
            </w:tr>
            <w:tr w14:paraId="5AB57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3238" w:type="pct"/>
                  <w:gridSpan w:val="3"/>
                  <w:tcBorders>
                    <w:tl2br w:val="nil"/>
                    <w:tr2bl w:val="nil"/>
                  </w:tcBorders>
                  <w:vAlign w:val="center"/>
                </w:tcPr>
                <w:p w14:paraId="7F9806A5">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管控要求</w:t>
                  </w:r>
                </w:p>
              </w:tc>
              <w:tc>
                <w:tcPr>
                  <w:tcW w:w="1761" w:type="pct"/>
                  <w:tcBorders>
                    <w:tl2br w:val="nil"/>
                    <w:tr2bl w:val="nil"/>
                  </w:tcBorders>
                  <w:vAlign w:val="center"/>
                </w:tcPr>
                <w:p w14:paraId="238A4544">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项目符合性分析</w:t>
                  </w:r>
                </w:p>
              </w:tc>
            </w:tr>
            <w:tr w14:paraId="27325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2" w:type="pct"/>
                  <w:tcBorders>
                    <w:tl2br w:val="nil"/>
                    <w:tr2bl w:val="nil"/>
                  </w:tcBorders>
                  <w:vAlign w:val="center"/>
                </w:tcPr>
                <w:p w14:paraId="41BA1EA1">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空间布局约束</w:t>
                  </w:r>
                </w:p>
              </w:tc>
              <w:tc>
                <w:tcPr>
                  <w:tcW w:w="2516" w:type="pct"/>
                  <w:gridSpan w:val="2"/>
                  <w:tcBorders>
                    <w:tl2br w:val="nil"/>
                    <w:tr2bl w:val="nil"/>
                  </w:tcBorders>
                  <w:vAlign w:val="center"/>
                </w:tcPr>
                <w:p w14:paraId="5AFF5954">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1761" w:type="pct"/>
                  <w:vMerge w:val="restart"/>
                  <w:tcBorders>
                    <w:tl2br w:val="nil"/>
                    <w:tr2bl w:val="nil"/>
                  </w:tcBorders>
                  <w:vAlign w:val="center"/>
                </w:tcPr>
                <w:p w14:paraId="3093C156">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kern w:val="0"/>
                      <w:sz w:val="21"/>
                      <w:szCs w:val="21"/>
                      <w:lang w:val="en-US" w:eastAsia="zh-CN" w:bidi="ar"/>
                    </w:rPr>
                    <w:t>本项目为输变电项目，</w:t>
                  </w:r>
                  <w:r>
                    <w:rPr>
                      <w:rFonts w:hint="eastAsia" w:cs="Times New Roman"/>
                      <w:color w:val="FF0000"/>
                      <w:kern w:val="0"/>
                      <w:sz w:val="21"/>
                      <w:szCs w:val="21"/>
                      <w:lang w:val="en-US" w:eastAsia="zh-CN" w:bidi="ar"/>
                    </w:rPr>
                    <w:t>不属于</w:t>
                  </w:r>
                  <w:r>
                    <w:rPr>
                      <w:rFonts w:hint="eastAsia" w:ascii="Times New Roman" w:hAnsi="Times New Roman" w:eastAsia="宋体" w:cs="Times New Roman"/>
                      <w:color w:val="FF0000"/>
                      <w:sz w:val="21"/>
                      <w:szCs w:val="21"/>
                      <w:lang w:val="en-US" w:eastAsia="zh-CN"/>
                    </w:rPr>
                    <w:t>“两高”行业产能</w:t>
                  </w:r>
                  <w:r>
                    <w:rPr>
                      <w:rFonts w:hint="eastAsia" w:cs="Times New Roman"/>
                      <w:color w:val="FF0000"/>
                      <w:sz w:val="21"/>
                      <w:szCs w:val="21"/>
                      <w:lang w:val="en-US" w:eastAsia="zh-CN"/>
                    </w:rPr>
                    <w:t>，本项目为清洁低碳能源，满足污染物排放管控要求，固废垃圾采取集中收集办法，由市政部门及有资质单位进行回收</w:t>
                  </w:r>
                  <w:r>
                    <w:rPr>
                      <w:rFonts w:hint="default" w:ascii="Times New Roman" w:hAnsi="Times New Roman" w:eastAsia="宋体" w:cs="Times New Roman"/>
                      <w:color w:val="FF0000"/>
                      <w:kern w:val="0"/>
                      <w:sz w:val="21"/>
                      <w:szCs w:val="21"/>
                      <w:lang w:val="en-US" w:eastAsia="zh-CN" w:bidi="ar"/>
                    </w:rPr>
                    <w:t>。工程建设过程中通过采取相应污染防止措施后，周边环境质量均满足相应标准要求，对周边环境影响可接受。</w:t>
                  </w:r>
                </w:p>
              </w:tc>
            </w:tr>
            <w:tr w14:paraId="5D245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2" w:type="pct"/>
                  <w:tcBorders>
                    <w:tl2br w:val="nil"/>
                    <w:tr2bl w:val="nil"/>
                  </w:tcBorders>
                  <w:vAlign w:val="center"/>
                </w:tcPr>
                <w:p w14:paraId="46E1EBDD">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污染物排放管控</w:t>
                  </w:r>
                </w:p>
              </w:tc>
              <w:tc>
                <w:tcPr>
                  <w:tcW w:w="2516" w:type="pct"/>
                  <w:gridSpan w:val="2"/>
                  <w:tcBorders>
                    <w:tl2br w:val="nil"/>
                    <w:tr2bl w:val="nil"/>
                  </w:tcBorders>
                  <w:vAlign w:val="center"/>
                </w:tcPr>
                <w:p w14:paraId="09879946">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1761" w:type="pct"/>
                  <w:vMerge w:val="continue"/>
                  <w:tcBorders>
                    <w:tl2br w:val="nil"/>
                    <w:tr2bl w:val="nil"/>
                  </w:tcBorders>
                  <w:vAlign w:val="center"/>
                </w:tcPr>
                <w:p w14:paraId="0F8C4551">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14:paraId="5C4B7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2" w:type="pct"/>
                  <w:tcBorders>
                    <w:tl2br w:val="nil"/>
                    <w:tr2bl w:val="nil"/>
                  </w:tcBorders>
                  <w:vAlign w:val="center"/>
                </w:tcPr>
                <w:p w14:paraId="23AD102E">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环境风险防控</w:t>
                  </w:r>
                </w:p>
              </w:tc>
              <w:tc>
                <w:tcPr>
                  <w:tcW w:w="2516" w:type="pct"/>
                  <w:gridSpan w:val="2"/>
                  <w:tcBorders>
                    <w:tl2br w:val="nil"/>
                    <w:tr2bl w:val="nil"/>
                  </w:tcBorders>
                  <w:vAlign w:val="center"/>
                </w:tcPr>
                <w:p w14:paraId="707A2F91">
                  <w:pPr>
                    <w:keepNext w:val="0"/>
                    <w:keepLines w:val="0"/>
                    <w:suppressLineNumbers w:val="0"/>
                    <w:adjustRightInd w:val="0"/>
                    <w:spacing w:before="0" w:beforeAutospacing="0" w:after="0" w:afterAutospacing="0" w:line="240" w:lineRule="atLeast"/>
                    <w:ind w:left="0" w:right="0"/>
                    <w:jc w:val="left"/>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禁止在居民区、学校、医疗和养老机构等周边新建有色金属冶炼、焦化等行业企业。</w:t>
                  </w:r>
                </w:p>
              </w:tc>
              <w:tc>
                <w:tcPr>
                  <w:tcW w:w="1761" w:type="pct"/>
                  <w:vMerge w:val="continue"/>
                  <w:tcBorders>
                    <w:tl2br w:val="nil"/>
                    <w:tr2bl w:val="nil"/>
                  </w:tcBorders>
                  <w:vAlign w:val="center"/>
                </w:tcPr>
                <w:p w14:paraId="51EED915">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14:paraId="49FB7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2" w:type="pct"/>
                  <w:tcBorders>
                    <w:tl2br w:val="nil"/>
                    <w:tr2bl w:val="nil"/>
                  </w:tcBorders>
                  <w:vAlign w:val="center"/>
                </w:tcPr>
                <w:p w14:paraId="340BA2C1">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环境管控单元名称</w:t>
                  </w:r>
                </w:p>
              </w:tc>
              <w:tc>
                <w:tcPr>
                  <w:tcW w:w="4277" w:type="pct"/>
                  <w:gridSpan w:val="3"/>
                  <w:tcBorders>
                    <w:tl2br w:val="nil"/>
                    <w:tr2bl w:val="nil"/>
                  </w:tcBorders>
                  <w:vAlign w:val="center"/>
                </w:tcPr>
                <w:p w14:paraId="68B11CE4">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恒山区城镇空间</w:t>
                  </w:r>
                </w:p>
              </w:tc>
            </w:tr>
            <w:tr w14:paraId="49FBE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722" w:type="pct"/>
                  <w:tcBorders>
                    <w:tl2br w:val="nil"/>
                    <w:tr2bl w:val="nil"/>
                  </w:tcBorders>
                  <w:vAlign w:val="center"/>
                </w:tcPr>
                <w:p w14:paraId="7194618F">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环境管控单元编码</w:t>
                  </w:r>
                </w:p>
              </w:tc>
              <w:tc>
                <w:tcPr>
                  <w:tcW w:w="4277" w:type="pct"/>
                  <w:gridSpan w:val="3"/>
                  <w:tcBorders>
                    <w:tl2br w:val="nil"/>
                    <w:tr2bl w:val="nil"/>
                  </w:tcBorders>
                  <w:vAlign w:val="center"/>
                </w:tcPr>
                <w:p w14:paraId="64E6C2F5">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14:textFill>
                        <w14:solidFill>
                          <w14:schemeClr w14:val="tx1"/>
                        </w14:solidFill>
                      </w14:textFill>
                    </w:rPr>
                    <w:t>ZH23</w:t>
                  </w:r>
                  <w:r>
                    <w:rPr>
                      <w:rFonts w:hint="eastAsia"/>
                      <w:color w:val="000000" w:themeColor="text1"/>
                      <w:sz w:val="21"/>
                      <w:szCs w:val="21"/>
                      <w:lang w:val="en-US" w:eastAsia="zh-CN"/>
                      <w14:textFill>
                        <w14:solidFill>
                          <w14:schemeClr w14:val="tx1"/>
                        </w14:solidFill>
                      </w14:textFill>
                    </w:rPr>
                    <w:t>030320002</w:t>
                  </w:r>
                </w:p>
              </w:tc>
            </w:tr>
            <w:tr w14:paraId="66D2A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722" w:type="pct"/>
                  <w:tcBorders>
                    <w:tl2br w:val="nil"/>
                    <w:tr2bl w:val="nil"/>
                  </w:tcBorders>
                  <w:vAlign w:val="center"/>
                </w:tcPr>
                <w:p w14:paraId="5685FDF5">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管控单元类别</w:t>
                  </w:r>
                </w:p>
              </w:tc>
              <w:tc>
                <w:tcPr>
                  <w:tcW w:w="4277" w:type="pct"/>
                  <w:gridSpan w:val="3"/>
                  <w:tcBorders>
                    <w:tl2br w:val="nil"/>
                    <w:tr2bl w:val="nil"/>
                  </w:tcBorders>
                  <w:vAlign w:val="center"/>
                </w:tcPr>
                <w:p w14:paraId="5661BC7C">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重点</w:t>
                  </w:r>
                  <w:r>
                    <w:rPr>
                      <w:rFonts w:hint="default" w:ascii="Times New Roman"/>
                      <w:color w:val="000000" w:themeColor="text1"/>
                      <w:sz w:val="21"/>
                      <w:szCs w:val="21"/>
                      <w14:textFill>
                        <w14:solidFill>
                          <w14:schemeClr w14:val="tx1"/>
                        </w14:solidFill>
                      </w14:textFill>
                    </w:rPr>
                    <w:t>管控单元</w:t>
                  </w:r>
                </w:p>
              </w:tc>
            </w:tr>
            <w:tr w14:paraId="1D1B4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238" w:type="pct"/>
                  <w:gridSpan w:val="3"/>
                  <w:tcBorders>
                    <w:tl2br w:val="nil"/>
                    <w:tr2bl w:val="nil"/>
                  </w:tcBorders>
                  <w:vAlign w:val="center"/>
                </w:tcPr>
                <w:p w14:paraId="2E575F3F">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管控要求</w:t>
                  </w:r>
                </w:p>
              </w:tc>
              <w:tc>
                <w:tcPr>
                  <w:tcW w:w="1761" w:type="pct"/>
                  <w:tcBorders>
                    <w:tl2br w:val="nil"/>
                    <w:tr2bl w:val="nil"/>
                  </w:tcBorders>
                  <w:vAlign w:val="center"/>
                </w:tcPr>
                <w:p w14:paraId="1003E0DC">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项目符合性分析</w:t>
                  </w:r>
                </w:p>
              </w:tc>
            </w:tr>
            <w:tr w14:paraId="62B78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7890E823">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空间布局约束</w:t>
                  </w:r>
                </w:p>
              </w:tc>
              <w:tc>
                <w:tcPr>
                  <w:tcW w:w="2516" w:type="pct"/>
                  <w:gridSpan w:val="2"/>
                  <w:tcBorders>
                    <w:tl2br w:val="nil"/>
                    <w:tr2bl w:val="nil"/>
                  </w:tcBorders>
                  <w:vAlign w:val="center"/>
                </w:tcPr>
                <w:p w14:paraId="7AA1CD7B">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1.同时执行： （1）严禁在人口密集区新建危险化学品生产项目，城镇人口密集区危险化学品生产企业应搬迁改造。 （2）禁止在城镇居民区、文化教育科学研究区等人口集中区域建</w:t>
                  </w:r>
                </w:p>
                <w:p w14:paraId="10450790">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设畜禽养殖场、养殖小区。 2.水环境农业污染重点管控区同时执行 （1）科学划定畜禽养殖禁养区。 （2）加快农业结构调整。松嫩平原和三江平原等地下水易受污染地区优先种植</w:t>
                  </w:r>
                </w:p>
                <w:p w14:paraId="493B168B">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需肥需药量低、环境效益突出的农作物；在西部干旱区发展谷子、高粱等耐旱杂粮种植；在北部四、五积温区开展米豆麦轮作，促进化肥需求低的农作物面积恢复性增长。 3.大气环境布局敏感重点管控区同时执行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1761" w:type="pct"/>
                  <w:vMerge w:val="restart"/>
                  <w:tcBorders>
                    <w:tl2br w:val="nil"/>
                    <w:tr2bl w:val="nil"/>
                  </w:tcBorders>
                  <w:vAlign w:val="center"/>
                </w:tcPr>
                <w:p w14:paraId="1FFF691C">
                  <w:pPr>
                    <w:keepNext w:val="0"/>
                    <w:keepLines w:val="0"/>
                    <w:suppressLineNumbers w:val="0"/>
                    <w:adjustRightInd w:val="0"/>
                    <w:spacing w:before="0" w:beforeAutospacing="0" w:after="0" w:afterAutospacing="0" w:line="240" w:lineRule="atLeast"/>
                    <w:ind w:left="0" w:right="0"/>
                    <w:textAlignment w:val="baseline"/>
                    <w:rPr>
                      <w:rFonts w:hint="default" w:ascii="Times New Roman"/>
                      <w:color w:val="FF0000"/>
                      <w:sz w:val="21"/>
                      <w:szCs w:val="21"/>
                    </w:rPr>
                  </w:pPr>
                  <w:r>
                    <w:rPr>
                      <w:rFonts w:hint="default" w:ascii="Times New Roman" w:hAnsi="Times New Roman" w:eastAsia="宋体" w:cs="Times New Roman"/>
                      <w:color w:val="FF0000"/>
                      <w:kern w:val="0"/>
                      <w:sz w:val="21"/>
                      <w:szCs w:val="21"/>
                      <w:lang w:val="en-US" w:eastAsia="zh-CN" w:bidi="ar"/>
                    </w:rPr>
                    <w:t>本项目为输变电项目，</w:t>
                  </w:r>
                  <w:r>
                    <w:rPr>
                      <w:rFonts w:hint="eastAsia" w:cs="Times New Roman"/>
                      <w:color w:val="FF0000"/>
                      <w:kern w:val="0"/>
                      <w:sz w:val="21"/>
                      <w:szCs w:val="21"/>
                      <w:lang w:val="en-US" w:eastAsia="zh-CN" w:bidi="ar"/>
                    </w:rPr>
                    <w:t>不属于</w:t>
                  </w:r>
                  <w:r>
                    <w:rPr>
                      <w:rFonts w:hint="eastAsia" w:ascii="Times New Roman" w:hAnsi="Times New Roman" w:eastAsia="宋体" w:cs="Times New Roman"/>
                      <w:color w:val="FF0000"/>
                      <w:sz w:val="21"/>
                      <w:szCs w:val="21"/>
                      <w:lang w:val="en-US" w:eastAsia="zh-CN"/>
                    </w:rPr>
                    <w:t>“两高”行业产能</w:t>
                  </w:r>
                  <w:r>
                    <w:rPr>
                      <w:rFonts w:hint="eastAsia" w:cs="Times New Roman"/>
                      <w:color w:val="FF0000"/>
                      <w:sz w:val="21"/>
                      <w:szCs w:val="21"/>
                      <w:lang w:val="en-US" w:eastAsia="zh-CN"/>
                    </w:rPr>
                    <w:t>，</w:t>
                  </w:r>
                  <w:r>
                    <w:rPr>
                      <w:rFonts w:hint="eastAsia" w:cs="Times New Roman"/>
                      <w:color w:val="FF0000"/>
                      <w:kern w:val="0"/>
                      <w:sz w:val="21"/>
                      <w:szCs w:val="21"/>
                      <w:lang w:val="en-US" w:eastAsia="zh-CN" w:bidi="ar"/>
                    </w:rPr>
                    <w:t>不产生危险化学品且</w:t>
                  </w:r>
                  <w:r>
                    <w:rPr>
                      <w:rFonts w:hint="default" w:ascii="Times New Roman" w:hAnsi="Times New Roman" w:eastAsia="宋体" w:cs="Times New Roman"/>
                      <w:color w:val="FF0000"/>
                      <w:kern w:val="0"/>
                      <w:sz w:val="21"/>
                      <w:szCs w:val="21"/>
                      <w:lang w:val="en-US" w:eastAsia="zh-CN" w:bidi="ar"/>
                    </w:rPr>
                    <w:t>能耗较低，无新增废水外排</w:t>
                  </w:r>
                  <w:r>
                    <w:rPr>
                      <w:rFonts w:hint="eastAsia" w:cs="Times New Roman"/>
                      <w:color w:val="FF0000"/>
                      <w:kern w:val="0"/>
                      <w:sz w:val="21"/>
                      <w:szCs w:val="21"/>
                      <w:lang w:val="en-US" w:eastAsia="zh-CN" w:bidi="ar"/>
                    </w:rPr>
                    <w:t>，</w:t>
                  </w:r>
                  <w:r>
                    <w:rPr>
                      <w:rFonts w:hint="eastAsia" w:cs="Times New Roman"/>
                      <w:color w:val="FF0000"/>
                      <w:sz w:val="21"/>
                      <w:szCs w:val="21"/>
                      <w:lang w:val="en-US" w:eastAsia="zh-CN"/>
                    </w:rPr>
                    <w:t>固废垃圾采取集中收集办法，由市政部门及有资质单位进行回收，</w:t>
                  </w:r>
                  <w:r>
                    <w:rPr>
                      <w:rFonts w:hint="default" w:ascii="Times New Roman" w:hAnsi="Times New Roman" w:eastAsia="宋体" w:cs="Times New Roman"/>
                      <w:color w:val="FF0000"/>
                      <w:kern w:val="0"/>
                      <w:sz w:val="21"/>
                      <w:szCs w:val="21"/>
                      <w:lang w:val="en-US" w:eastAsia="zh-CN" w:bidi="ar"/>
                    </w:rPr>
                    <w:t>工程建设过程中通过采取相应污染防止措施后，周边环境质量均满足相应标准要求，对周边环境影响可接受</w:t>
                  </w:r>
                  <w:r>
                    <w:rPr>
                      <w:rFonts w:hint="eastAsia" w:cs="Times New Roman"/>
                      <w:color w:val="FF0000"/>
                      <w:kern w:val="0"/>
                      <w:sz w:val="21"/>
                      <w:szCs w:val="21"/>
                      <w:lang w:val="en-US" w:eastAsia="zh-CN" w:bidi="ar"/>
                    </w:rPr>
                    <w:t>，</w:t>
                  </w:r>
                  <w:r>
                    <w:rPr>
                      <w:rFonts w:hint="eastAsia" w:cs="Times New Roman"/>
                      <w:color w:val="FF0000"/>
                      <w:sz w:val="21"/>
                      <w:szCs w:val="21"/>
                      <w:lang w:val="en-US" w:eastAsia="zh-CN"/>
                    </w:rPr>
                    <w:t>满足恒山区城镇空间重点管控单元要求。</w:t>
                  </w:r>
                </w:p>
              </w:tc>
            </w:tr>
            <w:tr w14:paraId="6CCFB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1D612CB8">
                  <w:pPr>
                    <w:keepNext w:val="0"/>
                    <w:keepLines w:val="0"/>
                    <w:suppressLineNumbers w:val="0"/>
                    <w:adjustRightInd w:val="0"/>
                    <w:spacing w:before="0" w:beforeAutospacing="0" w:after="0" w:afterAutospacing="0" w:line="240" w:lineRule="atLeast"/>
                    <w:ind w:left="0" w:right="0"/>
                    <w:jc w:val="center"/>
                    <w:textAlignment w:val="baseline"/>
                    <w:rPr>
                      <w:rFonts w:hint="eastAsia" w:ascii="Times New Roman"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污染物排放管控</w:t>
                  </w:r>
                </w:p>
              </w:tc>
              <w:tc>
                <w:tcPr>
                  <w:tcW w:w="2516" w:type="pct"/>
                  <w:gridSpan w:val="2"/>
                  <w:tcBorders>
                    <w:tl2br w:val="nil"/>
                    <w:tr2bl w:val="nil"/>
                  </w:tcBorders>
                  <w:vAlign w:val="center"/>
                </w:tcPr>
                <w:p w14:paraId="30A643CE">
                  <w:pPr>
                    <w:keepNext w:val="0"/>
                    <w:keepLines w:val="0"/>
                    <w:suppressLineNumbers w:val="0"/>
                    <w:adjustRightInd w:val="0"/>
                    <w:spacing w:before="0" w:beforeAutospacing="0" w:after="0" w:afterAutospacing="0" w:line="240" w:lineRule="atLeast"/>
                    <w:ind w:left="0" w:right="0"/>
                    <w:textAlignment w:val="baseline"/>
                    <w:rPr>
                      <w:rFonts w:hint="eastAsia" w:ascii="Times New Roman" w:eastAsia="宋体"/>
                      <w:color w:val="000000" w:themeColor="text1"/>
                      <w:sz w:val="21"/>
                      <w:szCs w:val="21"/>
                      <w:lang w:eastAsia="zh-CN"/>
                      <w14:textFill>
                        <w14:solidFill>
                          <w14:schemeClr w14:val="tx1"/>
                        </w14:solidFill>
                      </w14:textFill>
                    </w:rPr>
                  </w:pPr>
                  <w:r>
                    <w:rPr>
                      <w:rFonts w:hint="eastAsia" w:ascii="Times New Roman"/>
                      <w:color w:val="000000" w:themeColor="text1"/>
                      <w:sz w:val="21"/>
                      <w:szCs w:val="21"/>
                      <w14:textFill>
                        <w14:solidFill>
                          <w14:schemeClr w14:val="tx1"/>
                        </w14:solidFill>
                      </w14:textFill>
                    </w:rPr>
                    <w:t>1.同时执行：加快65t／h以上燃煤锅炉（含电力）超低排放改造。 2.水环境农业污染重点管控区同时执行 （1）支持规模化畜禽养殖场（小区）开展标准化改造和建设，提高畜禽粪污收集和处理机械化水平，实施雨污分流、粪污资源化利用，控制畜禽养殖污染排放。 （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 （3）全面加强农业面源污染防控，科学合理使用农业投入品，提高使用效率，减少农业内源性污染。 3.大气环境布局敏感重点管控区同时执行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r>
                    <w:rPr>
                      <w:rFonts w:hint="eastAsia"/>
                      <w:color w:val="000000" w:themeColor="text1"/>
                      <w:sz w:val="21"/>
                      <w:szCs w:val="21"/>
                      <w:lang w:eastAsia="zh-CN"/>
                      <w14:textFill>
                        <w14:solidFill>
                          <w14:schemeClr w14:val="tx1"/>
                        </w14:solidFill>
                      </w14:textFill>
                    </w:rPr>
                    <w:t>。</w:t>
                  </w:r>
                </w:p>
              </w:tc>
              <w:tc>
                <w:tcPr>
                  <w:tcW w:w="1761" w:type="pct"/>
                  <w:vMerge w:val="continue"/>
                  <w:tcBorders>
                    <w:tl2br w:val="nil"/>
                    <w:tr2bl w:val="nil"/>
                  </w:tcBorders>
                  <w:vAlign w:val="center"/>
                </w:tcPr>
                <w:p w14:paraId="0EEE4460">
                  <w:pPr>
                    <w:keepNext w:val="0"/>
                    <w:keepLines w:val="0"/>
                    <w:suppressLineNumbers w:val="0"/>
                    <w:adjustRightInd w:val="0"/>
                    <w:spacing w:before="0" w:beforeAutospacing="0" w:after="0" w:afterAutospacing="0" w:line="240" w:lineRule="atLeast"/>
                    <w:ind w:left="0" w:right="0"/>
                    <w:textAlignment w:val="baseline"/>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p>
              </w:tc>
            </w:tr>
            <w:tr w14:paraId="19C5E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7CF92E72">
                  <w:pPr>
                    <w:keepNext w:val="0"/>
                    <w:keepLines w:val="0"/>
                    <w:suppressLineNumbers w:val="0"/>
                    <w:adjustRightInd w:val="0"/>
                    <w:spacing w:before="0" w:beforeAutospacing="0" w:after="0" w:afterAutospacing="0" w:line="240" w:lineRule="atLeast"/>
                    <w:ind w:left="0" w:right="0"/>
                    <w:jc w:val="center"/>
                    <w:textAlignment w:val="baseline"/>
                    <w:rPr>
                      <w:rFonts w:hint="default" w:ascii="Times New Roman"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环境风险防控</w:t>
                  </w:r>
                </w:p>
              </w:tc>
              <w:tc>
                <w:tcPr>
                  <w:tcW w:w="2516" w:type="pct"/>
                  <w:gridSpan w:val="2"/>
                  <w:tcBorders>
                    <w:tl2br w:val="nil"/>
                    <w:tr2bl w:val="nil"/>
                  </w:tcBorders>
                  <w:vAlign w:val="center"/>
                </w:tcPr>
                <w:p w14:paraId="424F2063">
                  <w:pPr>
                    <w:keepNext w:val="0"/>
                    <w:keepLines w:val="0"/>
                    <w:suppressLineNumbers w:val="0"/>
                    <w:adjustRightInd w:val="0"/>
                    <w:spacing w:before="0" w:beforeAutospacing="0" w:after="0" w:afterAutospacing="0" w:line="240" w:lineRule="atLeast"/>
                    <w:ind w:left="0" w:right="0"/>
                    <w:textAlignment w:val="baseline"/>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1.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 2.大气环境布局敏感重点管控区同时执行禁止在居民区、学校、医疗和养老机构等周边新建有色金属冶炼、焦化等行业企业。</w:t>
                  </w:r>
                </w:p>
              </w:tc>
              <w:tc>
                <w:tcPr>
                  <w:tcW w:w="1761" w:type="pct"/>
                  <w:vMerge w:val="continue"/>
                  <w:tcBorders>
                    <w:tl2br w:val="nil"/>
                    <w:tr2bl w:val="nil"/>
                  </w:tcBorders>
                  <w:vAlign w:val="center"/>
                </w:tcPr>
                <w:p w14:paraId="7554DD78">
                  <w:pPr>
                    <w:keepNext w:val="0"/>
                    <w:keepLines w:val="0"/>
                    <w:suppressLineNumbers w:val="0"/>
                    <w:adjustRightInd w:val="0"/>
                    <w:spacing w:before="0" w:beforeAutospacing="0" w:after="0" w:afterAutospacing="0" w:line="240" w:lineRule="atLeast"/>
                    <w:ind w:left="0" w:right="0"/>
                    <w:textAlignment w:val="baseline"/>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p>
              </w:tc>
            </w:tr>
            <w:tr w14:paraId="524D8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0887F5C9">
                  <w:pPr>
                    <w:keepNext w:val="0"/>
                    <w:keepLines w:val="0"/>
                    <w:suppressLineNumbers w:val="0"/>
                    <w:adjustRightInd w:val="0"/>
                    <w:spacing w:before="0" w:beforeAutospacing="0" w:after="0" w:afterAutospacing="0" w:line="240" w:lineRule="atLeast"/>
                    <w:ind w:left="0" w:right="0"/>
                    <w:jc w:val="center"/>
                    <w:textAlignment w:val="baseline"/>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资源开发效率要求</w:t>
                  </w:r>
                </w:p>
              </w:tc>
              <w:tc>
                <w:tcPr>
                  <w:tcW w:w="2516" w:type="pct"/>
                  <w:gridSpan w:val="2"/>
                  <w:tcBorders>
                    <w:tl2br w:val="nil"/>
                    <w:tr2bl w:val="nil"/>
                  </w:tcBorders>
                  <w:vAlign w:val="center"/>
                </w:tcPr>
                <w:p w14:paraId="07D7A7AD">
                  <w:pPr>
                    <w:keepNext w:val="0"/>
                    <w:keepLines w:val="0"/>
                    <w:suppressLineNumbers w:val="0"/>
                    <w:adjustRightInd w:val="0"/>
                    <w:spacing w:before="0" w:beforeAutospacing="0" w:after="0" w:afterAutospacing="0" w:line="240" w:lineRule="atLeast"/>
                    <w:ind w:left="0" w:right="0"/>
                    <w:textAlignment w:val="baseline"/>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1.推进污水再生利用设施建设。 2.公共建筑必须采用节水器具，限期淘汰公共建筑中不符合节水标准的水嘴、便器水箱等生活用水器具。</w:t>
                  </w:r>
                </w:p>
              </w:tc>
              <w:tc>
                <w:tcPr>
                  <w:tcW w:w="1761" w:type="pct"/>
                  <w:vMerge w:val="continue"/>
                  <w:tcBorders>
                    <w:tl2br w:val="nil"/>
                    <w:tr2bl w:val="nil"/>
                  </w:tcBorders>
                  <w:vAlign w:val="center"/>
                </w:tcPr>
                <w:p w14:paraId="16F8A8B8">
                  <w:pPr>
                    <w:keepNext w:val="0"/>
                    <w:keepLines w:val="0"/>
                    <w:suppressLineNumbers w:val="0"/>
                    <w:adjustRightInd w:val="0"/>
                    <w:spacing w:before="0" w:beforeAutospacing="0" w:after="0" w:afterAutospacing="0" w:line="240" w:lineRule="atLeast"/>
                    <w:ind w:left="0" w:right="0"/>
                    <w:textAlignment w:val="baseline"/>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p>
              </w:tc>
            </w:tr>
            <w:tr w14:paraId="3EBA9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6BFCE637">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eastAsia"/>
                      <w:b/>
                      <w:bCs/>
                      <w:color w:val="000000" w:themeColor="text1"/>
                      <w:sz w:val="21"/>
                      <w:szCs w:val="21"/>
                      <w:lang w:val="en-US" w:eastAsia="zh-CN"/>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环境管控单元名称</w:t>
                  </w:r>
                </w:p>
              </w:tc>
              <w:tc>
                <w:tcPr>
                  <w:tcW w:w="4277" w:type="pct"/>
                  <w:gridSpan w:val="3"/>
                  <w:tcBorders>
                    <w:tl2br w:val="nil"/>
                    <w:tr2bl w:val="nil"/>
                  </w:tcBorders>
                  <w:vAlign w:val="center"/>
                </w:tcPr>
                <w:p w14:paraId="3EB499A6">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鸡东县水环境农业污染</w:t>
                  </w:r>
                </w:p>
                <w:p w14:paraId="6635E4AB">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color w:val="000000" w:themeColor="text1"/>
                      <w:sz w:val="21"/>
                      <w:szCs w:val="21"/>
                      <w14:textFill>
                        <w14:solidFill>
                          <w14:schemeClr w14:val="tx1"/>
                        </w14:solidFill>
                      </w14:textFill>
                    </w:rPr>
                    <w:t>重点管控区</w:t>
                  </w:r>
                </w:p>
              </w:tc>
            </w:tr>
            <w:tr w14:paraId="02ED7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49355D74">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eastAsia"/>
                      <w:b/>
                      <w:bCs/>
                      <w:color w:val="000000" w:themeColor="text1"/>
                      <w:sz w:val="21"/>
                      <w:szCs w:val="21"/>
                      <w:lang w:val="en-US" w:eastAsia="zh-CN"/>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环境管控单元编码</w:t>
                  </w:r>
                </w:p>
              </w:tc>
              <w:tc>
                <w:tcPr>
                  <w:tcW w:w="4277" w:type="pct"/>
                  <w:gridSpan w:val="3"/>
                  <w:tcBorders>
                    <w:tl2br w:val="nil"/>
                    <w:tr2bl w:val="nil"/>
                  </w:tcBorders>
                  <w:vAlign w:val="center"/>
                </w:tcPr>
                <w:p w14:paraId="2E168D40">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color w:val="000000" w:themeColor="text1"/>
                      <w:sz w:val="21"/>
                      <w:szCs w:val="21"/>
                      <w14:textFill>
                        <w14:solidFill>
                          <w14:schemeClr w14:val="tx1"/>
                        </w14:solidFill>
                      </w14:textFill>
                    </w:rPr>
                    <w:t>ZH23</w:t>
                  </w:r>
                  <w:r>
                    <w:rPr>
                      <w:rFonts w:hint="eastAsia"/>
                      <w:color w:val="000000" w:themeColor="text1"/>
                      <w:sz w:val="21"/>
                      <w:szCs w:val="21"/>
                      <w:lang w:val="en-US" w:eastAsia="zh-CN"/>
                      <w14:textFill>
                        <w14:solidFill>
                          <w14:schemeClr w14:val="tx1"/>
                        </w14:solidFill>
                      </w14:textFill>
                    </w:rPr>
                    <w:t>032120004</w:t>
                  </w:r>
                </w:p>
              </w:tc>
            </w:tr>
            <w:tr w14:paraId="284C0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35DB076D">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eastAsia"/>
                      <w:b/>
                      <w:bCs/>
                      <w:color w:val="000000" w:themeColor="text1"/>
                      <w:sz w:val="21"/>
                      <w:szCs w:val="21"/>
                      <w:lang w:val="en-US" w:eastAsia="zh-CN"/>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管控单元类别</w:t>
                  </w:r>
                </w:p>
              </w:tc>
              <w:tc>
                <w:tcPr>
                  <w:tcW w:w="4277" w:type="pct"/>
                  <w:gridSpan w:val="3"/>
                  <w:tcBorders>
                    <w:tl2br w:val="nil"/>
                    <w:tr2bl w:val="nil"/>
                  </w:tcBorders>
                  <w:vAlign w:val="center"/>
                </w:tcPr>
                <w:p w14:paraId="631DF134">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重点</w:t>
                  </w:r>
                  <w:r>
                    <w:rPr>
                      <w:rFonts w:hint="default" w:ascii="Times New Roman"/>
                      <w:color w:val="000000" w:themeColor="text1"/>
                      <w:sz w:val="21"/>
                      <w:szCs w:val="21"/>
                      <w14:textFill>
                        <w14:solidFill>
                          <w14:schemeClr w14:val="tx1"/>
                        </w14:solidFill>
                      </w14:textFill>
                    </w:rPr>
                    <w:t>管控单元</w:t>
                  </w:r>
                </w:p>
              </w:tc>
            </w:tr>
            <w:tr w14:paraId="56C8F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6C057AEE">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eastAsia"/>
                      <w:b/>
                      <w:bCs/>
                      <w:color w:val="000000" w:themeColor="text1"/>
                      <w:sz w:val="21"/>
                      <w:szCs w:val="21"/>
                      <w:lang w:val="en-US" w:eastAsia="zh-CN"/>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空间布局约束</w:t>
                  </w:r>
                </w:p>
              </w:tc>
              <w:tc>
                <w:tcPr>
                  <w:tcW w:w="2516" w:type="pct"/>
                  <w:gridSpan w:val="2"/>
                  <w:tcBorders>
                    <w:tl2br w:val="nil"/>
                    <w:tr2bl w:val="nil"/>
                  </w:tcBorders>
                  <w:vAlign w:val="center"/>
                </w:tcPr>
                <w:p w14:paraId="0F77AD9E">
                  <w:pPr>
                    <w:keepNext w:val="0"/>
                    <w:keepLines w:val="0"/>
                    <w:suppressLineNumbers w:val="0"/>
                    <w:adjustRightInd w:val="0"/>
                    <w:spacing w:before="0" w:beforeAutospacing="0" w:after="0" w:afterAutospacing="0" w:line="240" w:lineRule="atLeast"/>
                    <w:ind w:left="0" w:right="0"/>
                    <w:textAlignment w:val="baseline"/>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1.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2.大气环境布局敏感重点管控区同时执行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1761" w:type="pct"/>
                  <w:vMerge w:val="restart"/>
                  <w:tcBorders>
                    <w:tl2br w:val="nil"/>
                    <w:tr2bl w:val="nil"/>
                  </w:tcBorders>
                  <w:vAlign w:val="center"/>
                </w:tcPr>
                <w:p w14:paraId="7B925318">
                  <w:pPr>
                    <w:keepNext w:val="0"/>
                    <w:keepLines w:val="0"/>
                    <w:suppressLineNumbers w:val="0"/>
                    <w:adjustRightInd w:val="0"/>
                    <w:spacing w:before="0" w:beforeAutospacing="0" w:after="0" w:afterAutospacing="0" w:line="240" w:lineRule="atLeast"/>
                    <w:ind w:left="0" w:right="0"/>
                    <w:textAlignment w:val="baseline"/>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本项目为输变电项目，</w:t>
                  </w:r>
                  <w:r>
                    <w:rPr>
                      <w:rFonts w:hint="eastAsia" w:cs="Times New Roman"/>
                      <w:color w:val="FF0000"/>
                      <w:kern w:val="0"/>
                      <w:sz w:val="21"/>
                      <w:szCs w:val="21"/>
                      <w:lang w:val="en-US" w:eastAsia="zh-CN" w:bidi="ar"/>
                    </w:rPr>
                    <w:t>不属于</w:t>
                  </w:r>
                  <w:r>
                    <w:rPr>
                      <w:rFonts w:hint="eastAsia" w:ascii="Times New Roman" w:hAnsi="Times New Roman" w:eastAsia="宋体" w:cs="Times New Roman"/>
                      <w:color w:val="FF0000"/>
                      <w:sz w:val="21"/>
                      <w:szCs w:val="21"/>
                      <w:lang w:val="en-US" w:eastAsia="zh-CN"/>
                    </w:rPr>
                    <w:t>“两高”行业产能</w:t>
                  </w:r>
                  <w:r>
                    <w:rPr>
                      <w:rFonts w:hint="eastAsia" w:cs="Times New Roman"/>
                      <w:color w:val="FF0000"/>
                      <w:sz w:val="21"/>
                      <w:szCs w:val="21"/>
                      <w:lang w:val="en-US" w:eastAsia="zh-CN"/>
                    </w:rPr>
                    <w:t>，</w:t>
                  </w:r>
                  <w:r>
                    <w:rPr>
                      <w:rFonts w:hint="default" w:ascii="Times New Roman" w:hAnsi="Times New Roman" w:eastAsia="宋体" w:cs="Times New Roman"/>
                      <w:color w:val="FF0000"/>
                      <w:kern w:val="0"/>
                      <w:sz w:val="21"/>
                      <w:szCs w:val="21"/>
                      <w:lang w:val="en-US" w:eastAsia="zh-CN" w:bidi="ar"/>
                    </w:rPr>
                    <w:t>无新增废水外排</w:t>
                  </w:r>
                  <w:r>
                    <w:rPr>
                      <w:rFonts w:hint="eastAsia" w:cs="Times New Roman"/>
                      <w:color w:val="FF0000"/>
                      <w:kern w:val="0"/>
                      <w:sz w:val="21"/>
                      <w:szCs w:val="21"/>
                      <w:lang w:val="en-US" w:eastAsia="zh-CN" w:bidi="ar"/>
                    </w:rPr>
                    <w:t>，</w:t>
                  </w:r>
                  <w:r>
                    <w:rPr>
                      <w:rFonts w:hint="eastAsia" w:cs="Times New Roman"/>
                      <w:color w:val="FF0000"/>
                      <w:sz w:val="21"/>
                      <w:szCs w:val="21"/>
                      <w:lang w:val="en-US" w:eastAsia="zh-CN"/>
                    </w:rPr>
                    <w:t>固废垃圾采取集中收集办法，由市政部门及有资质单位进行回收</w:t>
                  </w:r>
                  <w:r>
                    <w:rPr>
                      <w:rFonts w:hint="default" w:ascii="Times New Roman" w:hAnsi="Times New Roman" w:eastAsia="宋体" w:cs="Times New Roman"/>
                      <w:color w:val="FF0000"/>
                      <w:kern w:val="0"/>
                      <w:sz w:val="21"/>
                      <w:szCs w:val="21"/>
                      <w:lang w:val="en-US" w:eastAsia="zh-CN" w:bidi="ar"/>
                    </w:rPr>
                    <w:t>。工程建设过程中通过采取相应污染防止措施后，周边环境质量均满足相应标准要求，对周边环境影响可接受。</w:t>
                  </w:r>
                </w:p>
              </w:tc>
            </w:tr>
            <w:tr w14:paraId="69780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1B7539F8">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污染物排放管控</w:t>
                  </w:r>
                </w:p>
              </w:tc>
              <w:tc>
                <w:tcPr>
                  <w:tcW w:w="2516" w:type="pct"/>
                  <w:gridSpan w:val="2"/>
                  <w:tcBorders>
                    <w:tl2br w:val="nil"/>
                    <w:tr2bl w:val="nil"/>
                  </w:tcBorders>
                  <w:vAlign w:val="center"/>
                </w:tcPr>
                <w:p w14:paraId="3CDBEECF">
                  <w:pPr>
                    <w:keepNext w:val="0"/>
                    <w:keepLines w:val="0"/>
                    <w:suppressLineNumbers w:val="0"/>
                    <w:adjustRightInd w:val="0"/>
                    <w:spacing w:before="0" w:beforeAutospacing="0" w:after="0" w:afterAutospacing="0" w:line="240" w:lineRule="atLeast"/>
                    <w:ind w:left="0" w:right="0"/>
                    <w:textAlignment w:val="baseline"/>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1.执行本清单 （1）支持规模化畜禽养殖场（小区）开展标准化改造和建设，提高畜禽粪污收集和处理机械化水平，实施雨污分流、粪污资源化利用，控制畜禽养殖污染排放。 （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 （3）全面加强农业面源污染防控，科学合理使用农业投入品，提高使用效率，减少农业内源性污染。 （4）大气环境布局敏感重点管控区同时执行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1761" w:type="pct"/>
                  <w:vMerge w:val="continue"/>
                  <w:tcBorders>
                    <w:tl2br w:val="nil"/>
                    <w:tr2bl w:val="nil"/>
                  </w:tcBorders>
                  <w:vAlign w:val="center"/>
                </w:tcPr>
                <w:p w14:paraId="65FE661B">
                  <w:pPr>
                    <w:keepNext w:val="0"/>
                    <w:keepLines w:val="0"/>
                    <w:suppressLineNumbers w:val="0"/>
                    <w:adjustRightInd w:val="0"/>
                    <w:spacing w:before="0" w:beforeAutospacing="0" w:after="0" w:afterAutospacing="0" w:line="240" w:lineRule="atLeast"/>
                    <w:ind w:left="0" w:right="0"/>
                    <w:textAlignment w:val="baseline"/>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p>
              </w:tc>
            </w:tr>
            <w:tr w14:paraId="6EED8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2" w:type="pct"/>
                  <w:tcBorders>
                    <w:tl2br w:val="nil"/>
                    <w:tr2bl w:val="nil"/>
                  </w:tcBorders>
                  <w:vAlign w:val="center"/>
                </w:tcPr>
                <w:p w14:paraId="2F70079F">
                  <w:pPr>
                    <w:keepNext w:val="0"/>
                    <w:keepLines w:val="0"/>
                    <w:suppressLineNumbers w:val="0"/>
                    <w:adjustRightInd w:val="0"/>
                    <w:spacing w:before="0" w:beforeAutospacing="0" w:after="0" w:afterAutospacing="0" w:line="240" w:lineRule="atLeast"/>
                    <w:ind w:left="0" w:leftChars="0" w:right="0" w:rightChars="0"/>
                    <w:jc w:val="center"/>
                    <w:textAlignment w:val="baseline"/>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环境风险防控</w:t>
                  </w:r>
                </w:p>
              </w:tc>
              <w:tc>
                <w:tcPr>
                  <w:tcW w:w="2516" w:type="pct"/>
                  <w:gridSpan w:val="2"/>
                  <w:tcBorders>
                    <w:tl2br w:val="nil"/>
                    <w:tr2bl w:val="nil"/>
                  </w:tcBorders>
                  <w:vAlign w:val="center"/>
                </w:tcPr>
                <w:p w14:paraId="58191DC1">
                  <w:pPr>
                    <w:keepNext w:val="0"/>
                    <w:keepLines w:val="0"/>
                    <w:suppressLineNumbers w:val="0"/>
                    <w:adjustRightInd w:val="0"/>
                    <w:spacing w:before="0" w:beforeAutospacing="0" w:after="0" w:afterAutospacing="0" w:line="240" w:lineRule="atLeast"/>
                    <w:ind w:left="0" w:right="0"/>
                    <w:textAlignment w:val="baseline"/>
                    <w:rPr>
                      <w:rFonts w:hint="eastAsia" w:ascii="Times New Roman"/>
                      <w:color w:val="000000" w:themeColor="text1"/>
                      <w:sz w:val="21"/>
                      <w:szCs w:val="21"/>
                      <w14:textFill>
                        <w14:solidFill>
                          <w14:schemeClr w14:val="tx1"/>
                        </w14:solidFill>
                      </w14:textFill>
                    </w:rPr>
                  </w:pPr>
                  <w:r>
                    <w:rPr>
                      <w:rFonts w:hint="eastAsia" w:ascii="Times New Roman"/>
                      <w:color w:val="000000" w:themeColor="text1"/>
                      <w:sz w:val="21"/>
                      <w:szCs w:val="21"/>
                      <w14:textFill>
                        <w14:solidFill>
                          <w14:schemeClr w14:val="tx1"/>
                        </w14:solidFill>
                      </w14:textFill>
                    </w:rPr>
                    <w:t>1.同时执行： （1）严禁在人口密集区新建危险化学品生产项目，城镇人口密集区危险化学品生产企业应搬迁改造。 （2）禁止在城镇居民区、文化教育科学研究区等人口集中区域建设畜禽养殖场、养殖小区。 2.水环境农业污染重点管控区同时执行 （1）科学划定畜禽养殖禁养区。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3.大气环境布局敏感重点管控区同时执行本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1761" w:type="pct"/>
                  <w:vMerge w:val="continue"/>
                  <w:tcBorders>
                    <w:tl2br w:val="nil"/>
                    <w:tr2bl w:val="nil"/>
                  </w:tcBorders>
                  <w:vAlign w:val="center"/>
                </w:tcPr>
                <w:p w14:paraId="1FB632EA">
                  <w:pPr>
                    <w:keepNext w:val="0"/>
                    <w:keepLines w:val="0"/>
                    <w:suppressLineNumbers w:val="0"/>
                    <w:adjustRightInd w:val="0"/>
                    <w:spacing w:before="0" w:beforeAutospacing="0" w:after="0" w:afterAutospacing="0" w:line="240" w:lineRule="atLeast"/>
                    <w:ind w:left="0" w:right="0"/>
                    <w:textAlignment w:val="baseline"/>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p>
              </w:tc>
            </w:tr>
          </w:tbl>
          <w:p w14:paraId="3C9FBBFF">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360" w:lineRule="auto"/>
              <w:ind w:left="0" w:right="0" w:rightChars="0" w:firstLine="480" w:firstLineChars="200"/>
              <w:textAlignment w:val="auto"/>
              <w:rPr>
                <w:rFonts w:hint="eastAsia" w:hAnsi="宋体" w:cs="Times New Roman"/>
                <w:color w:val="FF0000"/>
                <w:sz w:val="24"/>
                <w:lang w:eastAsia="zh-CN"/>
              </w:rPr>
            </w:pPr>
            <w:r>
              <w:rPr>
                <w:rFonts w:hint="eastAsia" w:ascii="Times New Roman" w:hAnsi="宋体" w:eastAsia="宋体" w:cs="Times New Roman"/>
                <w:color w:val="FF0000"/>
                <w:sz w:val="24"/>
              </w:rPr>
              <w:t>由上表可知，本项目的建设符合</w:t>
            </w:r>
            <w:r>
              <w:rPr>
                <w:rFonts w:hint="default" w:ascii="Times New Roman" w:hAnsi="Times New Roman" w:eastAsia="宋体" w:cs="Times New Roman"/>
                <w:color w:val="FF0000"/>
                <w:kern w:val="0"/>
                <w:sz w:val="24"/>
                <w:szCs w:val="24"/>
                <w:lang w:val="en-US" w:eastAsia="zh-CN" w:bidi="ar"/>
              </w:rPr>
              <w:t>《关于发布2023年生态环境分区管控动态更新成果的通知》（黑环发〔2024〕1号）</w:t>
            </w:r>
            <w:r>
              <w:rPr>
                <w:rFonts w:hint="eastAsia" w:eastAsia="宋体" w:cs="Times New Roman"/>
                <w:color w:val="FF0000"/>
                <w:kern w:val="0"/>
                <w:sz w:val="24"/>
                <w:szCs w:val="24"/>
                <w:lang w:val="en-US" w:eastAsia="zh-CN" w:bidi="ar"/>
              </w:rPr>
              <w:t>和鸡西市生态环境准入清单（2023年版）</w:t>
            </w:r>
            <w:r>
              <w:rPr>
                <w:rFonts w:hint="eastAsia" w:ascii="Times New Roman" w:hAnsi="宋体" w:eastAsia="宋体" w:cs="Times New Roman"/>
                <w:color w:val="FF0000"/>
                <w:sz w:val="24"/>
              </w:rPr>
              <w:t>中的要求。根据</w:t>
            </w:r>
            <w:r>
              <w:rPr>
                <w:rFonts w:hint="default"/>
                <w:strike w:val="0"/>
                <w:dstrike w:val="0"/>
                <w:color w:val="FF0000"/>
                <w:sz w:val="24"/>
                <w:szCs w:val="28"/>
                <w:lang w:val="en-US" w:eastAsia="zh-CN"/>
              </w:rPr>
              <w:t>黑龙江省生态环境分区管控数据应用平台查询</w:t>
            </w:r>
            <w:r>
              <w:rPr>
                <w:rFonts w:hint="eastAsia"/>
                <w:strike w:val="0"/>
                <w:dstrike w:val="0"/>
                <w:color w:val="FF0000"/>
                <w:sz w:val="24"/>
                <w:szCs w:val="28"/>
                <w:lang w:val="en-US" w:eastAsia="zh-CN"/>
              </w:rPr>
              <w:t>“</w:t>
            </w:r>
            <w:r>
              <w:rPr>
                <w:rFonts w:hint="eastAsia" w:ascii="Times New Roman" w:hAnsi="宋体" w:eastAsia="宋体" w:cs="Times New Roman"/>
                <w:color w:val="FF0000"/>
                <w:sz w:val="24"/>
              </w:rPr>
              <w:t>黑龙江鸡西鸡西~恒山220伏线路工程</w:t>
            </w:r>
            <w:r>
              <w:rPr>
                <w:rFonts w:hint="eastAsia"/>
                <w:strike w:val="0"/>
                <w:dstrike w:val="0"/>
                <w:color w:val="FF0000"/>
                <w:sz w:val="24"/>
                <w:szCs w:val="28"/>
                <w:lang w:val="en-US" w:eastAsia="zh-CN"/>
              </w:rPr>
              <w:t>”</w:t>
            </w:r>
            <w:r>
              <w:rPr>
                <w:rFonts w:hint="eastAsia" w:hAnsi="宋体" w:cs="Times New Roman"/>
                <w:color w:val="FF0000"/>
                <w:sz w:val="24"/>
                <w:lang w:eastAsia="zh-CN"/>
              </w:rPr>
              <w:t>生态环境分区管控</w:t>
            </w:r>
            <w:r>
              <w:rPr>
                <w:rFonts w:hint="eastAsia" w:ascii="Times New Roman" w:hAnsi="宋体" w:eastAsia="宋体" w:cs="Times New Roman"/>
                <w:color w:val="FF0000"/>
                <w:sz w:val="24"/>
              </w:rPr>
              <w:t>分析成果，</w:t>
            </w:r>
            <w:r>
              <w:rPr>
                <w:rStyle w:val="93"/>
                <w:rFonts w:hint="eastAsia" w:ascii="Times New Roman" w:hAnsi="宋体" w:eastAsia="宋体" w:cs="Times New Roman"/>
                <w:color w:val="FF0000"/>
                <w:sz w:val="24"/>
                <w:lang w:val="en-US" w:eastAsia="zh-CN"/>
              </w:rPr>
              <w:t>本</w:t>
            </w:r>
            <w:r>
              <w:rPr>
                <w:rStyle w:val="93"/>
                <w:rFonts w:hint="eastAsia" w:ascii="Times New Roman" w:hAnsi="宋体" w:eastAsia="宋体" w:cs="Times New Roman"/>
                <w:color w:val="FF0000"/>
                <w:sz w:val="24"/>
              </w:rPr>
              <w:t>项目</w:t>
            </w:r>
            <w:r>
              <w:rPr>
                <w:rFonts w:hint="eastAsia" w:ascii="Times New Roman" w:hAnsi="宋体" w:eastAsia="宋体" w:cs="Times New Roman"/>
                <w:color w:val="FF0000"/>
                <w:sz w:val="24"/>
              </w:rPr>
              <w:t>位置涉及鸡西市恒山区,鸡西市鸡东县</w:t>
            </w:r>
            <w:r>
              <w:rPr>
                <w:rFonts w:hint="eastAsia" w:hAnsi="宋体" w:cs="Times New Roman"/>
                <w:color w:val="FF0000"/>
                <w:sz w:val="24"/>
                <w:lang w:eastAsia="zh-CN"/>
              </w:rPr>
              <w:t>；</w:t>
            </w:r>
            <w:r>
              <w:rPr>
                <w:rFonts w:hint="eastAsia" w:ascii="Times New Roman" w:hAnsi="宋体" w:eastAsia="宋体" w:cs="Times New Roman"/>
                <w:color w:val="FF0000"/>
                <w:sz w:val="24"/>
              </w:rPr>
              <w:t>与生态保护红线无交集</w:t>
            </w:r>
            <w:r>
              <w:rPr>
                <w:rFonts w:hint="eastAsia" w:hAnsi="宋体" w:cs="Times New Roman"/>
                <w:color w:val="FF0000"/>
                <w:sz w:val="24"/>
                <w:lang w:eastAsia="zh-CN"/>
              </w:rPr>
              <w:t>；</w:t>
            </w:r>
            <w:r>
              <w:rPr>
                <w:rFonts w:hint="eastAsia" w:ascii="Times New Roman" w:hAnsi="宋体" w:eastAsia="宋体" w:cs="Times New Roman"/>
                <w:color w:val="FF0000"/>
                <w:sz w:val="24"/>
              </w:rPr>
              <w:t>与自然保护地整合优化方案数据无交集</w:t>
            </w:r>
            <w:r>
              <w:rPr>
                <w:rFonts w:hint="eastAsia" w:hAnsi="宋体" w:cs="Times New Roman"/>
                <w:color w:val="FF0000"/>
                <w:sz w:val="24"/>
                <w:lang w:eastAsia="zh-CN"/>
              </w:rPr>
              <w:t>；与自然保护地（现状管理数据）</w:t>
            </w:r>
            <w:r>
              <w:rPr>
                <w:rFonts w:hint="eastAsia" w:ascii="Times New Roman" w:hAnsi="宋体" w:eastAsia="宋体" w:cs="Times New Roman"/>
                <w:color w:val="FF0000"/>
                <w:sz w:val="24"/>
              </w:rPr>
              <w:t>无交集</w:t>
            </w:r>
            <w:r>
              <w:rPr>
                <w:rFonts w:hint="eastAsia" w:hAnsi="宋体" w:cs="Times New Roman"/>
                <w:color w:val="FF0000"/>
                <w:sz w:val="24"/>
                <w:lang w:eastAsia="zh-CN"/>
              </w:rPr>
              <w:t>；与饮用水水源保护区</w:t>
            </w:r>
            <w:r>
              <w:rPr>
                <w:rFonts w:hint="eastAsia" w:ascii="Times New Roman" w:hAnsi="宋体" w:eastAsia="宋体" w:cs="Times New Roman"/>
                <w:color w:val="FF0000"/>
                <w:sz w:val="24"/>
              </w:rPr>
              <w:t>无交集</w:t>
            </w:r>
            <w:r>
              <w:rPr>
                <w:rFonts w:hint="eastAsia" w:hAnsi="宋体" w:cs="Times New Roman"/>
                <w:color w:val="FF0000"/>
                <w:sz w:val="24"/>
                <w:lang w:eastAsia="zh-CN"/>
              </w:rPr>
              <w:t>；与环境管控单元优先保护单元交集，占项目占地面积的</w:t>
            </w:r>
            <w:r>
              <w:rPr>
                <w:rFonts w:hint="eastAsia" w:hAnsi="宋体" w:cs="Times New Roman"/>
                <w:color w:val="FF0000"/>
                <w:sz w:val="24"/>
                <w:lang w:val="en-US" w:eastAsia="zh-CN"/>
              </w:rPr>
              <w:t>24.63</w:t>
            </w:r>
            <w:r>
              <w:rPr>
                <w:rFonts w:hint="eastAsia" w:hAnsi="宋体" w:cs="Times New Roman"/>
                <w:color w:val="FF0000"/>
                <w:sz w:val="24"/>
                <w:lang w:eastAsia="zh-CN"/>
              </w:rPr>
              <w:t>%；与重点管控单元交集，占项目占地面积的</w:t>
            </w:r>
            <w:r>
              <w:rPr>
                <w:rFonts w:hint="eastAsia" w:hAnsi="宋体" w:cs="Times New Roman"/>
                <w:color w:val="FF0000"/>
                <w:sz w:val="24"/>
                <w:lang w:val="en-US" w:eastAsia="zh-CN"/>
              </w:rPr>
              <w:t>75.37</w:t>
            </w:r>
            <w:r>
              <w:rPr>
                <w:rFonts w:hint="eastAsia" w:hAnsi="宋体" w:cs="Times New Roman"/>
                <w:color w:val="FF0000"/>
                <w:sz w:val="24"/>
                <w:lang w:eastAsia="zh-CN"/>
              </w:rPr>
              <w:t>%；</w:t>
            </w:r>
            <w:r>
              <w:rPr>
                <w:rFonts w:hint="eastAsia" w:hAnsi="宋体" w:cs="Times New Roman"/>
                <w:color w:val="FF0000"/>
                <w:sz w:val="24"/>
                <w:lang w:val="en-US" w:eastAsia="zh-CN"/>
              </w:rPr>
              <w:t>与</w:t>
            </w:r>
            <w:r>
              <w:rPr>
                <w:rFonts w:hint="eastAsia" w:hAnsi="宋体" w:cs="Times New Roman"/>
                <w:color w:val="FF0000"/>
                <w:sz w:val="24"/>
                <w:lang w:eastAsia="zh-CN"/>
              </w:rPr>
              <w:t>一般管控单元交集，占项目占地面积的</w:t>
            </w:r>
            <w:r>
              <w:rPr>
                <w:rFonts w:hint="eastAsia" w:hAnsi="宋体" w:cs="Times New Roman"/>
                <w:color w:val="FF0000"/>
                <w:sz w:val="24"/>
                <w:lang w:val="en-US" w:eastAsia="zh-CN"/>
              </w:rPr>
              <w:t>0.00</w:t>
            </w:r>
            <w:r>
              <w:rPr>
                <w:rFonts w:hint="eastAsia" w:hAnsi="宋体" w:cs="Times New Roman"/>
                <w:color w:val="FF0000"/>
                <w:sz w:val="24"/>
                <w:lang w:eastAsia="zh-CN"/>
              </w:rPr>
              <w:t>%。与地下水环境优先保护区交集，占项目占地面积的0.00%；与地下水环境重点管控区交集，占项目占地面积的24.65%，与地下水环境一般管控区交集，占项目占地面积的</w:t>
            </w:r>
            <w:r>
              <w:rPr>
                <w:rFonts w:hint="eastAsia" w:hAnsi="宋体" w:cs="Times New Roman"/>
                <w:color w:val="FF0000"/>
                <w:sz w:val="24"/>
                <w:lang w:val="en-US" w:eastAsia="zh-CN"/>
              </w:rPr>
              <w:t>100</w:t>
            </w:r>
            <w:r>
              <w:rPr>
                <w:rFonts w:hint="eastAsia" w:hAnsi="宋体" w:cs="Times New Roman"/>
                <w:color w:val="FF0000"/>
                <w:sz w:val="24"/>
                <w:lang w:eastAsia="zh-CN"/>
              </w:rPr>
              <w:t>%。</w:t>
            </w:r>
          </w:p>
          <w:p w14:paraId="5F9B20B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rightChars="0" w:firstLine="0" w:firstLineChars="0"/>
              <w:jc w:val="center"/>
              <w:textAlignment w:val="auto"/>
              <w:rPr>
                <w:rFonts w:hint="eastAsia" w:hAnsi="宋体" w:cs="Times New Roman"/>
                <w:color w:val="auto"/>
                <w:sz w:val="24"/>
                <w:highlight w:val="yellow"/>
                <w:lang w:eastAsia="zh-CN"/>
              </w:rPr>
            </w:pPr>
            <w:r>
              <w:rPr>
                <w:rFonts w:hint="default"/>
              </w:rPr>
              <w:drawing>
                <wp:inline distT="0" distB="0" distL="114300" distR="114300">
                  <wp:extent cx="4244975" cy="1903095"/>
                  <wp:effectExtent l="0" t="0" r="3175" b="1905"/>
                  <wp:docPr id="1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
                          <pic:cNvPicPr>
                            <a:picLocks noChangeAspect="1"/>
                          </pic:cNvPicPr>
                        </pic:nvPicPr>
                        <pic:blipFill>
                          <a:blip r:embed="rId10"/>
                          <a:stretch>
                            <a:fillRect/>
                          </a:stretch>
                        </pic:blipFill>
                        <pic:spPr>
                          <a:xfrm>
                            <a:off x="0" y="0"/>
                            <a:ext cx="4244975" cy="1903095"/>
                          </a:xfrm>
                          <a:prstGeom prst="rect">
                            <a:avLst/>
                          </a:prstGeom>
                          <a:noFill/>
                          <a:ln>
                            <a:noFill/>
                          </a:ln>
                        </pic:spPr>
                      </pic:pic>
                    </a:graphicData>
                  </a:graphic>
                </wp:inline>
              </w:drawing>
            </w:r>
            <w:r>
              <w:rPr>
                <w:rFonts w:hint="default"/>
              </w:rPr>
              <w:drawing>
                <wp:inline distT="0" distB="0" distL="114300" distR="114300">
                  <wp:extent cx="4363085" cy="1342390"/>
                  <wp:effectExtent l="0" t="0" r="18415" b="10160"/>
                  <wp:docPr id="1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
                          <pic:cNvPicPr>
                            <a:picLocks noChangeAspect="1"/>
                          </pic:cNvPicPr>
                        </pic:nvPicPr>
                        <pic:blipFill>
                          <a:blip r:embed="rId11"/>
                          <a:stretch>
                            <a:fillRect/>
                          </a:stretch>
                        </pic:blipFill>
                        <pic:spPr>
                          <a:xfrm>
                            <a:off x="0" y="0"/>
                            <a:ext cx="4363085" cy="1342390"/>
                          </a:xfrm>
                          <a:prstGeom prst="rect">
                            <a:avLst/>
                          </a:prstGeom>
                          <a:noFill/>
                          <a:ln>
                            <a:noFill/>
                          </a:ln>
                        </pic:spPr>
                      </pic:pic>
                    </a:graphicData>
                  </a:graphic>
                </wp:inline>
              </w:drawing>
            </w:r>
          </w:p>
          <w:p w14:paraId="7F13C47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rightChars="0" w:firstLine="0" w:firstLineChars="0"/>
              <w:jc w:val="center"/>
              <w:textAlignment w:val="auto"/>
              <w:rPr>
                <w:rFonts w:hint="eastAsia" w:hAnsi="宋体" w:cs="Times New Roman"/>
                <w:color w:val="auto"/>
                <w:sz w:val="24"/>
                <w:highlight w:val="none"/>
                <w:lang w:eastAsia="zh-CN"/>
              </w:rPr>
            </w:pPr>
            <w:r>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图1-1  本项目与“生态环境分区管控”位置关系图</w:t>
            </w:r>
          </w:p>
          <w:p w14:paraId="4127A15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2" w:firstLineChars="200"/>
              <w:textAlignment w:val="auto"/>
              <w:rPr>
                <w:rFonts w:hint="default"/>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4</w:t>
            </w:r>
            <w:r>
              <w:rPr>
                <w:rFonts w:hint="eastAsia"/>
                <w:b/>
                <w:bCs/>
                <w:color w:val="000000" w:themeColor="text1"/>
                <w:sz w:val="24"/>
                <w:szCs w:val="24"/>
                <w14:textFill>
                  <w14:solidFill>
                    <w14:schemeClr w14:val="tx1"/>
                  </w14:solidFill>
                </w14:textFill>
              </w:rPr>
              <w:t>、生态环境保护规划符合性分析</w:t>
            </w:r>
          </w:p>
          <w:p w14:paraId="48AE7B0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2" w:firstLineChars="200"/>
              <w:textAlignment w:val="auto"/>
              <w:rPr>
                <w:rFonts w:hint="default"/>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4</w:t>
            </w:r>
            <w:r>
              <w:rPr>
                <w:rFonts w:hint="eastAsia"/>
                <w:b/>
                <w:bCs/>
                <w:color w:val="000000" w:themeColor="text1"/>
                <w:sz w:val="24"/>
                <w:szCs w:val="24"/>
                <w14:textFill>
                  <w14:solidFill>
                    <w14:schemeClr w14:val="tx1"/>
                  </w14:solidFill>
                </w14:textFill>
              </w:rPr>
              <w:t>.1 《黑龙江省主体功能区</w:t>
            </w:r>
            <w:r>
              <w:rPr>
                <w:rFonts w:hint="eastAsia"/>
                <w:b/>
                <w:bCs/>
                <w:color w:val="000000" w:themeColor="text1"/>
                <w:sz w:val="24"/>
                <w:szCs w:val="24"/>
                <w:lang w:val="en-US" w:eastAsia="zh-CN"/>
                <w14:textFill>
                  <w14:solidFill>
                    <w14:schemeClr w14:val="tx1"/>
                  </w14:solidFill>
                </w14:textFill>
              </w:rPr>
              <w:t>规</w:t>
            </w:r>
            <w:r>
              <w:rPr>
                <w:rFonts w:hint="eastAsia"/>
                <w:b/>
                <w:bCs/>
                <w:color w:val="000000" w:themeColor="text1"/>
                <w:sz w:val="24"/>
                <w:szCs w:val="24"/>
                <w14:textFill>
                  <w14:solidFill>
                    <w14:schemeClr w14:val="tx1"/>
                  </w14:solidFill>
                </w14:textFill>
              </w:rPr>
              <w:t>划》符合性分析</w:t>
            </w:r>
          </w:p>
          <w:p w14:paraId="6714B07A">
            <w:pPr>
              <w:keepNext w:val="0"/>
              <w:keepLines w:val="0"/>
              <w:pageBreakBefore w:val="0"/>
              <w:widowControl w:val="0"/>
              <w:suppressLineNumbers w:val="0"/>
              <w:kinsoku/>
              <w:wordWrap/>
              <w:overflowPunct/>
              <w:topLinePunct w:val="0"/>
              <w:bidi w:val="0"/>
              <w:adjustRightInd/>
              <w:spacing w:before="0" w:beforeAutospacing="0" w:after="0" w:afterAutospacing="0" w:line="360" w:lineRule="auto"/>
              <w:ind w:left="0" w:leftChars="0" w:right="0" w:rightChars="0" w:firstLine="480" w:firstLineChars="200"/>
              <w:jc w:val="left"/>
              <w:textAlignment w:val="auto"/>
              <w:rPr>
                <w:rFonts w:hint="default"/>
                <w:color w:val="000000" w:themeColor="text1"/>
                <w:sz w:val="24"/>
                <w:szCs w:val="24"/>
                <w:lang w:val="en-US" w:eastAsia="zh-CN"/>
                <w14:textFill>
                  <w14:solidFill>
                    <w14:schemeClr w14:val="tx1"/>
                  </w14:solidFill>
                </w14:textFill>
              </w:rPr>
            </w:pPr>
            <w:r>
              <w:rPr>
                <w:rFonts w:hint="default"/>
                <w:color w:val="000000" w:themeColor="text1"/>
                <w:sz w:val="24"/>
                <w:szCs w:val="24"/>
                <w:lang w:val="en-US" w:eastAsia="zh-CN"/>
                <w14:textFill>
                  <w14:solidFill>
                    <w14:schemeClr w14:val="tx1"/>
                  </w14:solidFill>
                </w14:textFill>
              </w:rPr>
              <w:t>本项目行政管辖隶属于</w:t>
            </w:r>
            <w:r>
              <w:rPr>
                <w:rFonts w:hint="default"/>
                <w:color w:val="000000" w:themeColor="text1"/>
                <w:sz w:val="24"/>
                <w14:textFill>
                  <w14:solidFill>
                    <w14:schemeClr w14:val="tx1"/>
                  </w14:solidFill>
                </w14:textFill>
              </w:rPr>
              <w:t>黑龙江省</w:t>
            </w:r>
            <w:r>
              <w:rPr>
                <w:rFonts w:hint="eastAsia"/>
                <w:color w:val="000000" w:themeColor="text1"/>
                <w:sz w:val="24"/>
                <w:lang w:val="en-US" w:eastAsia="zh-CN"/>
                <w14:textFill>
                  <w14:solidFill>
                    <w14:schemeClr w14:val="tx1"/>
                  </w14:solidFill>
                </w14:textFill>
              </w:rPr>
              <w:t>鸡西市恒山区、鸡东县</w:t>
            </w:r>
            <w:r>
              <w:rPr>
                <w:rFonts w:hint="default"/>
                <w:color w:val="000000" w:themeColor="text1"/>
                <w:sz w:val="24"/>
                <w:szCs w:val="24"/>
                <w:lang w:val="en-US" w:eastAsia="zh-CN"/>
                <w14:textFill>
                  <w14:solidFill>
                    <w14:schemeClr w14:val="tx1"/>
                  </w14:solidFill>
                </w14:textFill>
              </w:rPr>
              <w:t>，在《黑龙江省主体功能区</w:t>
            </w:r>
            <w:r>
              <w:rPr>
                <w:rFonts w:hint="eastAsia"/>
                <w:color w:val="000000" w:themeColor="text1"/>
                <w:sz w:val="24"/>
                <w:szCs w:val="24"/>
                <w:lang w:val="en-US" w:eastAsia="zh-CN"/>
                <w14:textFill>
                  <w14:solidFill>
                    <w14:schemeClr w14:val="tx1"/>
                  </w14:solidFill>
                </w14:textFill>
              </w:rPr>
              <w:t>规</w:t>
            </w:r>
            <w:r>
              <w:rPr>
                <w:rFonts w:hint="default"/>
                <w:color w:val="000000" w:themeColor="text1"/>
                <w:sz w:val="24"/>
                <w:szCs w:val="24"/>
                <w:lang w:val="en-US" w:eastAsia="zh-CN"/>
                <w14:textFill>
                  <w14:solidFill>
                    <w14:schemeClr w14:val="tx1"/>
                  </w14:solidFill>
                </w14:textFill>
              </w:rPr>
              <w:t>划》中，属于</w:t>
            </w:r>
            <w:r>
              <w:rPr>
                <w:rFonts w:hint="eastAsia"/>
                <w:color w:val="000000" w:themeColor="text1"/>
                <w:sz w:val="24"/>
                <w:szCs w:val="24"/>
                <w:lang w:val="en-US" w:eastAsia="zh-CN"/>
                <w14:textFill>
                  <w14:solidFill>
                    <w14:schemeClr w14:val="tx1"/>
                  </w14:solidFill>
                </w14:textFill>
              </w:rPr>
              <w:t>省级重点开发区域及国家级限制开发区域（农产品主产区）</w:t>
            </w:r>
            <w:r>
              <w:rPr>
                <w:rFonts w:hint="default"/>
                <w:color w:val="000000" w:themeColor="text1"/>
                <w:sz w:val="24"/>
                <w:szCs w:val="24"/>
                <w:lang w:val="en-US" w:eastAsia="zh-CN"/>
                <w14:textFill>
                  <w14:solidFill>
                    <w14:schemeClr w14:val="tx1"/>
                  </w14:solidFill>
                </w14:textFill>
              </w:rPr>
              <w:t>。</w:t>
            </w:r>
          </w:p>
          <w:p w14:paraId="1061A2F8">
            <w:pPr>
              <w:keepNext w:val="0"/>
              <w:keepLines w:val="0"/>
              <w:pageBreakBefore w:val="0"/>
              <w:widowControl w:val="0"/>
              <w:suppressLineNumbers w:val="0"/>
              <w:kinsoku/>
              <w:wordWrap/>
              <w:overflowPunct/>
              <w:topLinePunct w:val="0"/>
              <w:bidi w:val="0"/>
              <w:adjustRightInd/>
              <w:spacing w:before="0" w:beforeAutospacing="0" w:after="0" w:afterAutospacing="0" w:line="360" w:lineRule="auto"/>
              <w:ind w:left="0" w:leftChars="0" w:right="0" w:rightChars="0"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省级重点开发区域功能定位：全省重要的能源基地和煤电化基地，以煤机为重点的装备制造业基地，以石墨精深加工为重点的新材料基地，打造国内生态旅游城市，建设对俄进出口产品加工基地、优质农产品加工基地。</w:t>
            </w:r>
          </w:p>
          <w:p w14:paraId="49CAE839">
            <w:pPr>
              <w:keepNext w:val="0"/>
              <w:keepLines w:val="0"/>
              <w:pageBreakBefore w:val="0"/>
              <w:widowControl w:val="0"/>
              <w:suppressLineNumbers w:val="0"/>
              <w:kinsoku/>
              <w:wordWrap/>
              <w:overflowPunct/>
              <w:topLinePunct w:val="0"/>
              <w:bidi w:val="0"/>
              <w:adjustRightInd/>
              <w:spacing w:before="0" w:beforeAutospacing="0" w:after="0" w:afterAutospacing="0" w:line="360" w:lineRule="auto"/>
              <w:ind w:left="0" w:leftChars="0" w:right="0" w:rightChars="0"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国家级限制开发区域（农产品主产区）</w:t>
            </w:r>
            <w:r>
              <w:rPr>
                <w:rFonts w:hint="default"/>
                <w:color w:val="000000" w:themeColor="text1"/>
                <w:sz w:val="24"/>
                <w:szCs w:val="24"/>
                <w:lang w:val="en-US" w:eastAsia="zh-CN"/>
                <w14:textFill>
                  <w14:solidFill>
                    <w14:schemeClr w14:val="tx1"/>
                  </w14:solidFill>
                </w14:textFill>
              </w:rPr>
              <w:t>功能定位</w:t>
            </w:r>
            <w:r>
              <w:rPr>
                <w:rFonts w:hint="eastAsia"/>
                <w:color w:val="000000" w:themeColor="text1"/>
                <w:sz w:val="24"/>
                <w:szCs w:val="24"/>
                <w:lang w:val="en-US" w:eastAsia="zh-CN"/>
                <w14:textFill>
                  <w14:solidFill>
                    <w14:schemeClr w14:val="tx1"/>
                  </w14:solidFill>
                </w14:textFill>
              </w:rPr>
              <w:t>：以提供农产品为主体功能，保障农产品供给安全的重要区域。重要的商品粮生产基地、绿色食品生产基地、畜牧业生产基地和农产品深加工区、农业综合开发试验区、社会主义新农村建设的示范区。</w:t>
            </w:r>
          </w:p>
          <w:p w14:paraId="372EC02A">
            <w:pPr>
              <w:keepNext w:val="0"/>
              <w:keepLines w:val="0"/>
              <w:pageBreakBefore w:val="0"/>
              <w:widowControl w:val="0"/>
              <w:suppressLineNumbers w:val="0"/>
              <w:kinsoku/>
              <w:wordWrap/>
              <w:overflowPunct/>
              <w:topLinePunct w:val="0"/>
              <w:bidi w:val="0"/>
              <w:adjustRightInd/>
              <w:spacing w:before="0" w:beforeAutospacing="0" w:after="0" w:afterAutospacing="0" w:line="360" w:lineRule="auto"/>
              <w:ind w:left="0" w:leftChars="0" w:right="0" w:rightChars="0" w:firstLine="480" w:firstLineChars="200"/>
              <w:jc w:val="left"/>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省级重点开发区域产业发展方向及布局：发展煤电化、石墨新材料、装备制造、绿色食品和生态旅游五大主导产业。永庆煤化工园区、滴道煤电循环经济产业等园区重点发展煤炭、电力、煤化工、建材产业；麻山石墨产业园区、恒山石墨产业园区等园区重点发展石墨新材料产业；鸡西煤机园区重点发展煤机装备制造产业；依托农业资源优势重点发展绿色食品和医药产业；依托兴凯湖、乌苏里江等良好的生态资源重点发展生态旅游产业。</w:t>
            </w:r>
          </w:p>
          <w:p w14:paraId="70804E71">
            <w:pPr>
              <w:keepNext w:val="0"/>
              <w:keepLines w:val="0"/>
              <w:pageBreakBefore w:val="0"/>
              <w:widowControl w:val="0"/>
              <w:suppressLineNumbers w:val="0"/>
              <w:kinsoku/>
              <w:wordWrap/>
              <w:overflowPunct/>
              <w:topLinePunct w:val="0"/>
              <w:bidi w:val="0"/>
              <w:adjustRightInd/>
              <w:spacing w:before="0" w:beforeAutospacing="0" w:after="0" w:afterAutospacing="0" w:line="360" w:lineRule="auto"/>
              <w:ind w:left="0" w:leftChars="0" w:right="0" w:rightChars="0" w:firstLine="480" w:firstLineChars="200"/>
              <w:jc w:val="left"/>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国家级限制开发区域（农产品主产区）</w:t>
            </w:r>
            <w:r>
              <w:rPr>
                <w:rFonts w:hint="default"/>
                <w:color w:val="000000" w:themeColor="text1"/>
                <w:sz w:val="24"/>
                <w:szCs w:val="24"/>
                <w:lang w:val="en-US" w:eastAsia="zh-CN"/>
                <w14:textFill>
                  <w14:solidFill>
                    <w14:schemeClr w14:val="tx1"/>
                  </w14:solidFill>
                </w14:textFill>
              </w:rPr>
              <w:t>产业发展方向及布局</w:t>
            </w:r>
            <w:r>
              <w:rPr>
                <w:rFonts w:hint="eastAsia"/>
                <w:color w:val="000000" w:themeColor="text1"/>
                <w:sz w:val="24"/>
                <w:szCs w:val="24"/>
                <w:lang w:val="en-US" w:eastAsia="zh-CN"/>
                <w14:textFill>
                  <w14:solidFill>
                    <w14:schemeClr w14:val="tx1"/>
                  </w14:solidFill>
                </w14:textFill>
              </w:rPr>
              <w:t>：建设农业综合开发试验区，保护耕地，集约开发，加强农业基础设施建设，显著提高农业综合生产能力、产业化水平、物资装备水平、支撑服务能力，提高农业生产效率，大力发展高产、高效、优质、安全的现代化大农业，保障农产品供给，确保国家粮食安全和食品安全；积极推进农业规模化水平，搞好绿色（有机）食品基地建设，发展农产品深加工，加大绿色（有机）食品和无公害农产品开发力度，拓展农村就业和增收空间，加强农村基础设施和公共服务设施建设，改善生产生活条件。</w:t>
            </w:r>
          </w:p>
          <w:p w14:paraId="7F382982">
            <w:pPr>
              <w:keepNext w:val="0"/>
              <w:keepLines w:val="0"/>
              <w:pageBreakBefore w:val="0"/>
              <w:widowControl w:val="0"/>
              <w:suppressLineNumbers w:val="0"/>
              <w:kinsoku/>
              <w:wordWrap/>
              <w:overflowPunct/>
              <w:topLinePunct w:val="0"/>
              <w:bidi w:val="0"/>
              <w:adjustRightInd/>
              <w:spacing w:before="0" w:beforeAutospacing="0" w:after="0" w:afterAutospacing="0" w:line="360" w:lineRule="auto"/>
              <w:ind w:left="0" w:leftChars="0" w:right="0" w:rightChars="0" w:firstLine="480" w:firstLineChars="200"/>
              <w:jc w:val="left"/>
              <w:textAlignment w:val="auto"/>
              <w:rPr>
                <w:rFonts w:hint="default"/>
                <w:color w:val="000000" w:themeColor="text1"/>
                <w:sz w:val="24"/>
                <w:szCs w:val="24"/>
                <w:lang w:val="en-US" w:eastAsia="zh-CN"/>
                <w14:textFill>
                  <w14:solidFill>
                    <w14:schemeClr w14:val="tx1"/>
                  </w14:solidFill>
                </w14:textFill>
              </w:rPr>
            </w:pPr>
            <w:r>
              <w:rPr>
                <w:rFonts w:hint="default"/>
                <w:color w:val="000000" w:themeColor="text1"/>
                <w:sz w:val="24"/>
                <w:szCs w:val="24"/>
                <w:lang w:val="en-US" w:eastAsia="zh-CN"/>
                <w14:textFill>
                  <w14:solidFill>
                    <w14:schemeClr w14:val="tx1"/>
                  </w14:solidFill>
                </w14:textFill>
              </w:rPr>
              <w:t>本项目为输变电项目</w:t>
            </w:r>
            <w:r>
              <w:rPr>
                <w:rFonts w:hint="eastAsia"/>
                <w:color w:val="000000" w:themeColor="text1"/>
                <w:sz w:val="24"/>
                <w:szCs w:val="24"/>
                <w:lang w:val="en-US"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属于促进电力产业发展</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本项目建成后能够提高当地电力供应能力，提高公共服务供给能力和水平，</w:t>
            </w:r>
            <w:r>
              <w:rPr>
                <w:rFonts w:hint="default"/>
                <w:color w:val="000000" w:themeColor="text1"/>
                <w:sz w:val="24"/>
                <w:szCs w:val="24"/>
                <w:lang w:val="en-US" w:eastAsia="zh-CN"/>
                <w14:textFill>
                  <w14:solidFill>
                    <w14:schemeClr w14:val="tx1"/>
                  </w14:solidFill>
                </w14:textFill>
              </w:rPr>
              <w:t>与《黑龙江省主体功能区规划》不矛盾，因此，本项目符合《黑龙江省主体功能区规划》的要求。</w:t>
            </w:r>
          </w:p>
          <w:p w14:paraId="7B04A71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2" w:firstLineChars="200"/>
              <w:textAlignment w:val="auto"/>
              <w:rPr>
                <w:rFonts w:hint="default"/>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4</w:t>
            </w:r>
            <w:r>
              <w:rPr>
                <w:rFonts w:hint="eastAsia"/>
                <w:b/>
                <w:bCs/>
                <w:color w:val="000000" w:themeColor="text1"/>
                <w:sz w:val="24"/>
                <w:szCs w:val="24"/>
                <w14:textFill>
                  <w14:solidFill>
                    <w14:schemeClr w14:val="tx1"/>
                  </w14:solidFill>
                </w14:textFill>
              </w:rPr>
              <w:t>.2 《黑龙江省生态功能区划》符合性分析</w:t>
            </w:r>
          </w:p>
          <w:p w14:paraId="3893B81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0" w:firstLineChars="200"/>
              <w:textAlignment w:val="auto"/>
              <w:rPr>
                <w:rFonts w:hint="default"/>
                <w:color w:val="000000" w:themeColor="text1"/>
                <w:sz w:val="24"/>
                <w:szCs w:val="24"/>
                <w:lang w:val="en-US" w:eastAsia="zh-CN"/>
                <w14:textFill>
                  <w14:solidFill>
                    <w14:schemeClr w14:val="tx1"/>
                  </w14:solidFill>
                </w14:textFill>
              </w:rPr>
            </w:pPr>
            <w:r>
              <w:rPr>
                <w:rFonts w:hint="default"/>
                <w:color w:val="000000" w:themeColor="text1"/>
                <w:sz w:val="24"/>
                <w:szCs w:val="24"/>
                <w14:textFill>
                  <w14:solidFill>
                    <w14:schemeClr w14:val="tx1"/>
                  </w14:solidFill>
                </w14:textFill>
              </w:rPr>
              <w:t>生态功能区划是实施区域生态环境分区管理的前提。通过分区管理、分区建设，保护和改善生态环境质量，优化经济社会发展，推进全省实现全面、协调、可持续的科学发展。根据《黑龙江省生态功能区划》，本项目位置隶属于黑龙江省生态功能区划1</w:t>
            </w:r>
            <w:r>
              <w:rPr>
                <w:rFonts w:hint="eastAsia"/>
                <w:color w:val="000000" w:themeColor="text1"/>
                <w:sz w:val="24"/>
                <w:szCs w:val="24"/>
                <w:lang w:val="en-US" w:eastAsia="zh-CN"/>
                <w14:textFill>
                  <w14:solidFill>
                    <w14:schemeClr w14:val="tx1"/>
                  </w14:solidFill>
                </w14:textFill>
              </w:rPr>
              <w:t>-</w:t>
            </w:r>
            <w:r>
              <w:rPr>
                <w:rFonts w:hint="default"/>
                <w:color w:val="000000" w:themeColor="text1"/>
                <w:sz w:val="24"/>
                <w:szCs w:val="24"/>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w:t>
            </w:r>
            <w:r>
              <w:rPr>
                <w:rFonts w:hint="default"/>
                <w:color w:val="000000" w:themeColor="text1"/>
                <w:sz w:val="24"/>
                <w:szCs w:val="24"/>
                <w14:textFill>
                  <w14:solidFill>
                    <w14:schemeClr w14:val="tx1"/>
                  </w14:solidFill>
                </w14:textFill>
              </w:rPr>
              <w:t>2</w:t>
            </w:r>
            <w:r>
              <w:rPr>
                <w:rFonts w:hint="eastAsia"/>
                <w:color w:val="000000" w:themeColor="text1"/>
                <w:sz w:val="24"/>
                <w:szCs w:val="24"/>
                <w:lang w:val="en-US" w:eastAsia="zh-CN"/>
                <w14:textFill>
                  <w14:solidFill>
                    <w14:schemeClr w14:val="tx1"/>
                  </w14:solidFill>
                </w14:textFill>
              </w:rPr>
              <w:t>-</w:t>
            </w:r>
            <w:r>
              <w:rPr>
                <w:rFonts w:hint="default"/>
                <w:color w:val="000000" w:themeColor="text1"/>
                <w:sz w:val="24"/>
                <w:szCs w:val="24"/>
                <w14:textFill>
                  <w14:solidFill>
                    <w14:schemeClr w14:val="tx1"/>
                  </w14:solidFill>
                </w14:textFill>
              </w:rPr>
              <w:t>6鸡西矿、农、林产业生态功能</w:t>
            </w:r>
            <w:r>
              <w:rPr>
                <w:rFonts w:hint="eastAsia"/>
                <w:color w:val="000000" w:themeColor="text1"/>
                <w:sz w:val="24"/>
                <w:szCs w:val="24"/>
                <w:lang w:val="en-US" w:eastAsia="zh-CN"/>
                <w14:textFill>
                  <w14:solidFill>
                    <w14:schemeClr w14:val="tx1"/>
                  </w14:solidFill>
                </w14:textFill>
              </w:rPr>
              <w:t>区</w:t>
            </w:r>
            <w:r>
              <w:rPr>
                <w:rFonts w:hint="default"/>
                <w:color w:val="000000" w:themeColor="text1"/>
                <w:sz w:val="24"/>
                <w:szCs w:val="24"/>
                <w14:textFill>
                  <w14:solidFill>
                    <w14:schemeClr w14:val="tx1"/>
                  </w14:solidFill>
                </w14:textFill>
              </w:rPr>
              <w:t>。本区域主要生态环境问题为</w:t>
            </w:r>
            <w:r>
              <w:rPr>
                <w:rFonts w:hint="eastAsia"/>
                <w:color w:val="000000" w:themeColor="text1"/>
                <w:sz w:val="24"/>
                <w:szCs w:val="24"/>
                <w:lang w:val="en-US" w:eastAsia="zh-CN"/>
                <w14:textFill>
                  <w14:solidFill>
                    <w14:schemeClr w14:val="tx1"/>
                  </w14:solidFill>
                </w14:textFill>
              </w:rPr>
              <w:t>植被覆盖率低。矿产开采的生态恢复措施未跟上，引发严重的次生生态环境问题</w:t>
            </w:r>
            <w:r>
              <w:rPr>
                <w:rFonts w:hint="default"/>
                <w:color w:val="000000" w:themeColor="text1"/>
                <w:sz w:val="24"/>
                <w:szCs w:val="24"/>
                <w14:textFill>
                  <w14:solidFill>
                    <w14:schemeClr w14:val="tx1"/>
                  </w14:solidFill>
                </w14:textFill>
              </w:rPr>
              <w:t>。生态环境敏感性为</w:t>
            </w:r>
            <w:r>
              <w:rPr>
                <w:rFonts w:hint="eastAsia"/>
                <w:color w:val="000000" w:themeColor="text1"/>
                <w:sz w:val="24"/>
                <w:szCs w:val="24"/>
                <w:lang w:val="en-US" w:eastAsia="zh-CN"/>
                <w14:textFill>
                  <w14:solidFill>
                    <w14:schemeClr w14:val="tx1"/>
                  </w14:solidFill>
                </w14:textFill>
              </w:rPr>
              <w:t>南部小片地区土壤侵蚀敏感性为高度敏感</w:t>
            </w:r>
            <w:r>
              <w:rPr>
                <w:rFonts w:hint="default"/>
                <w:color w:val="000000" w:themeColor="text1"/>
                <w:sz w:val="24"/>
                <w:szCs w:val="24"/>
                <w14:textFill>
                  <w14:solidFill>
                    <w14:schemeClr w14:val="tx1"/>
                  </w14:solidFill>
                </w14:textFill>
              </w:rPr>
              <w:t>。本区主要生态系统服务功能为土壤保持、</w:t>
            </w:r>
            <w:r>
              <w:rPr>
                <w:rFonts w:hint="eastAsia"/>
                <w:color w:val="000000" w:themeColor="text1"/>
                <w:sz w:val="24"/>
                <w:szCs w:val="24"/>
                <w:lang w:val="en-US" w:eastAsia="zh-CN"/>
                <w14:textFill>
                  <w14:solidFill>
                    <w14:schemeClr w14:val="tx1"/>
                  </w14:solidFill>
                </w14:textFill>
              </w:rPr>
              <w:t>林矿农业生产</w:t>
            </w:r>
            <w:r>
              <w:rPr>
                <w:rFonts w:hint="default"/>
                <w:color w:val="000000" w:themeColor="text1"/>
                <w:sz w:val="24"/>
                <w:szCs w:val="24"/>
                <w14:textFill>
                  <w14:solidFill>
                    <w14:schemeClr w14:val="tx1"/>
                  </w14:solidFill>
                </w14:textFill>
              </w:rPr>
              <w:t>。保护措施与发展方向为</w:t>
            </w:r>
            <w:r>
              <w:rPr>
                <w:rFonts w:hint="eastAsia"/>
                <w:color w:val="000000" w:themeColor="text1"/>
                <w:sz w:val="24"/>
                <w:szCs w:val="24"/>
                <w:lang w:val="en-US" w:eastAsia="zh-CN"/>
                <w14:textFill>
                  <w14:solidFill>
                    <w14:schemeClr w14:val="tx1"/>
                  </w14:solidFill>
                </w14:textFill>
              </w:rPr>
              <w:t>合理的进行矿产开发，禁止野蛮开采的情况出现，大力发展生态林业和生态农业</w:t>
            </w:r>
            <w:r>
              <w:rPr>
                <w:rFonts w:hint="default"/>
                <w:color w:val="000000" w:themeColor="text1"/>
                <w:sz w:val="24"/>
                <w:szCs w:val="24"/>
                <w14:textFill>
                  <w14:solidFill>
                    <w14:schemeClr w14:val="tx1"/>
                  </w14:solidFill>
                </w14:textFill>
              </w:rPr>
              <w:t>。</w:t>
            </w:r>
          </w:p>
          <w:p w14:paraId="01C08E6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0" w:firstLineChars="200"/>
              <w:textAlignment w:val="auto"/>
              <w:rPr>
                <w:rFonts w:hint="default"/>
                <w:color w:val="000000" w:themeColor="text1"/>
                <w:sz w:val="24"/>
                <w:szCs w:val="24"/>
                <w14:textFill>
                  <w14:solidFill>
                    <w14:schemeClr w14:val="tx1"/>
                  </w14:solidFill>
                </w14:textFill>
              </w:rPr>
            </w:pPr>
            <w:r>
              <w:rPr>
                <w:rFonts w:hint="default"/>
                <w:color w:val="000000" w:themeColor="text1"/>
                <w:sz w:val="24"/>
                <w:szCs w:val="24"/>
                <w14:textFill>
                  <w14:solidFill>
                    <w14:schemeClr w14:val="tx1"/>
                  </w14:solidFill>
                </w14:textFill>
              </w:rPr>
              <w:t>本项目为输变电建设项目，项目建成后能够实现电力输送，提升当地电力供应能力。本项目的建设对当地的生态系统、生物多样性影响很小，项目建成后不产生</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三废</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，对周围环境影响较小。因此，本项目建设符合《黑龙江省生态功能区划》的要求。</w:t>
            </w:r>
          </w:p>
          <w:p w14:paraId="1F0B42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5</w:t>
            </w:r>
            <w:r>
              <w:rPr>
                <w:rFonts w:hint="eastAsia" w:ascii="Times New Roman" w:hAnsi="Times New Roman" w:eastAsia="宋体" w:cs="Times New Roman"/>
                <w:b/>
                <w:bCs/>
                <w:color w:val="000000" w:themeColor="text1"/>
                <w:sz w:val="24"/>
                <w:lang w:val="en-US" w:eastAsia="zh-CN"/>
                <w14:textFill>
                  <w14:solidFill>
                    <w14:schemeClr w14:val="tx1"/>
                  </w14:solidFill>
                </w14:textFill>
              </w:rPr>
              <w:t>、《黑龙江省人民政府办公厅关于印发黑龙江省“十四五”黑土地保护规划的通知》符合性分析</w:t>
            </w:r>
          </w:p>
          <w:p w14:paraId="48F2E51B">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黑土地是珍贵的土壤资源，黑土耕地是重要的农业资源和生产要素。我省地处东北黑土区核心区域，黑土地面积大、质量优、产能高，其中典型黑土耕地面积1.56亿亩，占东北典型黑土区耕地面积的56.1%。为保护好利用好黑土地，巩固提升我省农田系统、资源利用、生态环境和生产能力的可持续性，根据《黑龙江省人民政府办公厅关于印发黑龙江省“十四五”黑土地保护规划的通知》的基本原则：坚持用养结合、保护利用。针对黑土地长期高强度利用，统筹优化农业结构和生产布局，转变发展方式，推行绿色生产，推广资源节约型、环境友好型技术，推进种养循环、秸秆粪污资源化利用、合理轮作等综合治理模式，切实保护好利用好黑土地。坚持突出重点，综合施策。以黑土高标准农田建设为平台，以耕地数量保护、质量建设和生态修复为重点，探索工程与生物、农机与农艺相结合的综合治理模式，因地制宜、分区分类推进集中连片治理，发挥示范带动效应，提升黑土耕地质量。坚持政策协同、统筹实施。加强政策衔接，结合区域内农田建设、水土保持、水利工程建设等规划，统一设计方案、组织实施和绩效考核，统筹安排工程建设、耕地保护、资源养护等不同渠道资金用于黑土地保护利用。坚持政府引导、社会参与。</w:t>
            </w:r>
          </w:p>
          <w:p w14:paraId="4A8D25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000000" w:themeColor="text1"/>
                <w:kern w:val="0"/>
                <w:sz w:val="24"/>
                <w:szCs w:val="24"/>
                <w:lang w:val="en-US" w:eastAsia="zh-CN" w:bidi="ar-SA"/>
                <w14:textFill>
                  <w14:solidFill>
                    <w14:schemeClr w14:val="tx1"/>
                  </w14:solidFill>
                </w14:textFill>
              </w:rPr>
            </w:pPr>
            <w:r>
              <w:rPr>
                <w:rFonts w:hint="eastAsia" w:cs="Times New Roman"/>
                <w:color w:val="000000" w:themeColor="text1"/>
                <w:kern w:val="0"/>
                <w:sz w:val="24"/>
                <w:szCs w:val="24"/>
                <w:lang w:val="en-US" w:eastAsia="zh-CN" w:bidi="ar-SA"/>
                <w14:textFill>
                  <w14:solidFill>
                    <w14:schemeClr w14:val="tx1"/>
                  </w14:solidFill>
                </w14:textFill>
              </w:rPr>
              <w:t>重点工程及建设任务衔接《黑龙江省黑土地保护工程实施方案 （2021-2025年）》实施内重点实施“六大工程”，保数量、提质量、改善生态环境，多措并举保护治理黑土地。</w:t>
            </w:r>
            <w:r>
              <w:rPr>
                <w:rFonts w:hint="eastAsia" w:ascii="Times New Roman" w:hAnsi="Times New Roman" w:eastAsia="宋体" w:cs="Times New Roman"/>
                <w:b w:val="0"/>
                <w:bCs w:val="0"/>
                <w:color w:val="000000" w:themeColor="text1"/>
                <w:kern w:val="0"/>
                <w:sz w:val="24"/>
                <w:szCs w:val="24"/>
                <w:lang w:val="en-US" w:eastAsia="zh-CN" w:bidi="ar-SA"/>
                <w14:textFill>
                  <w14:solidFill>
                    <w14:schemeClr w14:val="tx1"/>
                  </w14:solidFill>
                </w14:textFill>
              </w:rPr>
              <w:t>数量管控工程采取“三严”措施，依法加强黑土耕地数量管控，坚决遏制耕地</w:t>
            </w:r>
            <w:r>
              <w:rPr>
                <w:rFonts w:hint="eastAsia" w:cs="Times New Roman"/>
                <w:b w:val="0"/>
                <w:bCs w:val="0"/>
                <w:color w:val="000000" w:themeColor="text1"/>
                <w:kern w:val="0"/>
                <w:sz w:val="24"/>
                <w:szCs w:val="24"/>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0"/>
                <w:sz w:val="24"/>
                <w:szCs w:val="24"/>
                <w:lang w:val="en-US" w:eastAsia="zh-CN" w:bidi="ar-SA"/>
                <w14:textFill>
                  <w14:solidFill>
                    <w14:schemeClr w14:val="tx1"/>
                  </w14:solidFill>
                </w14:textFill>
              </w:rPr>
              <w:t>非农化”防止“非粮化”。</w:t>
            </w:r>
          </w:p>
          <w:p w14:paraId="31637A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表 1-2 符合性分析一览表</w:t>
            </w:r>
          </w:p>
          <w:tbl>
            <w:tblPr>
              <w:tblStyle w:val="30"/>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3454"/>
              <w:gridCol w:w="2328"/>
              <w:gridCol w:w="784"/>
            </w:tblGrid>
            <w:tr w14:paraId="7DC09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 w:type="pct"/>
                  <w:tcBorders>
                    <w:tl2br w:val="nil"/>
                    <w:tr2bl w:val="nil"/>
                  </w:tcBorders>
                  <w:shd w:val="clear" w:color="auto" w:fill="auto"/>
                  <w:vAlign w:val="center"/>
                </w:tcPr>
                <w:p w14:paraId="1FB541C2">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451" w:type="pct"/>
                  <w:tcBorders>
                    <w:tl2br w:val="nil"/>
                    <w:tr2bl w:val="nil"/>
                  </w:tcBorders>
                  <w:shd w:val="clear" w:color="auto" w:fill="auto"/>
                  <w:vAlign w:val="center"/>
                </w:tcPr>
                <w:p w14:paraId="18F88899">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黑政办规〔2021〕48号</w:t>
                  </w:r>
                  <w:r>
                    <w:rPr>
                      <w:rFonts w:hint="default" w:ascii="Times New Roman" w:hAnsi="Times New Roman" w:eastAsia="宋体" w:cs="Times New Roman"/>
                      <w:color w:val="000000" w:themeColor="text1"/>
                      <w:sz w:val="21"/>
                      <w:szCs w:val="21"/>
                      <w14:textFill>
                        <w14:solidFill>
                          <w14:schemeClr w14:val="tx1"/>
                        </w14:solidFill>
                      </w14:textFill>
                    </w:rPr>
                    <w:t>要求</w:t>
                  </w:r>
                </w:p>
              </w:tc>
              <w:tc>
                <w:tcPr>
                  <w:tcW w:w="1652" w:type="pct"/>
                  <w:tcBorders>
                    <w:tl2br w:val="nil"/>
                    <w:tr2bl w:val="nil"/>
                  </w:tcBorders>
                  <w:shd w:val="clear" w:color="auto" w:fill="auto"/>
                  <w:vAlign w:val="center"/>
                </w:tcPr>
                <w:p w14:paraId="37F3A10E">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本项目情况</w:t>
                  </w:r>
                </w:p>
              </w:tc>
              <w:tc>
                <w:tcPr>
                  <w:tcW w:w="557" w:type="pct"/>
                  <w:tcBorders>
                    <w:tl2br w:val="nil"/>
                    <w:tr2bl w:val="nil"/>
                  </w:tcBorders>
                  <w:vAlign w:val="center"/>
                </w:tcPr>
                <w:p w14:paraId="3FF1DD8A">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相符性</w:t>
                  </w:r>
                </w:p>
              </w:tc>
            </w:tr>
            <w:tr w14:paraId="48262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 w:type="pct"/>
                  <w:tcBorders>
                    <w:tl2br w:val="nil"/>
                    <w:tr2bl w:val="nil"/>
                  </w:tcBorders>
                  <w:shd w:val="clear" w:color="auto" w:fill="auto"/>
                  <w:vAlign w:val="center"/>
                </w:tcPr>
                <w:p w14:paraId="7A508A78">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451" w:type="pct"/>
                  <w:tcBorders>
                    <w:tl2br w:val="nil"/>
                    <w:tr2bl w:val="nil"/>
                  </w:tcBorders>
                  <w:shd w:val="clear" w:color="auto" w:fill="auto"/>
                  <w:vAlign w:val="center"/>
                </w:tcPr>
                <w:p w14:paraId="1FCED668">
                  <w:pPr>
                    <w:pStyle w:val="91"/>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严控耕地保护红线。实行最严格的耕地保护制度，划定耕地保护红线和永久基本农田控制线，严格落实耕地占补平衡、易地补充耕地、土地复垦等政策，确保完成规划期内黑土耕地保有量和永久基本农田保护任务。</w:t>
                  </w:r>
                </w:p>
              </w:tc>
              <w:tc>
                <w:tcPr>
                  <w:tcW w:w="1652" w:type="pct"/>
                  <w:tcBorders>
                    <w:tl2br w:val="nil"/>
                    <w:tr2bl w:val="nil"/>
                  </w:tcBorders>
                  <w:shd w:val="clear" w:color="auto" w:fill="auto"/>
                  <w:vAlign w:val="center"/>
                </w:tcPr>
                <w:p w14:paraId="7331D7B3">
                  <w:pPr>
                    <w:pStyle w:val="91"/>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本项目施工结束后，</w:t>
                  </w:r>
                  <w:r>
                    <w:rPr>
                      <w:rFonts w:hint="eastAsia" w:cs="Times New Roman"/>
                      <w:color w:val="000000" w:themeColor="text1"/>
                      <w:sz w:val="21"/>
                      <w:szCs w:val="21"/>
                      <w:lang w:eastAsia="zh-CN"/>
                      <w14:textFill>
                        <w14:solidFill>
                          <w14:schemeClr w14:val="tx1"/>
                        </w14:solidFill>
                      </w14:textFill>
                    </w:rPr>
                    <w:t>及时</w:t>
                  </w:r>
                  <w:r>
                    <w:rPr>
                      <w:rFonts w:hint="eastAsia" w:cs="Times New Roman"/>
                      <w:color w:val="000000" w:themeColor="text1"/>
                      <w:sz w:val="21"/>
                      <w:szCs w:val="21"/>
                      <w:lang w:val="en-US" w:eastAsia="zh-CN"/>
                      <w14:textFill>
                        <w14:solidFill>
                          <w14:schemeClr w14:val="tx1"/>
                        </w14:solidFill>
                      </w14:textFill>
                    </w:rPr>
                    <w:t>进行土地回填、平整，临时占地占用耕地的部分，及时复耕，恢复原有土地生态功能。塔基区永久占地表土可直接回覆到施工后的塔基区及时复耕，恢复原有土地生态功能。</w:t>
                  </w:r>
                </w:p>
              </w:tc>
              <w:tc>
                <w:tcPr>
                  <w:tcW w:w="557" w:type="pct"/>
                  <w:tcBorders>
                    <w:tl2br w:val="nil"/>
                    <w:tr2bl w:val="nil"/>
                  </w:tcBorders>
                  <w:vAlign w:val="center"/>
                </w:tcPr>
                <w:p w14:paraId="64A85E94">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72B8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 w:type="pct"/>
                  <w:tcBorders>
                    <w:tl2br w:val="nil"/>
                    <w:tr2bl w:val="nil"/>
                  </w:tcBorders>
                  <w:shd w:val="clear" w:color="auto" w:fill="auto"/>
                  <w:vAlign w:val="center"/>
                </w:tcPr>
                <w:p w14:paraId="7D6C108D">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2451" w:type="pct"/>
                  <w:tcBorders>
                    <w:tl2br w:val="nil"/>
                    <w:tr2bl w:val="nil"/>
                  </w:tcBorders>
                  <w:shd w:val="clear" w:color="auto" w:fill="auto"/>
                  <w:vAlign w:val="center"/>
                </w:tcPr>
                <w:p w14:paraId="40BB31FC">
                  <w:pPr>
                    <w:pStyle w:val="91"/>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严格国土空间用途管制。划定一般农业区，把优质黑土耕地优先划入一般农业区。制定用途管制规则，实行严格的用途管制，严控非农建设用地规模，尽量少占优质黑土地。强化对占用黑土地的管控约束，使得城镇发展等非农建设尽量避让优质黑土地。</w:t>
                  </w:r>
                </w:p>
              </w:tc>
              <w:tc>
                <w:tcPr>
                  <w:tcW w:w="1652" w:type="pct"/>
                  <w:tcBorders>
                    <w:tl2br w:val="nil"/>
                    <w:tr2bl w:val="nil"/>
                  </w:tcBorders>
                  <w:shd w:val="clear" w:color="auto" w:fill="auto"/>
                  <w:vAlign w:val="center"/>
                </w:tcPr>
                <w:p w14:paraId="68599515">
                  <w:pPr>
                    <w:pStyle w:val="91"/>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根据《黑龙江省自然资源厅 黑龙江省发展和改革委员会 关于简化用地管理加快电网建设的通知》（黑自然资函〔2018〕46号）</w:t>
                  </w:r>
                  <w:r>
                    <w:rPr>
                      <w:rFonts w:hint="eastAsia"/>
                      <w:color w:val="000000" w:themeColor="text1"/>
                      <w:lang w:val="en-US" w:eastAsia="zh-CN"/>
                      <w14:textFill>
                        <w14:solidFill>
                          <w14:schemeClr w14:val="tx1"/>
                        </w14:solidFill>
                      </w14:textFill>
                    </w:rPr>
                    <w:t>（2018年11月28日）</w:t>
                  </w:r>
                  <w:r>
                    <w:rPr>
                      <w:rFonts w:hint="default" w:eastAsia="宋体"/>
                      <w:color w:val="000000" w:themeColor="text1"/>
                      <w:lang w:val="en-US" w:eastAsia="zh-CN"/>
                      <w14:textFill>
                        <w14:solidFill>
                          <w14:schemeClr w14:val="tx1"/>
                        </w14:solidFill>
                      </w14:textFill>
                    </w:rPr>
                    <w:t>中第四条“电网线路（通信等）塔基、线杆用地，要通过优化调整线路布局，尽量少占或者不占耕地，经与当地农村经济组织及农民协商达成协议后，通过土地流转、协议补偿等方式直接使用，在工程使用期结束后恢复原地类。”在工程项目使用”，本项目线路工程塔基部分占用基本农田，采取相应的协议补偿，施工结束后，塔基下的土地功能保持不变，</w:t>
                  </w:r>
                  <w:r>
                    <w:rPr>
                      <w:rFonts w:hint="eastAsia"/>
                      <w:color w:val="000000" w:themeColor="text1"/>
                      <w:lang w:val="en-US" w:eastAsia="zh-CN"/>
                      <w14:textFill>
                        <w14:solidFill>
                          <w14:schemeClr w14:val="tx1"/>
                        </w14:solidFill>
                      </w14:textFill>
                    </w:rPr>
                    <w:t>并且进行原有地貌植被恢复，做好农田的</w:t>
                  </w:r>
                  <w:r>
                    <w:rPr>
                      <w:rFonts w:hint="eastAsia" w:ascii="Times New Roman" w:hAnsi="Times New Roman" w:cs="宋体"/>
                      <w:b w:val="0"/>
                      <w:bCs w:val="0"/>
                      <w:color w:val="000000" w:themeColor="text1"/>
                      <w:kern w:val="0"/>
                      <w:sz w:val="21"/>
                      <w:szCs w:val="21"/>
                      <w:lang w:val="en-US" w:eastAsia="zh-CN" w:bidi="ar"/>
                      <w14:textFill>
                        <w14:solidFill>
                          <w14:schemeClr w14:val="tx1"/>
                        </w14:solidFill>
                      </w14:textFill>
                    </w:rPr>
                    <w:t>复耕</w:t>
                  </w:r>
                  <w:r>
                    <w:rPr>
                      <w:rFonts w:hint="eastAsia"/>
                      <w:color w:val="000000" w:themeColor="text1"/>
                      <w:lang w:val="en-US" w:eastAsia="zh-CN"/>
                      <w14:textFill>
                        <w14:solidFill>
                          <w14:schemeClr w14:val="tx1"/>
                        </w14:solidFill>
                      </w14:textFill>
                    </w:rPr>
                    <w:t>工作，</w:t>
                  </w:r>
                  <w:r>
                    <w:rPr>
                      <w:rFonts w:hint="default" w:eastAsia="宋体"/>
                      <w:color w:val="000000" w:themeColor="text1"/>
                      <w:lang w:val="en-US" w:eastAsia="zh-CN"/>
                      <w14:textFill>
                        <w14:solidFill>
                          <w14:schemeClr w14:val="tx1"/>
                        </w14:solidFill>
                      </w14:textFill>
                    </w:rPr>
                    <w:t>故项目所在区域的基本农田总数保持不变，</w:t>
                  </w:r>
                  <w:r>
                    <w:rPr>
                      <w:rFonts w:hint="default" w:ascii="Times New Roman" w:hAnsi="Times New Roman" w:eastAsia="宋体" w:cs="Times New Roman"/>
                      <w:color w:val="000000" w:themeColor="text1"/>
                      <w:sz w:val="21"/>
                      <w:szCs w:val="21"/>
                      <w14:textFill>
                        <w14:solidFill>
                          <w14:schemeClr w14:val="tx1"/>
                        </w14:solidFill>
                      </w14:textFill>
                    </w:rPr>
                    <w:t>避让优质黑土地</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c>
                <w:tcPr>
                  <w:tcW w:w="557" w:type="pct"/>
                  <w:tcBorders>
                    <w:tl2br w:val="nil"/>
                    <w:tr2bl w:val="nil"/>
                  </w:tcBorders>
                  <w:vAlign w:val="center"/>
                </w:tcPr>
                <w:p w14:paraId="0CEB6373">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16EC1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 w:type="pct"/>
                  <w:tcBorders>
                    <w:tl2br w:val="nil"/>
                    <w:tr2bl w:val="nil"/>
                  </w:tcBorders>
                  <w:shd w:val="clear" w:color="auto" w:fill="auto"/>
                  <w:vAlign w:val="center"/>
                </w:tcPr>
                <w:p w14:paraId="5EA2DBF1">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2451" w:type="pct"/>
                  <w:tcBorders>
                    <w:tl2br w:val="nil"/>
                    <w:tr2bl w:val="nil"/>
                  </w:tcBorders>
                  <w:shd w:val="clear" w:color="auto" w:fill="auto"/>
                  <w:vAlign w:val="center"/>
                </w:tcPr>
                <w:p w14:paraId="40E2ECDD">
                  <w:pPr>
                    <w:pStyle w:val="91"/>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严格土地执法。建设项目占用耕地的，应当按规定进行表土剥离和利用。全面加大黑土耕地保护违法违规问题执法力度，及时发现、严肃查处土地违法特别是乱占耕地、破坏耕地、盗挖黑土等行为。</w:t>
                  </w:r>
                </w:p>
              </w:tc>
              <w:tc>
                <w:tcPr>
                  <w:tcW w:w="1652" w:type="pct"/>
                  <w:tcBorders>
                    <w:tl2br w:val="nil"/>
                    <w:tr2bl w:val="nil"/>
                  </w:tcBorders>
                  <w:shd w:val="clear" w:color="auto" w:fill="auto"/>
                  <w:vAlign w:val="center"/>
                </w:tcPr>
                <w:p w14:paraId="0571A608">
                  <w:pPr>
                    <w:pStyle w:val="91"/>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本项目设置临时堆土场，土堆采用</w:t>
                  </w:r>
                  <w:r>
                    <w:rPr>
                      <w:rFonts w:hint="eastAsia" w:cs="Times New Roman"/>
                      <w:color w:val="000000" w:themeColor="text1"/>
                      <w:sz w:val="21"/>
                      <w:szCs w:val="21"/>
                      <w:lang w:val="en-US" w:eastAsia="zh-CN"/>
                      <w14:textFill>
                        <w14:solidFill>
                          <w14:schemeClr w14:val="tx1"/>
                        </w14:solidFill>
                      </w14:textFill>
                    </w:rPr>
                    <w:t>彩条布</w:t>
                  </w:r>
                  <w:r>
                    <w:rPr>
                      <w:rFonts w:hint="default" w:ascii="Times New Roman" w:hAnsi="Times New Roman" w:eastAsia="宋体" w:cs="Times New Roman"/>
                      <w:color w:val="000000" w:themeColor="text1"/>
                      <w:sz w:val="21"/>
                      <w:szCs w:val="21"/>
                      <w14:textFill>
                        <w14:solidFill>
                          <w14:schemeClr w14:val="tx1"/>
                        </w14:solidFill>
                      </w14:textFill>
                    </w:rPr>
                    <w:t>苫盖。施工结束后，将表土</w:t>
                  </w:r>
                  <w:r>
                    <w:rPr>
                      <w:rFonts w:hint="eastAsia" w:cs="Times New Roman"/>
                      <w:color w:val="000000" w:themeColor="text1"/>
                      <w:sz w:val="21"/>
                      <w:szCs w:val="21"/>
                      <w:lang w:eastAsia="zh-CN"/>
                      <w14:textFill>
                        <w14:solidFill>
                          <w14:schemeClr w14:val="tx1"/>
                        </w14:solidFill>
                      </w14:textFill>
                    </w:rPr>
                    <w:t>剥离</w:t>
                  </w:r>
                  <w:r>
                    <w:rPr>
                      <w:rFonts w:hint="default" w:ascii="Times New Roman" w:hAnsi="Times New Roman" w:eastAsia="宋体" w:cs="Times New Roman"/>
                      <w:color w:val="000000" w:themeColor="text1"/>
                      <w:sz w:val="21"/>
                      <w:szCs w:val="21"/>
                      <w14:textFill>
                        <w14:solidFill>
                          <w14:schemeClr w14:val="tx1"/>
                        </w14:solidFill>
                      </w14:textFill>
                    </w:rPr>
                    <w:t>回覆，采取拖拉机进行全面整地，耕深30cm。在整地满足复耕要求后，交给当地农民使用。</w:t>
                  </w:r>
                </w:p>
              </w:tc>
              <w:tc>
                <w:tcPr>
                  <w:tcW w:w="557" w:type="pct"/>
                  <w:tcBorders>
                    <w:tl2br w:val="nil"/>
                    <w:tr2bl w:val="nil"/>
                  </w:tcBorders>
                  <w:vAlign w:val="center"/>
                </w:tcPr>
                <w:p w14:paraId="21AE5658">
                  <w:pPr>
                    <w:pStyle w:val="9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14:paraId="0AF60A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6</w:t>
            </w:r>
            <w:r>
              <w:rPr>
                <w:rFonts w:hint="eastAsia" w:ascii="Times New Roman" w:hAnsi="Times New Roman" w:eastAsia="宋体" w:cs="Times New Roman"/>
                <w:b/>
                <w:bCs/>
                <w:color w:val="000000" w:themeColor="text1"/>
                <w:sz w:val="24"/>
                <w:lang w:val="en-US" w:eastAsia="zh-CN"/>
                <w14:textFill>
                  <w14:solidFill>
                    <w14:schemeClr w14:val="tx1"/>
                  </w14:solidFill>
                </w14:textFill>
              </w:rPr>
              <w:t>、《黑龙江省黑土地保护利用条例》符合性分析</w:t>
            </w:r>
          </w:p>
          <w:p w14:paraId="3E7C85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Times New Roman" w:hAnsi="Times New Roman" w:eastAsia="宋体"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表 1-3 与</w:t>
            </w:r>
            <w:r>
              <w:rPr>
                <w:rFonts w:hint="eastAsia" w:ascii="Times New Roman" w:hAnsi="Times New Roman" w:eastAsia="宋体" w:cs="Times New Roman"/>
                <w:b/>
                <w:bCs/>
                <w:color w:val="000000" w:themeColor="text1"/>
                <w:sz w:val="24"/>
                <w:lang w:val="en-US" w:eastAsia="zh-CN"/>
                <w14:textFill>
                  <w14:solidFill>
                    <w14:schemeClr w14:val="tx1"/>
                  </w14:solidFill>
                </w14:textFill>
              </w:rPr>
              <w:t>《黑龙江省黑土地保护利用条例》</w:t>
            </w:r>
            <w:r>
              <w:rPr>
                <w:rFonts w:hint="eastAsia" w:cs="Times New Roman"/>
                <w:b/>
                <w:bCs/>
                <w:color w:val="000000" w:themeColor="text1"/>
                <w:sz w:val="24"/>
                <w:lang w:val="en-US" w:eastAsia="zh-CN"/>
                <w14:textFill>
                  <w14:solidFill>
                    <w14:schemeClr w14:val="tx1"/>
                  </w14:solidFill>
                </w14:textFill>
              </w:rPr>
              <w:t>符合性分析一览表</w:t>
            </w:r>
          </w:p>
          <w:tbl>
            <w:tblPr>
              <w:tblStyle w:val="30"/>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3823"/>
              <w:gridCol w:w="1960"/>
              <w:gridCol w:w="785"/>
            </w:tblGrid>
            <w:tr w14:paraId="74739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tcBorders>
                    <w:tl2br w:val="nil"/>
                    <w:tr2bl w:val="nil"/>
                  </w:tcBorders>
                  <w:shd w:val="clear" w:color="auto" w:fill="auto"/>
                  <w:vAlign w:val="center"/>
                </w:tcPr>
                <w:p w14:paraId="1C5582DC">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序号</w:t>
                  </w:r>
                </w:p>
              </w:tc>
              <w:tc>
                <w:tcPr>
                  <w:tcW w:w="2711" w:type="pct"/>
                  <w:tcBorders>
                    <w:tl2br w:val="nil"/>
                    <w:tr2bl w:val="nil"/>
                  </w:tcBorders>
                  <w:shd w:val="clear" w:color="auto" w:fill="auto"/>
                  <w:vAlign w:val="center"/>
                </w:tcPr>
                <w:p w14:paraId="38CBB3CE">
                  <w:pPr>
                    <w:pStyle w:val="91"/>
                    <w:keepNext w:val="0"/>
                    <w:keepLines w:val="0"/>
                    <w:suppressLineNumbers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黑龙江省黑土地保护利用条例要求</w:t>
                  </w:r>
                </w:p>
              </w:tc>
              <w:tc>
                <w:tcPr>
                  <w:tcW w:w="1390" w:type="pct"/>
                  <w:tcBorders>
                    <w:tl2br w:val="nil"/>
                    <w:tr2bl w:val="nil"/>
                  </w:tcBorders>
                  <w:shd w:val="clear" w:color="auto" w:fill="auto"/>
                  <w:vAlign w:val="center"/>
                </w:tcPr>
                <w:p w14:paraId="3EA3288D">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本项目情况</w:t>
                  </w:r>
                </w:p>
              </w:tc>
              <w:tc>
                <w:tcPr>
                  <w:tcW w:w="557" w:type="pct"/>
                  <w:tcBorders>
                    <w:tl2br w:val="nil"/>
                    <w:tr2bl w:val="nil"/>
                  </w:tcBorders>
                  <w:vAlign w:val="center"/>
                </w:tcPr>
                <w:p w14:paraId="5BED695C">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相符性</w:t>
                  </w:r>
                </w:p>
              </w:tc>
            </w:tr>
            <w:tr w14:paraId="35E09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tcBorders>
                    <w:tl2br w:val="nil"/>
                    <w:tr2bl w:val="nil"/>
                  </w:tcBorders>
                  <w:shd w:val="clear" w:color="auto" w:fill="auto"/>
                  <w:vAlign w:val="center"/>
                </w:tcPr>
                <w:p w14:paraId="2C235836">
                  <w:pPr>
                    <w:pStyle w:val="91"/>
                    <w:keepNext w:val="0"/>
                    <w:keepLines w:val="0"/>
                    <w:suppressLineNumbers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2711" w:type="pct"/>
                  <w:tcBorders>
                    <w:tl2br w:val="nil"/>
                    <w:tr2bl w:val="nil"/>
                  </w:tcBorders>
                  <w:shd w:val="clear" w:color="auto" w:fill="auto"/>
                  <w:vAlign w:val="center"/>
                </w:tcPr>
                <w:p w14:paraId="39D4E336">
                  <w:pPr>
                    <w:pStyle w:val="91"/>
                    <w:keepNext w:val="0"/>
                    <w:keepLines w:val="0"/>
                    <w:suppressLineNumbers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黑土地保护利用实行土地用途管制制度。严格限制农用地转为建设用地，严格控制耕地转为非耕地，禁止违法占用耕地。</w:t>
                  </w:r>
                </w:p>
              </w:tc>
              <w:tc>
                <w:tcPr>
                  <w:tcW w:w="1390" w:type="pct"/>
                  <w:tcBorders>
                    <w:tl2br w:val="nil"/>
                    <w:tr2bl w:val="nil"/>
                  </w:tcBorders>
                  <w:shd w:val="clear" w:color="auto" w:fill="auto"/>
                  <w:vAlign w:val="center"/>
                </w:tcPr>
                <w:p w14:paraId="56CEAF85">
                  <w:pPr>
                    <w:pStyle w:val="91"/>
                    <w:keepNext w:val="0"/>
                    <w:keepLines w:val="0"/>
                    <w:suppressLineNumbers w:val="0"/>
                    <w:spacing w:before="0" w:beforeAutospacing="0" w:after="0" w:afterAutospacing="0"/>
                    <w:ind w:left="0" w:right="0"/>
                    <w:jc w:val="both"/>
                    <w:rPr>
                      <w:rFonts w:hint="eastAsia" w:ascii="Calibri" w:hAnsi="Calibri" w:eastAsia="宋体"/>
                      <w:color w:val="000000" w:themeColor="text1"/>
                      <w:sz w:val="21"/>
                      <w:szCs w:val="21"/>
                      <w:lang w:eastAsia="zh-CN"/>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本项目施工结束后，对临时用地进行整地、复耕。塔基区永久占地采取相应的协议补偿，施工结束后，塔基下的土地功能保持不变，并且进行原有地貌植被恢复</w:t>
                  </w:r>
                  <w:r>
                    <w:rPr>
                      <w:rFonts w:hint="eastAsia" w:ascii="Calibri" w:hAnsi="Calibri"/>
                      <w:color w:val="000000" w:themeColor="text1"/>
                      <w:sz w:val="21"/>
                      <w:szCs w:val="21"/>
                      <w:lang w:eastAsia="zh-CN"/>
                      <w14:textFill>
                        <w14:solidFill>
                          <w14:schemeClr w14:val="tx1"/>
                        </w14:solidFill>
                      </w14:textFill>
                    </w:rPr>
                    <w:t>。</w:t>
                  </w:r>
                </w:p>
              </w:tc>
              <w:tc>
                <w:tcPr>
                  <w:tcW w:w="557" w:type="pct"/>
                  <w:tcBorders>
                    <w:tl2br w:val="nil"/>
                    <w:tr2bl w:val="nil"/>
                  </w:tcBorders>
                  <w:vAlign w:val="center"/>
                </w:tcPr>
                <w:p w14:paraId="42840D04">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符合</w:t>
                  </w:r>
                </w:p>
              </w:tc>
            </w:tr>
            <w:tr w14:paraId="1B144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tcBorders>
                    <w:tl2br w:val="nil"/>
                    <w:tr2bl w:val="nil"/>
                  </w:tcBorders>
                  <w:shd w:val="clear" w:color="auto" w:fill="auto"/>
                  <w:vAlign w:val="center"/>
                </w:tcPr>
                <w:p w14:paraId="60B4FC27">
                  <w:pPr>
                    <w:pStyle w:val="91"/>
                    <w:keepNext w:val="0"/>
                    <w:keepLines w:val="0"/>
                    <w:suppressLineNumbers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2711" w:type="pct"/>
                  <w:tcBorders>
                    <w:tl2br w:val="nil"/>
                    <w:tr2bl w:val="nil"/>
                  </w:tcBorders>
                  <w:shd w:val="clear" w:color="auto" w:fill="auto"/>
                  <w:vAlign w:val="center"/>
                </w:tcPr>
                <w:p w14:paraId="0A32D66D">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禁止向黑土地排放重金属或者其他有毒有害物质含量超标的污水、污泥，以及可能造成土壤污染的清淤底泥、尾矿、矿渣等</w:t>
                  </w:r>
                  <w:r>
                    <w:rPr>
                      <w:rFonts w:hint="eastAsia" w:ascii="Calibri" w:hAnsi="Calibri"/>
                      <w:color w:val="000000" w:themeColor="text1"/>
                      <w:sz w:val="21"/>
                      <w:szCs w:val="21"/>
                      <w:lang w:eastAsia="zh-CN"/>
                      <w14:textFill>
                        <w14:solidFill>
                          <w14:schemeClr w14:val="tx1"/>
                        </w14:solidFill>
                      </w14:textFill>
                    </w:rPr>
                    <w:t>；</w:t>
                  </w:r>
                  <w:r>
                    <w:rPr>
                      <w:rFonts w:hint="eastAsia" w:ascii="Calibri" w:hAnsi="Calibri"/>
                      <w:color w:val="000000" w:themeColor="text1"/>
                      <w:sz w:val="21"/>
                      <w:szCs w:val="21"/>
                      <w14:textFill>
                        <w14:solidFill>
                          <w14:schemeClr w14:val="tx1"/>
                        </w14:solidFill>
                      </w14:textFill>
                    </w:rPr>
                    <w:t>禁止将有毒有害废物用作肥料或者用于造田和土地复垦。</w:t>
                  </w:r>
                </w:p>
              </w:tc>
              <w:tc>
                <w:tcPr>
                  <w:tcW w:w="1390" w:type="pct"/>
                  <w:tcBorders>
                    <w:tl2br w:val="nil"/>
                    <w:tr2bl w:val="nil"/>
                  </w:tcBorders>
                  <w:shd w:val="clear" w:color="auto" w:fill="auto"/>
                  <w:vAlign w:val="center"/>
                </w:tcPr>
                <w:p w14:paraId="19D8D4D7">
                  <w:pPr>
                    <w:pStyle w:val="91"/>
                    <w:keepNext w:val="0"/>
                    <w:keepLines w:val="0"/>
                    <w:suppressLineNumbers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本项目不涉及重金属、有毒有害物质含量超标的污水、污泥、清淤底泥、尾矿、矿渣等。</w:t>
                  </w:r>
                </w:p>
              </w:tc>
              <w:tc>
                <w:tcPr>
                  <w:tcW w:w="557" w:type="pct"/>
                  <w:tcBorders>
                    <w:tl2br w:val="nil"/>
                    <w:tr2bl w:val="nil"/>
                  </w:tcBorders>
                  <w:vAlign w:val="center"/>
                </w:tcPr>
                <w:p w14:paraId="6DA87320">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符合</w:t>
                  </w:r>
                </w:p>
              </w:tc>
            </w:tr>
            <w:tr w14:paraId="227E1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tcBorders>
                    <w:tl2br w:val="nil"/>
                    <w:tr2bl w:val="nil"/>
                  </w:tcBorders>
                  <w:shd w:val="clear" w:color="auto" w:fill="auto"/>
                  <w:vAlign w:val="center"/>
                </w:tcPr>
                <w:p w14:paraId="0BE3C281">
                  <w:pPr>
                    <w:pStyle w:val="91"/>
                    <w:keepNext w:val="0"/>
                    <w:keepLines w:val="0"/>
                    <w:suppressLineNumbers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2711" w:type="pct"/>
                  <w:tcBorders>
                    <w:tl2br w:val="nil"/>
                    <w:tr2bl w:val="nil"/>
                  </w:tcBorders>
                  <w:shd w:val="clear" w:color="auto" w:fill="auto"/>
                  <w:vAlign w:val="center"/>
                </w:tcPr>
                <w:p w14:paraId="1E89622C">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建立和完善建设用地增减挂钩机制。建设项目应当节约、集约使用黑土地，不占或者少占黑土地。</w:t>
                  </w:r>
                </w:p>
              </w:tc>
              <w:tc>
                <w:tcPr>
                  <w:tcW w:w="1390" w:type="pct"/>
                  <w:tcBorders>
                    <w:tl2br w:val="nil"/>
                    <w:tr2bl w:val="nil"/>
                  </w:tcBorders>
                  <w:shd w:val="clear" w:color="auto" w:fill="auto"/>
                  <w:vAlign w:val="center"/>
                </w:tcPr>
                <w:p w14:paraId="11BAD3C1">
                  <w:pPr>
                    <w:pStyle w:val="91"/>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本项目线路路径较短，基本按照最短路径进行架设，已在设计阶段减少了对于黑土地的占用，且</w:t>
                  </w:r>
                  <w:r>
                    <w:rPr>
                      <w:rFonts w:hint="default" w:ascii="Times New Roman" w:hAnsi="Times New Roman" w:eastAsia="宋体" w:cs="Times New Roman"/>
                      <w:color w:val="000000" w:themeColor="text1"/>
                      <w:sz w:val="21"/>
                      <w:szCs w:val="21"/>
                      <w14:textFill>
                        <w14:solidFill>
                          <w14:schemeClr w14:val="tx1"/>
                        </w14:solidFill>
                      </w14:textFill>
                    </w:rPr>
                    <w:t>避让优质黑土地</w:t>
                  </w:r>
                  <w:r>
                    <w:rPr>
                      <w:rFonts w:hint="eastAsia" w:cs="Times New Roman"/>
                      <w:color w:val="000000" w:themeColor="text1"/>
                      <w:kern w:val="0"/>
                      <w:sz w:val="21"/>
                      <w:szCs w:val="21"/>
                      <w:lang w:val="en-US" w:eastAsia="zh-CN" w:bidi="ar-SA"/>
                      <w14:textFill>
                        <w14:solidFill>
                          <w14:schemeClr w14:val="tx1"/>
                        </w14:solidFill>
                      </w14:textFill>
                    </w:rPr>
                    <w:t>。</w:t>
                  </w:r>
                </w:p>
              </w:tc>
              <w:tc>
                <w:tcPr>
                  <w:tcW w:w="557" w:type="pct"/>
                  <w:tcBorders>
                    <w:tl2br w:val="nil"/>
                    <w:tr2bl w:val="nil"/>
                  </w:tcBorders>
                  <w:vAlign w:val="center"/>
                </w:tcPr>
                <w:p w14:paraId="7097E2A1">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符合</w:t>
                  </w:r>
                </w:p>
              </w:tc>
            </w:tr>
            <w:tr w14:paraId="05386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tcBorders>
                    <w:tl2br w:val="nil"/>
                    <w:tr2bl w:val="nil"/>
                  </w:tcBorders>
                  <w:shd w:val="clear" w:color="auto" w:fill="auto"/>
                  <w:vAlign w:val="center"/>
                </w:tcPr>
                <w:p w14:paraId="6F86C124">
                  <w:pPr>
                    <w:pStyle w:val="91"/>
                    <w:keepNext w:val="0"/>
                    <w:keepLines w:val="0"/>
                    <w:suppressLineNumbers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w:t>
                  </w:r>
                </w:p>
              </w:tc>
              <w:tc>
                <w:tcPr>
                  <w:tcW w:w="2711" w:type="pct"/>
                  <w:tcBorders>
                    <w:tl2br w:val="nil"/>
                    <w:tr2bl w:val="nil"/>
                  </w:tcBorders>
                  <w:shd w:val="clear" w:color="auto" w:fill="auto"/>
                  <w:vAlign w:val="center"/>
                </w:tcPr>
                <w:p w14:paraId="482B9401">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基础设施建设应当采取必要措施，避免因建设项目导致水淹耕地或者破坏黑土地生态环境。</w:t>
                  </w:r>
                </w:p>
              </w:tc>
              <w:tc>
                <w:tcPr>
                  <w:tcW w:w="1390" w:type="pct"/>
                  <w:tcBorders>
                    <w:tl2br w:val="nil"/>
                    <w:tr2bl w:val="nil"/>
                  </w:tcBorders>
                  <w:shd w:val="clear" w:color="auto" w:fill="auto"/>
                  <w:vAlign w:val="center"/>
                </w:tcPr>
                <w:p w14:paraId="3C18DB8E">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严格落实本评价提出的生态环境保护措施后，项目建设对生态环境影响较小。</w:t>
                  </w:r>
                </w:p>
              </w:tc>
              <w:tc>
                <w:tcPr>
                  <w:tcW w:w="557" w:type="pct"/>
                  <w:tcBorders>
                    <w:tl2br w:val="nil"/>
                    <w:tr2bl w:val="nil"/>
                  </w:tcBorders>
                  <w:vAlign w:val="center"/>
                </w:tcPr>
                <w:p w14:paraId="2E36BE06">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符合</w:t>
                  </w:r>
                </w:p>
              </w:tc>
            </w:tr>
            <w:tr w14:paraId="48658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tcBorders>
                    <w:tl2br w:val="nil"/>
                    <w:tr2bl w:val="nil"/>
                  </w:tcBorders>
                  <w:shd w:val="clear" w:color="auto" w:fill="auto"/>
                  <w:vAlign w:val="center"/>
                </w:tcPr>
                <w:p w14:paraId="189E340F">
                  <w:pPr>
                    <w:pStyle w:val="91"/>
                    <w:keepNext w:val="0"/>
                    <w:keepLines w:val="0"/>
                    <w:suppressLineNumbers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2711" w:type="pct"/>
                  <w:tcBorders>
                    <w:tl2br w:val="nil"/>
                    <w:tr2bl w:val="nil"/>
                  </w:tcBorders>
                  <w:shd w:val="clear" w:color="auto" w:fill="auto"/>
                  <w:vAlign w:val="center"/>
                </w:tcPr>
                <w:p w14:paraId="19DCCDB6">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生产建设活动占用黑土地的，应当按照有关标准、规范和管理规定剥离表土。</w:t>
                  </w:r>
                </w:p>
              </w:tc>
              <w:tc>
                <w:tcPr>
                  <w:tcW w:w="1390" w:type="pct"/>
                  <w:tcBorders>
                    <w:tl2br w:val="nil"/>
                    <w:tr2bl w:val="nil"/>
                  </w:tcBorders>
                  <w:shd w:val="clear" w:color="auto" w:fill="auto"/>
                  <w:vAlign w:val="center"/>
                </w:tcPr>
                <w:p w14:paraId="0A607AD2">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项目剥离表土严格执行标准及规范规定。</w:t>
                  </w:r>
                </w:p>
              </w:tc>
              <w:tc>
                <w:tcPr>
                  <w:tcW w:w="557" w:type="pct"/>
                  <w:tcBorders>
                    <w:tl2br w:val="nil"/>
                    <w:tr2bl w:val="nil"/>
                  </w:tcBorders>
                  <w:vAlign w:val="center"/>
                </w:tcPr>
                <w:p w14:paraId="4D58A529">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符合</w:t>
                  </w:r>
                </w:p>
              </w:tc>
            </w:tr>
            <w:tr w14:paraId="190CA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tcBorders>
                    <w:tl2br w:val="nil"/>
                    <w:tr2bl w:val="nil"/>
                  </w:tcBorders>
                  <w:shd w:val="clear" w:color="auto" w:fill="auto"/>
                  <w:vAlign w:val="center"/>
                </w:tcPr>
                <w:p w14:paraId="1C851671">
                  <w:pPr>
                    <w:pStyle w:val="91"/>
                    <w:keepNext w:val="0"/>
                    <w:keepLines w:val="0"/>
                    <w:suppressLineNumbers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2711" w:type="pct"/>
                  <w:tcBorders>
                    <w:tl2br w:val="nil"/>
                    <w:tr2bl w:val="nil"/>
                  </w:tcBorders>
                  <w:shd w:val="clear" w:color="auto" w:fill="auto"/>
                  <w:vAlign w:val="center"/>
                </w:tcPr>
                <w:p w14:paraId="79795BA6">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任何组织和个人应当节约使用黑土。</w:t>
                  </w:r>
                </w:p>
              </w:tc>
              <w:tc>
                <w:tcPr>
                  <w:tcW w:w="1390" w:type="pct"/>
                  <w:tcBorders>
                    <w:tl2br w:val="nil"/>
                    <w:tr2bl w:val="nil"/>
                  </w:tcBorders>
                  <w:shd w:val="clear" w:color="auto" w:fill="auto"/>
                  <w:vAlign w:val="center"/>
                </w:tcPr>
                <w:p w14:paraId="6541FF4B">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本项目将表土</w:t>
                  </w:r>
                  <w:r>
                    <w:rPr>
                      <w:rFonts w:hint="eastAsia" w:ascii="Calibri" w:hAnsi="Calibri"/>
                      <w:color w:val="000000" w:themeColor="text1"/>
                      <w:sz w:val="21"/>
                      <w:szCs w:val="21"/>
                      <w:lang w:eastAsia="zh-CN"/>
                      <w14:textFill>
                        <w14:solidFill>
                          <w14:schemeClr w14:val="tx1"/>
                        </w14:solidFill>
                      </w14:textFill>
                    </w:rPr>
                    <w:t>剥离</w:t>
                  </w:r>
                  <w:r>
                    <w:rPr>
                      <w:rFonts w:hint="eastAsia" w:ascii="Calibri" w:hAnsi="Calibri"/>
                      <w:color w:val="000000" w:themeColor="text1"/>
                      <w:sz w:val="21"/>
                      <w:szCs w:val="21"/>
                      <w14:textFill>
                        <w14:solidFill>
                          <w14:schemeClr w14:val="tx1"/>
                        </w14:solidFill>
                      </w14:textFill>
                    </w:rPr>
                    <w:t>回覆，采取拖拉机进行全面整地，耕</w:t>
                  </w:r>
                  <w:r>
                    <w:rPr>
                      <w:rFonts w:hint="eastAsia"/>
                      <w:color w:val="000000" w:themeColor="text1"/>
                      <w:sz w:val="21"/>
                      <w:szCs w:val="21"/>
                      <w14:textFill>
                        <w14:solidFill>
                          <w14:schemeClr w14:val="tx1"/>
                        </w14:solidFill>
                      </w14:textFill>
                    </w:rPr>
                    <w:t>深30cm</w:t>
                  </w:r>
                  <w:r>
                    <w:rPr>
                      <w:rFonts w:hint="eastAsia" w:ascii="Calibri" w:hAnsi="Calibri"/>
                      <w:color w:val="000000" w:themeColor="text1"/>
                      <w:sz w:val="21"/>
                      <w:szCs w:val="21"/>
                      <w14:textFill>
                        <w14:solidFill>
                          <w14:schemeClr w14:val="tx1"/>
                        </w14:solidFill>
                      </w14:textFill>
                    </w:rPr>
                    <w:t>。在整地满足复耕要求后，交给当地农民使用。</w:t>
                  </w:r>
                </w:p>
              </w:tc>
              <w:tc>
                <w:tcPr>
                  <w:tcW w:w="557" w:type="pct"/>
                  <w:tcBorders>
                    <w:tl2br w:val="nil"/>
                    <w:tr2bl w:val="nil"/>
                  </w:tcBorders>
                  <w:vAlign w:val="center"/>
                </w:tcPr>
                <w:p w14:paraId="765BB4F2">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符合</w:t>
                  </w:r>
                </w:p>
              </w:tc>
            </w:tr>
            <w:tr w14:paraId="3C703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tcBorders>
                    <w:tl2br w:val="nil"/>
                    <w:tr2bl w:val="nil"/>
                  </w:tcBorders>
                  <w:shd w:val="clear" w:color="auto" w:fill="auto"/>
                  <w:vAlign w:val="center"/>
                </w:tcPr>
                <w:p w14:paraId="69FB69BB">
                  <w:pPr>
                    <w:pStyle w:val="91"/>
                    <w:keepNext w:val="0"/>
                    <w:keepLines w:val="0"/>
                    <w:suppressLineNumbers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2711" w:type="pct"/>
                  <w:tcBorders>
                    <w:tl2br w:val="nil"/>
                    <w:tr2bl w:val="nil"/>
                  </w:tcBorders>
                  <w:shd w:val="clear" w:color="auto" w:fill="auto"/>
                  <w:vAlign w:val="center"/>
                </w:tcPr>
                <w:p w14:paraId="6A05B616">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农田改造、河湖清淤、表土剥离等活动中收集的黑土，经县级以上人民政府指定的部门备案并取得备案凭证后，可以用于土地复垦、劣质地改良、受污染耕地的风险管控和修复以及园林绿化、苗床苗圃用土、花卉种植等。</w:t>
                  </w:r>
                </w:p>
              </w:tc>
              <w:tc>
                <w:tcPr>
                  <w:tcW w:w="1390" w:type="pct"/>
                  <w:tcBorders>
                    <w:tl2br w:val="nil"/>
                    <w:tr2bl w:val="nil"/>
                  </w:tcBorders>
                  <w:shd w:val="clear" w:color="auto" w:fill="auto"/>
                  <w:vAlign w:val="center"/>
                </w:tcPr>
                <w:p w14:paraId="7420B7A2">
                  <w:pPr>
                    <w:pStyle w:val="91"/>
                    <w:keepNext w:val="0"/>
                    <w:keepLines w:val="0"/>
                    <w:suppressLineNumbers w:val="0"/>
                    <w:spacing w:before="0" w:beforeAutospacing="0" w:after="0" w:afterAutospacing="0"/>
                    <w:ind w:left="0" w:right="0"/>
                    <w:jc w:val="both"/>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本项目将表土</w:t>
                  </w:r>
                  <w:r>
                    <w:rPr>
                      <w:rFonts w:hint="eastAsia" w:ascii="Calibri" w:hAnsi="Calibri"/>
                      <w:color w:val="000000" w:themeColor="text1"/>
                      <w:sz w:val="21"/>
                      <w:szCs w:val="21"/>
                      <w:lang w:eastAsia="zh-CN"/>
                      <w14:textFill>
                        <w14:solidFill>
                          <w14:schemeClr w14:val="tx1"/>
                        </w14:solidFill>
                      </w14:textFill>
                    </w:rPr>
                    <w:t>剥离</w:t>
                  </w:r>
                  <w:r>
                    <w:rPr>
                      <w:rFonts w:hint="eastAsia" w:ascii="Calibri" w:hAnsi="Calibri"/>
                      <w:color w:val="000000" w:themeColor="text1"/>
                      <w:sz w:val="21"/>
                      <w:szCs w:val="21"/>
                      <w14:textFill>
                        <w14:solidFill>
                          <w14:schemeClr w14:val="tx1"/>
                        </w14:solidFill>
                      </w14:textFill>
                    </w:rPr>
                    <w:t>回覆，采取拖拉机进行全面整地，耕</w:t>
                  </w:r>
                  <w:r>
                    <w:rPr>
                      <w:rFonts w:hint="eastAsia"/>
                      <w:color w:val="000000" w:themeColor="text1"/>
                      <w:sz w:val="21"/>
                      <w:szCs w:val="21"/>
                      <w14:textFill>
                        <w14:solidFill>
                          <w14:schemeClr w14:val="tx1"/>
                        </w14:solidFill>
                      </w14:textFill>
                    </w:rPr>
                    <w:t>深30cm</w:t>
                  </w:r>
                  <w:r>
                    <w:rPr>
                      <w:rFonts w:hint="eastAsia" w:ascii="Calibri" w:hAnsi="Calibri"/>
                      <w:color w:val="000000" w:themeColor="text1"/>
                      <w:sz w:val="21"/>
                      <w:szCs w:val="21"/>
                      <w14:textFill>
                        <w14:solidFill>
                          <w14:schemeClr w14:val="tx1"/>
                        </w14:solidFill>
                      </w14:textFill>
                    </w:rPr>
                    <w:t>。在整地满足复耕要求后，交给当地农民使用。</w:t>
                  </w:r>
                </w:p>
              </w:tc>
              <w:tc>
                <w:tcPr>
                  <w:tcW w:w="557" w:type="pct"/>
                  <w:tcBorders>
                    <w:tl2br w:val="nil"/>
                    <w:tr2bl w:val="nil"/>
                  </w:tcBorders>
                  <w:vAlign w:val="center"/>
                </w:tcPr>
                <w:p w14:paraId="22ADE787">
                  <w:pPr>
                    <w:pStyle w:val="91"/>
                    <w:keepNext w:val="0"/>
                    <w:keepLines w:val="0"/>
                    <w:suppressLineNumbers w:val="0"/>
                    <w:spacing w:before="0" w:beforeAutospacing="0" w:after="0" w:afterAutospacing="0"/>
                    <w:ind w:left="0" w:right="0"/>
                    <w:rPr>
                      <w:rFonts w:hint="default" w:ascii="Calibri" w:hAnsi="Calibri"/>
                      <w:color w:val="000000" w:themeColor="text1"/>
                      <w:sz w:val="21"/>
                      <w:szCs w:val="21"/>
                      <w14:textFill>
                        <w14:solidFill>
                          <w14:schemeClr w14:val="tx1"/>
                        </w14:solidFill>
                      </w14:textFill>
                    </w:rPr>
                  </w:pPr>
                  <w:r>
                    <w:rPr>
                      <w:rFonts w:hint="eastAsia" w:ascii="Calibri" w:hAnsi="Calibri"/>
                      <w:color w:val="000000" w:themeColor="text1"/>
                      <w:sz w:val="21"/>
                      <w:szCs w:val="21"/>
                      <w14:textFill>
                        <w14:solidFill>
                          <w14:schemeClr w14:val="tx1"/>
                        </w14:solidFill>
                      </w14:textFill>
                    </w:rPr>
                    <w:t>符合</w:t>
                  </w:r>
                </w:p>
              </w:tc>
            </w:tr>
          </w:tbl>
          <w:p w14:paraId="1E41A1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color w:val="000000" w:themeColor="text1"/>
                <w:sz w:val="24"/>
                <w:lang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7</w:t>
            </w:r>
            <w:r>
              <w:rPr>
                <w:rFonts w:hint="eastAsia" w:ascii="Times New Roman" w:hAnsi="Times New Roman" w:eastAsia="宋体" w:cs="Times New Roman"/>
                <w:b/>
                <w:bCs/>
                <w:color w:val="000000" w:themeColor="text1"/>
                <w:sz w:val="24"/>
                <w:lang w:val="en-US" w:eastAsia="zh-CN"/>
                <w14:textFill>
                  <w14:solidFill>
                    <w14:schemeClr w14:val="tx1"/>
                  </w14:solidFill>
                </w14:textFill>
              </w:rPr>
              <w:t>、与《中华人民共和国黑土地保护法》</w:t>
            </w:r>
            <w:r>
              <w:rPr>
                <w:rFonts w:hint="eastAsia" w:ascii="Times New Roman" w:hAnsi="Times New Roman" w:eastAsia="宋体" w:cs="Times New Roman"/>
                <w:b/>
                <w:bCs/>
                <w:color w:val="000000" w:themeColor="text1"/>
                <w:sz w:val="24"/>
                <w:lang w:eastAsia="zh-CN"/>
                <w14:textFill>
                  <w14:solidFill>
                    <w14:schemeClr w14:val="tx1"/>
                  </w14:solidFill>
                </w14:textFill>
              </w:rPr>
              <w:t>符合性分析</w:t>
            </w:r>
          </w:p>
          <w:p w14:paraId="4181B3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Times New Roman" w:hAnsi="Times New Roman" w:eastAsia="宋体"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表 1-4 与《中华人民共和国黑土地保护法》符合性分析一览表</w:t>
            </w:r>
          </w:p>
          <w:tbl>
            <w:tblPr>
              <w:tblStyle w:val="30"/>
              <w:tblW w:w="48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763"/>
              <w:gridCol w:w="1930"/>
              <w:gridCol w:w="773"/>
            </w:tblGrid>
            <w:tr w14:paraId="2DE26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tcBorders>
                    <w:tl2br w:val="nil"/>
                    <w:tr2bl w:val="nil"/>
                  </w:tcBorders>
                  <w:shd w:val="clear" w:color="auto" w:fill="auto"/>
                  <w:vAlign w:val="center"/>
                </w:tcPr>
                <w:p w14:paraId="7EBB761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序号</w:t>
                  </w:r>
                </w:p>
              </w:tc>
              <w:tc>
                <w:tcPr>
                  <w:tcW w:w="2712" w:type="pct"/>
                  <w:tcBorders>
                    <w:tl2br w:val="nil"/>
                    <w:tr2bl w:val="nil"/>
                  </w:tcBorders>
                  <w:shd w:val="clear" w:color="auto" w:fill="auto"/>
                  <w:vAlign w:val="center"/>
                </w:tcPr>
                <w:p w14:paraId="422C0CF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中华人民共和国黑土地保护法</w:t>
                  </w:r>
                </w:p>
              </w:tc>
              <w:tc>
                <w:tcPr>
                  <w:tcW w:w="1391" w:type="pct"/>
                  <w:tcBorders>
                    <w:tl2br w:val="nil"/>
                    <w:tr2bl w:val="nil"/>
                  </w:tcBorders>
                  <w:shd w:val="clear" w:color="auto" w:fill="auto"/>
                  <w:vAlign w:val="center"/>
                </w:tcPr>
                <w:p w14:paraId="508C950B">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本项目情况</w:t>
                  </w:r>
                </w:p>
              </w:tc>
              <w:tc>
                <w:tcPr>
                  <w:tcW w:w="557" w:type="pct"/>
                  <w:tcBorders>
                    <w:tl2br w:val="nil"/>
                    <w:tr2bl w:val="nil"/>
                  </w:tcBorders>
                  <w:vAlign w:val="center"/>
                </w:tcPr>
                <w:p w14:paraId="2E6E28F1">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相符性</w:t>
                  </w:r>
                </w:p>
              </w:tc>
            </w:tr>
            <w:tr w14:paraId="2DFF5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tcBorders>
                    <w:tl2br w:val="nil"/>
                    <w:tr2bl w:val="nil"/>
                  </w:tcBorders>
                  <w:shd w:val="clear" w:color="auto" w:fill="auto"/>
                  <w:vAlign w:val="center"/>
                </w:tcPr>
                <w:p w14:paraId="00B5D1FA">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2712" w:type="pct"/>
                  <w:tcBorders>
                    <w:tl2br w:val="nil"/>
                    <w:tr2bl w:val="nil"/>
                  </w:tcBorders>
                  <w:shd w:val="clear" w:color="auto" w:fill="auto"/>
                  <w:vAlign w:val="center"/>
                </w:tcPr>
                <w:p w14:paraId="34B2BD9B">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任何组织和个人不得破坏黑土地资源和生态环境。禁止盗挖、滥挖和非法买卖黑土。国务院自然资源主管部门会同农业农村、水行政、公安、交通运输、市场监督管理等部门应当建立健全保护黑土地资源监督管理制度，提高对盗挖、滥挖、非法买卖黑土和其他破坏黑土地资源、生态环境行为的综合治理能力。</w:t>
                  </w:r>
                </w:p>
              </w:tc>
              <w:tc>
                <w:tcPr>
                  <w:tcW w:w="1391" w:type="pct"/>
                  <w:tcBorders>
                    <w:tl2br w:val="nil"/>
                    <w:tr2bl w:val="nil"/>
                  </w:tcBorders>
                  <w:shd w:val="clear" w:color="auto" w:fill="auto"/>
                  <w:vAlign w:val="center"/>
                </w:tcPr>
                <w:p w14:paraId="0FB61E72">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严格落实本评价提出的生态环境保护措施后，项目建设对生态环境影响较小。</w:t>
                  </w:r>
                </w:p>
              </w:tc>
              <w:tc>
                <w:tcPr>
                  <w:tcW w:w="557" w:type="pct"/>
                  <w:tcBorders>
                    <w:tl2br w:val="nil"/>
                    <w:tr2bl w:val="nil"/>
                  </w:tcBorders>
                  <w:vAlign w:val="center"/>
                </w:tcPr>
                <w:p w14:paraId="19E9D27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符合</w:t>
                  </w:r>
                </w:p>
              </w:tc>
            </w:tr>
            <w:tr w14:paraId="50CE5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tcBorders>
                    <w:tl2br w:val="nil"/>
                    <w:tr2bl w:val="nil"/>
                  </w:tcBorders>
                  <w:shd w:val="clear" w:color="auto" w:fill="auto"/>
                  <w:vAlign w:val="center"/>
                </w:tcPr>
                <w:p w14:paraId="040F2E5A">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2712" w:type="pct"/>
                  <w:tcBorders>
                    <w:tl2br w:val="nil"/>
                    <w:tr2bl w:val="nil"/>
                  </w:tcBorders>
                  <w:shd w:val="clear" w:color="auto" w:fill="auto"/>
                  <w:vAlign w:val="center"/>
                </w:tcPr>
                <w:p w14:paraId="4AD635A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建设项目不得占用黑土地</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r>
                    <w:rPr>
                      <w:rFonts w:hint="eastAsia" w:ascii="Times New Roman" w:hAnsi="Times New Roman" w:eastAsia="宋体" w:cs="Times New Roman"/>
                      <w:color w:val="000000" w:themeColor="text1"/>
                      <w:sz w:val="21"/>
                      <w:szCs w:val="21"/>
                      <w14:textFill>
                        <w14:solidFill>
                          <w14:schemeClr w14:val="tx1"/>
                        </w14:solidFill>
                      </w14:textFill>
                    </w:rPr>
                    <w:t>确需占用的，应当依法严格审批，并补充数量和质量相当的耕地。</w:t>
                  </w:r>
                </w:p>
                <w:p w14:paraId="1724CC4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建设项目占用黑土地的，应当按照规定的标准对耕作层的土壤进行剥离。剥离的黑土应当就近用于新开垦耕地和劣质耕地改良、被污染耕地的治理、高标准农田建设、土地复垦等。建设项目主体应当制定剥离黑土的再利用方案，报自然资源主管部门备案。</w:t>
                  </w:r>
                </w:p>
              </w:tc>
              <w:tc>
                <w:tcPr>
                  <w:tcW w:w="1391" w:type="pct"/>
                  <w:tcBorders>
                    <w:tl2br w:val="nil"/>
                    <w:tr2bl w:val="nil"/>
                  </w:tcBorders>
                  <w:shd w:val="clear" w:color="auto" w:fill="auto"/>
                  <w:vAlign w:val="center"/>
                </w:tcPr>
                <w:p w14:paraId="5DCDCB60">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本项目线路路径较短，基本按照最短路径进行架设，已在设计阶段减少了对于黑土地的占用，且</w:t>
                  </w:r>
                  <w:r>
                    <w:rPr>
                      <w:rFonts w:hint="default" w:ascii="Times New Roman" w:hAnsi="Times New Roman" w:eastAsia="宋体" w:cs="Times New Roman"/>
                      <w:color w:val="000000" w:themeColor="text1"/>
                      <w:sz w:val="21"/>
                      <w:szCs w:val="21"/>
                      <w14:textFill>
                        <w14:solidFill>
                          <w14:schemeClr w14:val="tx1"/>
                        </w14:solidFill>
                      </w14:textFill>
                    </w:rPr>
                    <w:t>避让优质黑土地</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14:textFill>
                        <w14:solidFill>
                          <w14:schemeClr w14:val="tx1"/>
                        </w14:solidFill>
                      </w14:textFill>
                    </w:rPr>
                    <w:t>剥离表土严格执行标准及规范规定。</w:t>
                  </w:r>
                </w:p>
              </w:tc>
              <w:tc>
                <w:tcPr>
                  <w:tcW w:w="557" w:type="pct"/>
                  <w:tcBorders>
                    <w:tl2br w:val="nil"/>
                    <w:tr2bl w:val="nil"/>
                  </w:tcBorders>
                  <w:vAlign w:val="center"/>
                </w:tcPr>
                <w:p w14:paraId="0E75B83E">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符合</w:t>
                  </w:r>
                </w:p>
              </w:tc>
            </w:tr>
            <w:tr w14:paraId="19AD6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tcBorders>
                    <w:tl2br w:val="nil"/>
                    <w:tr2bl w:val="nil"/>
                  </w:tcBorders>
                  <w:shd w:val="clear" w:color="auto" w:fill="auto"/>
                  <w:vAlign w:val="center"/>
                </w:tcPr>
                <w:p w14:paraId="7B6F2645">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2712" w:type="pct"/>
                  <w:tcBorders>
                    <w:tl2br w:val="nil"/>
                    <w:tr2bl w:val="nil"/>
                  </w:tcBorders>
                  <w:shd w:val="clear" w:color="auto" w:fill="auto"/>
                  <w:vAlign w:val="center"/>
                </w:tcPr>
                <w:p w14:paraId="0C7568F1">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农业投入品生产者、经营者和使用者应当依法对农药、肥料、农用薄膜等农业投入品的包装物、废弃物进行回收以及资源化利用或者无害化处理，不得随意丢弃，防止黑土地污染。</w:t>
                  </w:r>
                </w:p>
              </w:tc>
              <w:tc>
                <w:tcPr>
                  <w:tcW w:w="1391" w:type="pct"/>
                  <w:tcBorders>
                    <w:tl2br w:val="nil"/>
                    <w:tr2bl w:val="nil"/>
                  </w:tcBorders>
                  <w:shd w:val="clear" w:color="auto" w:fill="auto"/>
                  <w:vAlign w:val="center"/>
                </w:tcPr>
                <w:p w14:paraId="0515DB8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严格落实本评价提出的生态环境保护措施后，项目建设对生态环境影响较小。</w:t>
                  </w:r>
                </w:p>
              </w:tc>
              <w:tc>
                <w:tcPr>
                  <w:tcW w:w="557" w:type="pct"/>
                  <w:tcBorders>
                    <w:tl2br w:val="nil"/>
                    <w:tr2bl w:val="nil"/>
                  </w:tcBorders>
                  <w:vAlign w:val="center"/>
                </w:tcPr>
                <w:p w14:paraId="3A62489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符合</w:t>
                  </w:r>
                </w:p>
              </w:tc>
            </w:tr>
          </w:tbl>
          <w:p w14:paraId="400729C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2" w:firstLineChars="200"/>
              <w:textAlignment w:val="auto"/>
              <w:rPr>
                <w:rFonts w:hint="eastAsia"/>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8</w:t>
            </w:r>
            <w:r>
              <w:rPr>
                <w:rFonts w:hint="eastAsia"/>
                <w:b/>
                <w:bCs/>
                <w:color w:val="000000" w:themeColor="text1"/>
                <w:sz w:val="24"/>
                <w14:textFill>
                  <w14:solidFill>
                    <w14:schemeClr w14:val="tx1"/>
                  </w14:solidFill>
                </w14:textFill>
              </w:rPr>
              <w:t>、《输变电建设项目环境保护技术要求》符合性分析</w:t>
            </w:r>
          </w:p>
          <w:p w14:paraId="3F32B242">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本报告表已依照《输变电建设项目环境保护技术要求》（HJ 1113-2020）及相关标准要求对项目施工期、营运期的水环境、声环境、生态环境等提出了防护措施。在实施本报表提出的相应环境保护措施后，本项目可以满足《输变电建设项目环境保护技术要求》中相关要求，符合性分析见表1-</w:t>
            </w:r>
            <w:r>
              <w:rPr>
                <w:rFonts w:hint="eastAsia" w:cs="Times New Roman"/>
                <w:color w:val="000000" w:themeColor="text1"/>
                <w:kern w:val="2"/>
                <w:sz w:val="24"/>
                <w:szCs w:val="24"/>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w:t>
            </w:r>
          </w:p>
          <w:p w14:paraId="5A152A5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表 1-5 与《输变电建设项目环境保护技术要求》符合性分析一览表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531"/>
              <w:gridCol w:w="4200"/>
              <w:gridCol w:w="1780"/>
            </w:tblGrid>
            <w:tr w14:paraId="5CB67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01DCE4CC">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序号</w:t>
                  </w:r>
                </w:p>
              </w:tc>
              <w:tc>
                <w:tcPr>
                  <w:tcW w:w="4731" w:type="dxa"/>
                  <w:gridSpan w:val="2"/>
                  <w:vAlign w:val="center"/>
                </w:tcPr>
                <w:p w14:paraId="38E714DE">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文件要求</w:t>
                  </w:r>
                </w:p>
              </w:tc>
              <w:tc>
                <w:tcPr>
                  <w:tcW w:w="1780" w:type="dxa"/>
                  <w:vAlign w:val="center"/>
                </w:tcPr>
                <w:p w14:paraId="7295DDCB">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符合性分析</w:t>
                  </w:r>
                </w:p>
              </w:tc>
            </w:tr>
            <w:tr w14:paraId="79AA0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4D5841E8">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531" w:type="dxa"/>
                  <w:vAlign w:val="center"/>
                </w:tcPr>
                <w:p w14:paraId="0F3E2C48">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选址选线</w:t>
                  </w:r>
                </w:p>
              </w:tc>
              <w:tc>
                <w:tcPr>
                  <w:tcW w:w="4200" w:type="dxa"/>
                  <w:vAlign w:val="center"/>
                </w:tcPr>
                <w:p w14:paraId="018EFAA2">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5.1 工程选址选线应符合规划环境影响评价文件的要求。</w:t>
                  </w:r>
                </w:p>
                <w:p w14:paraId="74BA14C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5.2 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p w14:paraId="72140FB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5.3 变电工程在选址时应按终期规模综合考虑进出线走廊规划，避免进出线进入自然保护区、饮用水水源保护区等环境敏感区。</w:t>
                  </w:r>
                </w:p>
                <w:p w14:paraId="17E93A23">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5.4 户外变电工程及规划架空进出线选址选线时，应关注以居住、医疗卫生、文化教育、科研、行政办公等为主要功能的区域，采取综合措施，减少电磁和声环境影响。</w:t>
                  </w:r>
                </w:p>
                <w:p w14:paraId="2F2F510F">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 同一走廊内的多回输电线路，宜采取同塔多回架设、并行架设等形式，减少新开辟走廊，优化线路走廊间距，降低环境影响。</w:t>
                  </w:r>
                </w:p>
                <w:p w14:paraId="0BB0B6B2">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 原则上避免在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类声环境功能区建设变电工程。</w:t>
                  </w:r>
                </w:p>
                <w:p w14:paraId="0C7594D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5.7 变电工程选址时，应综合考虑减少土地占用、植被砍伐和弃土弃渣等，以减少对生态环境的不利影响。</w:t>
                  </w:r>
                </w:p>
                <w:p w14:paraId="57AAAA5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5.8输电线路宜避让集中林区，以减少林木砍伐，保护生态环境。</w:t>
                  </w:r>
                </w:p>
                <w:p w14:paraId="580FB7E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5.9 进入自然保护区的输电线路，应按照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 xml:space="preserve">HJ 19 </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的要求开展生态现状调查，避让保护对象的集中分布区。</w:t>
                  </w:r>
                </w:p>
              </w:tc>
              <w:tc>
                <w:tcPr>
                  <w:tcW w:w="1780" w:type="dxa"/>
                  <w:vAlign w:val="center"/>
                </w:tcPr>
                <w:p w14:paraId="0CAFC8B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本项目不涉及</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自然</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保护区、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用水水源保护区、风景名胜区等环境敏感区，同时避开了以居住、医疗卫生、文化教育、科研、行政办公等为主要功能的区域</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；项目所在地</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不涉及0类声环境功能区，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不涉及</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集中林区。</w:t>
                  </w:r>
                </w:p>
              </w:tc>
            </w:tr>
            <w:tr w14:paraId="7965A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6B9EB10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531" w:type="dxa"/>
                  <w:vAlign w:val="center"/>
                </w:tcPr>
                <w:p w14:paraId="59DD292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设计</w:t>
                  </w:r>
                </w:p>
              </w:tc>
              <w:tc>
                <w:tcPr>
                  <w:tcW w:w="4200" w:type="dxa"/>
                  <w:vAlign w:val="center"/>
                </w:tcPr>
                <w:p w14:paraId="1A6CB79A">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 总体要求</w:t>
                  </w:r>
                </w:p>
                <w:p w14:paraId="5601E6AF">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6.1.1 输变电建设项目的初步设计、施工图设计文件中应包含相关的环境保护内容，编制环境保护篇章、开展环境保护专项设计，落实防治环境污染和生态破坏的措施、设施及相应资金。</w:t>
                  </w:r>
                </w:p>
                <w:p w14:paraId="306A4263">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6.1.2 改建、扩建输变电建设项目应采取措施，治理与该项目有关的原有环境污染和生态破坏。</w:t>
                  </w:r>
                </w:p>
                <w:p w14:paraId="4906D05F">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6.1.3 输电线路进入自然保护区实验区、饮用水水源二级保护区等环境敏感区时，应采取塔基定位避让、减少进入长度、控制导线高度等环境保护措施，减少对环境保护对象的不利影响。</w:t>
                  </w:r>
                </w:p>
                <w:p w14:paraId="2E807607">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6.1.4 变电工程应设置足够容量的事故油池及其配套的拦截、防雨、防渗等措施和设施。一旦发生泄漏，应能及时进行拦截和处理，确保油及油水混合物全部收集、不外排。</w:t>
                  </w:r>
                </w:p>
              </w:tc>
              <w:tc>
                <w:tcPr>
                  <w:tcW w:w="1780" w:type="dxa"/>
                  <w:vAlign w:val="center"/>
                </w:tcPr>
                <w:p w14:paraId="1593ECA2">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本项目设计符合要求。输电线路不进入生态保护红线。</w:t>
                  </w:r>
                </w:p>
              </w:tc>
            </w:tr>
            <w:tr w14:paraId="46AE8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43F9539E">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531" w:type="dxa"/>
                  <w:vAlign w:val="center"/>
                </w:tcPr>
                <w:p w14:paraId="692BB57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电磁环境保护</w:t>
                  </w:r>
                </w:p>
              </w:tc>
              <w:tc>
                <w:tcPr>
                  <w:tcW w:w="4200" w:type="dxa"/>
                  <w:vAlign w:val="center"/>
                </w:tcPr>
                <w:p w14:paraId="13157275">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6.2.1 工程设计应对产生的工频电场、工频磁场、直流合成电场等电磁环境影响因子进行验算，采取相应防护措施，确保电磁环境影响满足国家标准要求。</w:t>
                  </w:r>
                </w:p>
                <w:p w14:paraId="3EE867F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6.2.2 输电线路设计应因地制宜选择线路型式、架设高度、杆塔塔型、导线参数、相序布置等，减少电磁环境影响。</w:t>
                  </w:r>
                </w:p>
                <w:p w14:paraId="10F0847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6.2.3 架空输电线路经过电磁环境敏感目标时，应采取避让或增加导线对地高度等措施，减少电磁环境影响。</w:t>
                  </w:r>
                </w:p>
                <w:p w14:paraId="5A16674B">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6.2.4 新建城市电力线路在市中心地区、高层建筑群区、市区主干路、人口密集区、繁华街道等区域应采用地下电缆，减少电磁环境影响。</w:t>
                  </w:r>
                </w:p>
                <w:p w14:paraId="7783887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6.2.5 变电工程的布置设计应考虑进出线对周围电磁环境的影响。</w:t>
                  </w:r>
                </w:p>
                <w:p w14:paraId="7A6D36DE">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6.2.6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330kV</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及以上电压等级的输电线路出现交叉跨越或并行时，应考虑其对电磁环境敏感目标的综合影响。</w:t>
                  </w:r>
                </w:p>
              </w:tc>
              <w:tc>
                <w:tcPr>
                  <w:tcW w:w="1780" w:type="dxa"/>
                  <w:vAlign w:val="center"/>
                </w:tcPr>
                <w:p w14:paraId="2762EEBE">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本项目采取了电磁环境防护措施，经预测分析，本项目建设完成后电磁环境可以满足《电磁环境控制限值》（GB 8702-2014）要求；</w:t>
                  </w:r>
                </w:p>
              </w:tc>
            </w:tr>
            <w:tr w14:paraId="69EAD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0ED1C467">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531" w:type="dxa"/>
                  <w:vAlign w:val="center"/>
                </w:tcPr>
                <w:p w14:paraId="4BEEF310">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声环境保护</w:t>
                  </w:r>
                </w:p>
              </w:tc>
              <w:tc>
                <w:tcPr>
                  <w:tcW w:w="4200" w:type="dxa"/>
                  <w:vAlign w:val="center"/>
                </w:tcPr>
                <w:p w14:paraId="64885BD3">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6.3.1 变电工程噪声控制设计应首先从噪声源强上进行控制，选择低噪声设备；对于声源上无法根治的噪声，应采用隔声、吸声、消声、防振、减振等降噪措施，确保厂界排放噪声和周围声环境敏感目标分别满足</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GB12348</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和</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GB3096</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要求。</w:t>
                  </w:r>
                </w:p>
                <w:p w14:paraId="69888BEF">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6.3.2 户外变电工程总体布置应综合考虑声环境影响因素，合理规划，利用建筑物、地形等阻挡噪声传播，减少对声环境敏感目标的影响。</w:t>
                  </w:r>
                </w:p>
                <w:p w14:paraId="46B96DC4">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6.3.3 户外变电工程在设计过程中应进行平面布置优化，将主变压器、换流变压器、高压电抗器等主要声源设备布置在站址中央区域或远离站外声环境敏感目标侧的区域。</w:t>
                  </w:r>
                </w:p>
                <w:p w14:paraId="6AD9CF17">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6.3.4 变电工程位于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类或周围噪声敏感建筑物较多的</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类声环境功能区时，建设单位应严格控制主变压器、换流变压器、高压电抗器等主要噪声源的噪声水平，并在满足</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GB12348</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的基础上保留适当裕度。</w:t>
                  </w:r>
                </w:p>
                <w:p w14:paraId="1821C24F">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6.3.5位于城市规划区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类声环境功能区的变电站应采用全户内布置方式。位于城市规划区其他声环境功能区的变电工程，可采取户内、半户内等环境影响较小的布置型式。</w:t>
                  </w:r>
                </w:p>
                <w:p w14:paraId="25CD0327">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6.3.6 变电工程应采取降低低频噪声影响的防治措施，以减少噪声扰民。</w:t>
                  </w:r>
                </w:p>
              </w:tc>
              <w:tc>
                <w:tcPr>
                  <w:tcW w:w="1780" w:type="dxa"/>
                  <w:vAlign w:val="center"/>
                </w:tcPr>
                <w:p w14:paraId="237979E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本项目输电线路不经过0类声环境功能区，声环境敏感目标处</w:t>
                  </w:r>
                  <w:r>
                    <w:rPr>
                      <w:rFonts w:hint="eastAsia" w:cs="Times New Roman"/>
                      <w:color w:val="FF0000"/>
                      <w:sz w:val="21"/>
                      <w:szCs w:val="21"/>
                      <w:lang w:val="en-US" w:eastAsia="zh-CN"/>
                    </w:rPr>
                    <w:t>及</w:t>
                  </w:r>
                  <w:r>
                    <w:rPr>
                      <w:rFonts w:hint="eastAsia" w:ascii="Times New Roman" w:hAnsi="Times New Roman" w:eastAsia="宋体" w:cs="Times New Roman"/>
                      <w:color w:val="FF0000"/>
                      <w:sz w:val="21"/>
                      <w:szCs w:val="21"/>
                      <w:lang w:val="en-US" w:eastAsia="zh-CN"/>
                    </w:rPr>
                    <w:t>改造输电线路沿线噪声满足《声环境质量标准》（GB 3096-2008）中2类标准</w:t>
                  </w:r>
                  <w:r>
                    <w:rPr>
                      <w:rFonts w:hint="eastAsia" w:cs="Times New Roman"/>
                      <w:color w:val="FF0000"/>
                      <w:sz w:val="21"/>
                      <w:szCs w:val="21"/>
                      <w:lang w:val="en-US" w:eastAsia="zh-CN"/>
                    </w:rPr>
                    <w:t>及4a</w:t>
                  </w:r>
                  <w:r>
                    <w:rPr>
                      <w:rFonts w:hint="eastAsia" w:ascii="Times New Roman" w:hAnsi="Times New Roman" w:eastAsia="宋体" w:cs="Times New Roman"/>
                      <w:color w:val="FF0000"/>
                      <w:sz w:val="21"/>
                      <w:szCs w:val="21"/>
                      <w:lang w:val="en-US" w:eastAsia="zh-CN"/>
                    </w:rPr>
                    <w:t>类标准。</w:t>
                  </w:r>
                  <w:r>
                    <w:rPr>
                      <w:rFonts w:hint="eastAsia" w:cs="Times New Roman"/>
                      <w:color w:val="FF0000"/>
                      <w:sz w:val="21"/>
                      <w:szCs w:val="21"/>
                      <w:lang w:val="en-US" w:eastAsia="zh-CN"/>
                    </w:rPr>
                    <w:t>新建输电线路</w:t>
                  </w:r>
                  <w:r>
                    <w:rPr>
                      <w:rFonts w:hint="eastAsia" w:ascii="Times New Roman" w:hAnsi="Times New Roman" w:eastAsia="宋体" w:cs="Times New Roman"/>
                      <w:color w:val="FF0000"/>
                      <w:sz w:val="21"/>
                      <w:szCs w:val="21"/>
                      <w:lang w:val="en-US" w:eastAsia="zh-CN"/>
                    </w:rPr>
                    <w:t>噪声满足《声环境质量标准》（GB 3096-2008）中</w:t>
                  </w:r>
                  <w:r>
                    <w:rPr>
                      <w:rFonts w:hint="eastAsia" w:cs="Times New Roman"/>
                      <w:color w:val="FF0000"/>
                      <w:sz w:val="21"/>
                      <w:szCs w:val="21"/>
                      <w:lang w:val="en-US" w:eastAsia="zh-CN"/>
                    </w:rPr>
                    <w:t>1</w:t>
                  </w:r>
                  <w:r>
                    <w:rPr>
                      <w:rFonts w:hint="eastAsia" w:ascii="Times New Roman" w:hAnsi="Times New Roman" w:eastAsia="宋体" w:cs="Times New Roman"/>
                      <w:color w:val="FF0000"/>
                      <w:sz w:val="21"/>
                      <w:szCs w:val="21"/>
                      <w:lang w:val="en-US" w:eastAsia="zh-CN"/>
                    </w:rPr>
                    <w:t>类标准。</w:t>
                  </w:r>
                </w:p>
              </w:tc>
            </w:tr>
            <w:tr w14:paraId="2064C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7D3CE11C">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p>
              </w:tc>
              <w:tc>
                <w:tcPr>
                  <w:tcW w:w="531" w:type="dxa"/>
                  <w:vAlign w:val="center"/>
                </w:tcPr>
                <w:p w14:paraId="71CF98C0">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生态环境保护</w:t>
                  </w:r>
                </w:p>
              </w:tc>
              <w:tc>
                <w:tcPr>
                  <w:tcW w:w="4200" w:type="dxa"/>
                  <w:vAlign w:val="center"/>
                </w:tcPr>
                <w:p w14:paraId="2E60C5F0">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6.4.1 输变电建设项目在设计过程中应按照避让、减缓、恢复的次序提出生态影响防护与恢复的措施。</w:t>
                  </w:r>
                </w:p>
                <w:p w14:paraId="7B42C9EB">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6.4.2 输电线路应因地制宜合理选择塔基基础，在山丘区应采用全方位长短腿与不等高基础设计，以减少土石方开挖。输电线路无法避让集中林区时，应采取控制导线高度设计，以减少林木砍伐，保护生态环境。</w:t>
                  </w:r>
                </w:p>
                <w:p w14:paraId="3F0F6501">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6.4.3 输变电建设项目临时占地，应因地制宜进行土地功能恢复设计。</w:t>
                  </w:r>
                </w:p>
                <w:p w14:paraId="17ECA98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6.4.4 进入自然保护区的输电线路，应根据生态现状调查结果，制定相应的保护方案。塔基定位应避让珍稀濒危物种、保护植物和保护动物的栖息地，根据保护对象的特性设计相应的生态环境保护措施、设施等。</w:t>
                  </w:r>
                </w:p>
              </w:tc>
              <w:tc>
                <w:tcPr>
                  <w:tcW w:w="1780" w:type="dxa"/>
                  <w:vAlign w:val="center"/>
                </w:tcPr>
                <w:p w14:paraId="35FBCD9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时占地在工程使用期结束后恢复原地类，临时施工道路进行表土剥离，施工结束后按要求回覆，</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基本</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不会对项目区周围</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生态环境</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造成影响。</w:t>
                  </w:r>
                </w:p>
              </w:tc>
            </w:tr>
            <w:tr w14:paraId="77F89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41CF7D1E">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w:t>
                  </w:r>
                </w:p>
              </w:tc>
              <w:tc>
                <w:tcPr>
                  <w:tcW w:w="531" w:type="dxa"/>
                  <w:vAlign w:val="center"/>
                </w:tcPr>
                <w:p w14:paraId="0D207C35">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水环境保护</w:t>
                  </w:r>
                </w:p>
              </w:tc>
              <w:tc>
                <w:tcPr>
                  <w:tcW w:w="4200" w:type="dxa"/>
                  <w:vAlign w:val="center"/>
                </w:tcPr>
                <w:p w14:paraId="6C7D0A70">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6.5.1 变电工程应采取节水措施，加强水的重复利用，减少废（污）水排放。雨水和生活污水应采取分流制。</w:t>
                  </w:r>
                </w:p>
                <w:p w14:paraId="6D450278">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6.5.2 变电工程站内产生的生活污水宜考虑处理后纳入城市污水管网；不具备纳入城市污水管网条件的变电工程，应根据站内生活污水产生情况设置生活污水处理装置（化粪池、地下式污水处理装置、回用水池、蒸发池等），生活污水经处理后回收利用、定期清理或外排，外排时应严格执行相应的国家和地方水污染物排放标准相关要求。</w:t>
                  </w:r>
                </w:p>
                <w:p w14:paraId="1F062191">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6.5.3 换流站循环冷却水处理应选择对环境污染小的阻垢剂、缓蚀剂等，循环冷却水外排时应严格执行相应的国家和地方水污染物排放标准相关要求。</w:t>
                  </w:r>
                </w:p>
              </w:tc>
              <w:tc>
                <w:tcPr>
                  <w:tcW w:w="1780" w:type="dxa"/>
                  <w:vAlign w:val="center"/>
                </w:tcPr>
                <w:p w14:paraId="6C798527">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本项目输电线路运营期不产生生活污水。</w:t>
                  </w:r>
                </w:p>
              </w:tc>
            </w:tr>
            <w:tr w14:paraId="28B2D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3F87ED48">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w:t>
                  </w:r>
                </w:p>
              </w:tc>
              <w:tc>
                <w:tcPr>
                  <w:tcW w:w="531" w:type="dxa"/>
                  <w:vAlign w:val="center"/>
                </w:tcPr>
                <w:p w14:paraId="28EFEB3E">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施工</w:t>
                  </w:r>
                </w:p>
              </w:tc>
              <w:tc>
                <w:tcPr>
                  <w:tcW w:w="4200" w:type="dxa"/>
                  <w:vAlign w:val="center"/>
                </w:tcPr>
                <w:p w14:paraId="5C127C37">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7.1 总体要求</w:t>
                  </w:r>
                </w:p>
                <w:p w14:paraId="2B0AEC2E">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7.1.1 输变电建设项目施工应落实设计文件、环境影响评价文件及其审批部门审批决定中提出的环境保护要求。设备采购和施工合同中应明确环境保护要求，环境保护措施的实施和环境保护设施的施工安装质量应符合设计和技术协议书、相关标准的要求。</w:t>
                  </w:r>
                </w:p>
                <w:p w14:paraId="2CD99F9A">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7.1.2 进入自然保护区和饮用水水源保护区等环境敏感区的输电线路，建设单位应加强施工过程的管理，开展环境保护培训，明确保护对象和保护要求，严格控制施工影响范围，确定适宜的施工季节和施工方式，减少对环境保护对象的不利影响。</w:t>
                  </w:r>
                </w:p>
                <w:p w14:paraId="491EB00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7.2 声环境保护</w:t>
                  </w:r>
                </w:p>
                <w:p w14:paraId="19BFAFAC">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7.2.1 变电工程施工过程中场界环境噪声排放应满足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 xml:space="preserve">GB 12523 </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中的要求。</w:t>
                  </w:r>
                </w:p>
                <w:p w14:paraId="77C41C8A">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7.2.2 在城市市区噪声敏感建筑物集中区域内，禁止夜间进行产生环境噪声污染的建筑施工作业，但抢修、抢险作业和因生产工艺上要求或者特殊需要必须连续作业的除外。夜间作业必须公告附近居民。</w:t>
                  </w:r>
                </w:p>
                <w:p w14:paraId="0ACB39B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 生态环境保护</w:t>
                  </w:r>
                </w:p>
                <w:p w14:paraId="684D74F0">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7.3.1 输变电建设项目施工期临时用地应永临结合，优先利用荒地、劣地。</w:t>
                  </w:r>
                </w:p>
                <w:p w14:paraId="518B2FF1">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7.3.2 输变电建设项目施工占用耕地、园地、林地和草地，应做好表土剥离、分类存放和回填利用。</w:t>
                  </w:r>
                </w:p>
                <w:p w14:paraId="1D23E623">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7.3.3 进入自然保护区的输电线路，应落实环境影响评价文件和设计阶段制定的生态环境保护方案。施工时宜采用飞艇、动力伞、无人机等展放线，索道运输、人畜运输材料等对生态环境破坏较小的施工工艺。</w:t>
                  </w:r>
                </w:p>
                <w:p w14:paraId="004168FF">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7.3.4 进入自然保护区的输电线路，应对工程影响区域内的保护植物进行就地保护，设置围栏和植物保护警示牌。不能避让需异地保护时，应选择适宜的生境进行植株移栽，并确保移栽成活率。</w:t>
                  </w:r>
                </w:p>
                <w:p w14:paraId="4CA5307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7.3.5 进入自然保护区的输电线路，应选择合理施工时间，避开保护动物的重要生理活动期。施工区发现有保护动物时应暂停施工，并实施保护方案。</w:t>
                  </w:r>
                </w:p>
                <w:p w14:paraId="0BD0B7C5">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7.3.6 施工临时道路应尽可能利用机耕路、林区小路等现有道路，新建道路应严格控制道路宽度，以减少临时工程对生态环境的影响。</w:t>
                  </w:r>
                </w:p>
                <w:p w14:paraId="56B8D1D7">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7.3.7 施工现场使用带油料的机械器具，应采取措施防止油料跑、冒、滴、漏，防止对土壤和水体造成污染。</w:t>
                  </w:r>
                </w:p>
                <w:p w14:paraId="47973FE4">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7.3.8 施工结束后，应及时清理施工现场，因地制宜进行土地功能恢复。</w:t>
                  </w:r>
                </w:p>
                <w:p w14:paraId="59979924">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7.4 水环境保护</w:t>
                  </w:r>
                </w:p>
                <w:p w14:paraId="6866CC3C">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7.4.1 在饮用水水源保护区和其他水体保护区内或附近施工时，应加强管理，做好污水防治措施，确保水环境不受影响。</w:t>
                  </w:r>
                </w:p>
                <w:p w14:paraId="3A0D5358">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7.4.2 施工期间禁止向水体排放、倾倒垃圾、弃土、弃渣，禁止排放未经处理的钻浆等废弃物。</w:t>
                  </w:r>
                </w:p>
                <w:p w14:paraId="36C577E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7.4.3 变电工程施工现场临时厕所的化粪池应进行防渗处理。</w:t>
                  </w:r>
                </w:p>
                <w:p w14:paraId="261E0911">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7.5 大气环境保护</w:t>
                  </w:r>
                </w:p>
                <w:p w14:paraId="7B7CD9CA">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7.5.1 施工过程中，应当加强对施工现场和物料运输的管理，在施工工地设置硬质围挡，保持道路清洁，管控料堆和渣土堆放，防治扬尘污染。</w:t>
                  </w:r>
                </w:p>
                <w:p w14:paraId="04042A5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7.5.2 施工过程中，对易起尘的临时堆土、运输过程中的土石方等应采用密闭式防尘布（网）进行苫盖，施工面集中且有条件的地方宜采取洒水降尘等有效措施，减少易造成大气污染的施工作业。</w:t>
                  </w:r>
                </w:p>
                <w:p w14:paraId="566072C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7.5.3 施工过程中，建设单位应当对裸露地面进行覆盖；暂时不能开工的建设用地超过三个月的，应当进行绿化、铺装或者遮盖。</w:t>
                  </w:r>
                </w:p>
                <w:p w14:paraId="0D455055">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7.5.4 施工现场禁止将包装物、可燃垃圾等固体废弃物就地焚烧。</w:t>
                  </w:r>
                </w:p>
                <w:p w14:paraId="3D3D8273">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7.5.5 位于城市规划区内的输变电建设项目，施工扬尘污染的防治还应符合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 xml:space="preserve">HJ/T 393 </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的规定。</w:t>
                  </w:r>
                </w:p>
                <w:p w14:paraId="5D60C17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7.6 固体废物处置</w:t>
                  </w:r>
                </w:p>
                <w:p w14:paraId="6436377C">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7.6.1 施工过程中产生的土石方、建筑垃圾、生活垃圾应分类集中收集，并按国家和地方有关规定定期进行清运处置，施工完成后及时做好迹地清理工作。</w:t>
                  </w:r>
                </w:p>
                <w:p w14:paraId="4A2D023D">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7.6.2 在农田和经济作物区施工时，施工临时占地宜采取隔离保护措施，施工结束后应将混凝土余料和残渣及时清除，以免影响后期土地功能的恢复。</w:t>
                  </w:r>
                </w:p>
              </w:tc>
              <w:tc>
                <w:tcPr>
                  <w:tcW w:w="1780" w:type="dxa"/>
                  <w:vAlign w:val="center"/>
                </w:tcPr>
                <w:p w14:paraId="6BB07015">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本项目输电线路不进入自然保护区和饮用水水源保护区等环境敏感区，临时用地在工程施工期结束后恢复原地类。建设单位在施工前将耕地表土进行剥离并妥善储存，在施工完成后对临时占地进行表土恢复。</w:t>
                  </w:r>
                </w:p>
                <w:p w14:paraId="30620C82">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项目在施工期采取了妥善的大气、噪声、地表水、固废处置及生态保护措施，防止对周边环境造成影响。</w:t>
                  </w:r>
                </w:p>
              </w:tc>
            </w:tr>
            <w:tr w14:paraId="40B64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14:paraId="64238488">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w:t>
                  </w:r>
                </w:p>
              </w:tc>
              <w:tc>
                <w:tcPr>
                  <w:tcW w:w="531" w:type="dxa"/>
                  <w:vAlign w:val="center"/>
                </w:tcPr>
                <w:p w14:paraId="78D97B8B">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运行</w:t>
                  </w:r>
                </w:p>
              </w:tc>
              <w:tc>
                <w:tcPr>
                  <w:tcW w:w="4200" w:type="dxa"/>
                  <w:vAlign w:val="center"/>
                </w:tcPr>
                <w:p w14:paraId="15A136F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8.1 运行期做好环境保护设施的维护和运行管理，加强巡查和检查，保障发挥环境保护作用。定期开展环境监测，确保电磁、噪声、废水排放符合</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GB 8702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GB 12348</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 xml:space="preserve">GB 8978 </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等国家标准要求，并及时解决公众合理的环境保护诉求。</w:t>
                  </w:r>
                </w:p>
                <w:p w14:paraId="7BC61C9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8.2 鼓励位于城市中心区域的变电站开展电磁和声环境在线监测，监测结果以方便公众知晓的方式予以公开。</w:t>
                  </w:r>
                </w:p>
                <w:p w14:paraId="30583F29">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8.3 主要声源设备大修前后，应对变电工程厂界排放噪声和周围声环境敏感目标环境噪声进行监测，监测结果向社会公开。</w:t>
                  </w:r>
                </w:p>
                <w:p w14:paraId="259C0136">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8.4 运行期应对事故油池的完好情况进行检查，确保无渗漏、无溢流。</w:t>
                  </w:r>
                </w:p>
                <w:p w14:paraId="2E5A35E5">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8.5 变电工程运行过程中产生的变压器油、高抗油等矿物油应进行回收处理。废矿物油和废铅酸蓄电池作为危险废物应交由有资质的单位回收处理，严禁随意丢弃。不能立即回收处理的应暂存在危险废物暂存间或暂存区。</w:t>
                  </w:r>
                </w:p>
                <w:p w14:paraId="0DD71D64">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8.6 针对变电工程站内可能发生的突发环境事件，应按照</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HJ169</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等国家有关规定制定突发环境事件应急预案，并定期演练。</w:t>
                  </w:r>
                </w:p>
              </w:tc>
              <w:tc>
                <w:tcPr>
                  <w:tcW w:w="1780" w:type="dxa"/>
                  <w:vAlign w:val="center"/>
                </w:tcPr>
                <w:p w14:paraId="3CAC74B4">
                  <w:pPr>
                    <w:pStyle w:val="9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本项目运营期设置专人对设备和环境保护措施进行检修及维护；定期进行环境监测，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确保电磁、噪声排放符合GB 8702、GB 12348国家标准要求</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bl>
          <w:p w14:paraId="7546372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2" w:firstLineChars="200"/>
              <w:textAlignment w:val="auto"/>
              <w:rPr>
                <w:rFonts w:hint="eastAsia"/>
                <w:b/>
                <w:bCs/>
                <w:color w:val="FF0000"/>
                <w:sz w:val="24"/>
                <w:lang w:val="en-US" w:eastAsia="zh-CN"/>
              </w:rPr>
            </w:pPr>
            <w:r>
              <w:rPr>
                <w:rFonts w:hint="eastAsia" w:cs="Times New Roman"/>
                <w:b/>
                <w:bCs/>
                <w:color w:val="FF0000"/>
                <w:sz w:val="24"/>
                <w:lang w:val="en-US" w:eastAsia="zh-CN"/>
              </w:rPr>
              <w:t>9、</w:t>
            </w:r>
            <w:r>
              <w:rPr>
                <w:rFonts w:hint="eastAsia" w:ascii="Times New Roman" w:hAnsi="Times New Roman" w:eastAsia="宋体" w:cs="Times New Roman"/>
                <w:b/>
                <w:bCs/>
                <w:color w:val="FF0000"/>
                <w:sz w:val="24"/>
                <w:lang w:val="en-US" w:eastAsia="zh-CN"/>
              </w:rPr>
              <w:t>《黑龙江省人民政府办公厅关于建设占用耕地耕作层土壤剥离利用工作的指导意见（试行）》（黑政规办</w:t>
            </w:r>
            <w:r>
              <w:rPr>
                <w:rFonts w:hint="eastAsia"/>
                <w:b/>
                <w:bCs/>
                <w:color w:val="FF0000"/>
                <w:kern w:val="0"/>
                <w:sz w:val="24"/>
              </w:rPr>
              <w:t>〔</w:t>
            </w:r>
            <w:r>
              <w:rPr>
                <w:rFonts w:hint="eastAsia" w:ascii="Times New Roman" w:hAnsi="Times New Roman" w:eastAsia="宋体" w:cs="Times New Roman"/>
                <w:b/>
                <w:bCs/>
                <w:color w:val="FF0000"/>
                <w:sz w:val="24"/>
                <w:lang w:val="en-US" w:eastAsia="zh-CN"/>
              </w:rPr>
              <w:t>2021</w:t>
            </w:r>
            <w:r>
              <w:rPr>
                <w:rFonts w:hint="eastAsia"/>
                <w:b/>
                <w:bCs/>
                <w:color w:val="FF0000"/>
                <w:kern w:val="0"/>
                <w:sz w:val="24"/>
              </w:rPr>
              <w:t>〕</w:t>
            </w:r>
            <w:r>
              <w:rPr>
                <w:rFonts w:hint="eastAsia" w:ascii="Times New Roman" w:hAnsi="Times New Roman" w:eastAsia="宋体" w:cs="Times New Roman"/>
                <w:b/>
                <w:bCs/>
                <w:color w:val="FF0000"/>
                <w:sz w:val="24"/>
                <w:lang w:val="en-US" w:eastAsia="zh-CN"/>
              </w:rPr>
              <w:t>18号）</w:t>
            </w:r>
            <w:r>
              <w:rPr>
                <w:rFonts w:hint="eastAsia"/>
                <w:b/>
                <w:bCs/>
                <w:color w:val="FF0000"/>
                <w:sz w:val="24"/>
                <w:lang w:val="en-US" w:eastAsia="zh-CN"/>
              </w:rPr>
              <w:t>符合性分析</w:t>
            </w:r>
          </w:p>
          <w:p w14:paraId="0256F0B2">
            <w:pPr>
              <w:pStyle w:val="2"/>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kern w:val="2"/>
                <w:sz w:val="24"/>
                <w:szCs w:val="24"/>
                <w:lang w:val="en-US" w:eastAsia="zh-CN" w:bidi="ar-SA"/>
              </w:rPr>
            </w:pPr>
            <w:r>
              <w:rPr>
                <w:rFonts w:hint="eastAsia" w:ascii="Times New Roman" w:hAnsi="Times New Roman" w:eastAsia="宋体" w:cs="Times New Roman"/>
                <w:b w:val="0"/>
                <w:bCs w:val="0"/>
                <w:color w:val="FF0000"/>
                <w:kern w:val="2"/>
                <w:sz w:val="24"/>
                <w:szCs w:val="24"/>
                <w:lang w:val="en-US" w:eastAsia="zh-CN" w:bidi="ar-SA"/>
              </w:rPr>
              <w:t>为保护黑龙江省耕地资源，规范黑龙江省建设占用耕地耕作层土壤剥离利用工作，实现优质土壤资源的保护和可持续利用，提高黑土资源利用效率、确保粮食综合生产能力、推进区域生态环境改善为目标，通过建立一套涵盖耕作层土壤剥离、运输、存储、管理、交易、使用等全过程的工作制度机制，规范全省建设占用耕地耕作层土壤剥离利用工作，促进我省优质黑土资源得到科学合理保护利用，切实保护好黑土地这个“耕地中的大熊猫”，为全省乡村振兴战略实施和龙江全面振兴全方位振兴提供基础保障。</w:t>
            </w:r>
          </w:p>
          <w:p w14:paraId="76E0F6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kern w:val="2"/>
                <w:sz w:val="24"/>
                <w:szCs w:val="24"/>
                <w:highlight w:val="none"/>
                <w:lang w:val="en-US" w:eastAsia="zh-CN" w:bidi="ar-SA"/>
              </w:rPr>
            </w:pPr>
            <w:r>
              <w:rPr>
                <w:rFonts w:hint="default" w:ascii="Times New Roman" w:hAnsi="Times New Roman" w:eastAsia="宋体" w:cs="Times New Roman"/>
                <w:b w:val="0"/>
                <w:bCs w:val="0"/>
                <w:color w:val="FF0000"/>
                <w:kern w:val="2"/>
                <w:sz w:val="24"/>
                <w:szCs w:val="24"/>
                <w:lang w:val="en-US" w:eastAsia="zh-CN" w:bidi="ar-SA"/>
              </w:rPr>
              <w:t>本项目属于输变电项目，依托原有站址进行变电站间隔扩建新增永久占地</w:t>
            </w:r>
            <w:r>
              <w:rPr>
                <w:rFonts w:hint="eastAsia" w:cs="Times New Roman"/>
                <w:color w:val="FF0000"/>
                <w:sz w:val="24"/>
                <w:vertAlign w:val="baseline"/>
                <w:lang w:val="en-US" w:eastAsia="zh-CN"/>
              </w:rPr>
              <w:t>，</w:t>
            </w:r>
            <w:r>
              <w:rPr>
                <w:rFonts w:hint="eastAsia" w:cs="Times New Roman"/>
                <w:b w:val="0"/>
                <w:bCs w:val="0"/>
                <w:color w:val="FF0000"/>
                <w:kern w:val="2"/>
                <w:sz w:val="24"/>
                <w:szCs w:val="24"/>
                <w:lang w:val="en-US" w:eastAsia="zh-CN" w:bidi="ar-SA"/>
              </w:rPr>
              <w:t>占地为耕地（一般农田）；</w:t>
            </w:r>
            <w:r>
              <w:rPr>
                <w:rFonts w:hint="eastAsia" w:ascii="Times New Roman" w:hAnsi="Times New Roman" w:eastAsia="宋体" w:cs="Times New Roman"/>
                <w:b w:val="0"/>
                <w:bCs w:val="0"/>
                <w:color w:val="FF0000"/>
                <w:kern w:val="2"/>
                <w:sz w:val="24"/>
                <w:szCs w:val="24"/>
                <w:lang w:val="en-US" w:eastAsia="zh-CN" w:bidi="ar-SA"/>
              </w:rPr>
              <w:t>线路工程</w:t>
            </w:r>
            <w:r>
              <w:rPr>
                <w:rFonts w:hint="eastAsia" w:cs="Times New Roman"/>
                <w:b w:val="0"/>
                <w:bCs w:val="0"/>
                <w:color w:val="FF0000"/>
                <w:kern w:val="2"/>
                <w:sz w:val="24"/>
                <w:szCs w:val="24"/>
                <w:lang w:val="en-US" w:eastAsia="zh-CN" w:bidi="ar-SA"/>
              </w:rPr>
              <w:t>永久占地与临时占地为耕地（一般农田、基本农田）、林地（其他林地）和草地（其他草地）。</w:t>
            </w:r>
            <w:r>
              <w:rPr>
                <w:rFonts w:hint="eastAsia" w:ascii="Times New Roman" w:hAnsi="Times New Roman" w:eastAsia="宋体" w:cs="Times New Roman"/>
                <w:b w:val="0"/>
                <w:bCs w:val="0"/>
                <w:color w:val="FF0000"/>
                <w:kern w:val="2"/>
                <w:sz w:val="24"/>
                <w:szCs w:val="24"/>
                <w:lang w:val="en-US" w:eastAsia="zh-CN" w:bidi="ar-SA"/>
              </w:rPr>
              <w:t>在施工过程中对耕作层土壤进行具体措施分析</w:t>
            </w:r>
            <w:r>
              <w:rPr>
                <w:rFonts w:hint="eastAsia" w:cs="Times New Roman"/>
                <w:b w:val="0"/>
                <w:bCs w:val="0"/>
                <w:color w:val="FF0000"/>
                <w:kern w:val="2"/>
                <w:sz w:val="24"/>
                <w:szCs w:val="24"/>
                <w:lang w:val="en-US" w:eastAsia="zh-CN" w:bidi="ar-SA"/>
              </w:rPr>
              <w:t>，编制耕作层土壤措施方案</w:t>
            </w:r>
            <w:r>
              <w:rPr>
                <w:rFonts w:hint="eastAsia" w:ascii="Times New Roman" w:hAnsi="Times New Roman" w:eastAsia="宋体" w:cs="Times New Roman"/>
                <w:b w:val="0"/>
                <w:bCs w:val="0"/>
                <w:color w:val="FF0000"/>
                <w:kern w:val="2"/>
                <w:sz w:val="24"/>
                <w:szCs w:val="24"/>
                <w:lang w:val="en-US" w:eastAsia="zh-CN" w:bidi="ar-SA"/>
              </w:rPr>
              <w:t>，合理剥离</w:t>
            </w:r>
            <w:r>
              <w:rPr>
                <w:rFonts w:hint="eastAsia" w:cs="Times New Roman"/>
                <w:b w:val="0"/>
                <w:bCs w:val="0"/>
                <w:color w:val="FF0000"/>
                <w:kern w:val="2"/>
                <w:sz w:val="24"/>
                <w:szCs w:val="24"/>
                <w:lang w:val="en-US" w:eastAsia="zh-CN" w:bidi="ar-SA"/>
              </w:rPr>
              <w:t>并进行</w:t>
            </w:r>
            <w:r>
              <w:rPr>
                <w:rFonts w:hint="eastAsia" w:ascii="Times New Roman" w:hAnsi="Times New Roman" w:eastAsia="宋体" w:cs="Times New Roman"/>
                <w:b w:val="0"/>
                <w:bCs w:val="0"/>
                <w:color w:val="FF0000"/>
                <w:kern w:val="2"/>
                <w:sz w:val="24"/>
                <w:szCs w:val="24"/>
                <w:lang w:val="en-US" w:eastAsia="zh-CN" w:bidi="ar-SA"/>
              </w:rPr>
              <w:t>存储，采取必要工程防护和保育措施，剥离完成后进行组织验收，再实施项目建设，施工结束后耕作层土壤分质分类进行回填，以最大程度减少土壤生态变化。</w:t>
            </w:r>
            <w:r>
              <w:rPr>
                <w:rFonts w:hint="eastAsia" w:cs="Times New Roman"/>
                <w:b w:val="0"/>
                <w:bCs w:val="0"/>
                <w:color w:val="FF0000"/>
                <w:kern w:val="2"/>
                <w:sz w:val="24"/>
                <w:szCs w:val="24"/>
                <w:highlight w:val="none"/>
                <w:lang w:val="en-US" w:eastAsia="zh-CN" w:bidi="ar-SA"/>
              </w:rPr>
              <w:t>本项目</w:t>
            </w:r>
            <w:r>
              <w:rPr>
                <w:rFonts w:hint="eastAsia" w:eastAsia="宋体" w:cs="Times New Roman"/>
                <w:color w:val="FF0000"/>
                <w:sz w:val="24"/>
                <w:highlight w:val="none"/>
                <w:lang w:val="en-US" w:eastAsia="zh-CN"/>
              </w:rPr>
              <w:t>永久占地表土剥离</w:t>
            </w:r>
            <w:r>
              <w:rPr>
                <w:rFonts w:hint="eastAsia" w:cs="Times New Roman"/>
                <w:color w:val="FF0000"/>
                <w:sz w:val="24"/>
                <w:highlight w:val="none"/>
                <w:lang w:val="en-US" w:eastAsia="zh-CN"/>
              </w:rPr>
              <w:t>25.76</w:t>
            </w:r>
            <w:r>
              <w:rPr>
                <w:rFonts w:hint="eastAsia" w:eastAsia="宋体" w:cs="Times New Roman"/>
                <w:color w:val="FF0000"/>
                <w:sz w:val="24"/>
                <w:highlight w:val="none"/>
                <w:lang w:val="en-US" w:eastAsia="zh-CN"/>
              </w:rPr>
              <w:t>万m</w:t>
            </w:r>
            <w:r>
              <w:rPr>
                <w:rFonts w:hint="eastAsia" w:eastAsia="宋体" w:cs="Times New Roman"/>
                <w:color w:val="FF0000"/>
                <w:sz w:val="24"/>
                <w:highlight w:val="none"/>
                <w:vertAlign w:val="superscript"/>
                <w:lang w:val="en-US" w:eastAsia="zh-CN"/>
              </w:rPr>
              <w:t>3</w:t>
            </w:r>
            <w:r>
              <w:rPr>
                <w:rFonts w:hint="eastAsia" w:eastAsia="宋体" w:cs="Times New Roman"/>
                <w:color w:val="FF0000"/>
                <w:sz w:val="24"/>
                <w:highlight w:val="none"/>
                <w:vertAlign w:val="baseline"/>
                <w:lang w:val="en-US" w:eastAsia="zh-CN"/>
              </w:rPr>
              <w:t>，表土剥离后暂存于塔基施工区，在建设使用后进行表土恢复。</w:t>
            </w:r>
            <w:r>
              <w:rPr>
                <w:rFonts w:hint="eastAsia" w:eastAsia="宋体" w:cs="Times New Roman"/>
                <w:color w:val="FF0000"/>
                <w:sz w:val="24"/>
                <w:highlight w:val="none"/>
                <w:lang w:val="en-US" w:eastAsia="zh-CN"/>
              </w:rPr>
              <w:t>塔基区永久占地表土施工结束后，塔基下的土地功能保持不变，并且进行原有地貌植被恢复。</w:t>
            </w:r>
            <w:r>
              <w:rPr>
                <w:rFonts w:hint="eastAsia" w:ascii="Times New Roman" w:hAnsi="Times New Roman" w:eastAsia="宋体" w:cs="Times New Roman"/>
                <w:b w:val="0"/>
                <w:bCs w:val="0"/>
                <w:color w:val="FF0000"/>
                <w:kern w:val="2"/>
                <w:sz w:val="24"/>
                <w:szCs w:val="24"/>
                <w:highlight w:val="none"/>
                <w:lang w:val="en-US" w:eastAsia="zh-CN" w:bidi="ar-SA"/>
              </w:rPr>
              <w:t>项目满足《黑龙江省人民政府办公厅关于建设占用耕地耕作层土壤剥离利用工作的指导意见（试行）》要求。</w:t>
            </w:r>
          </w:p>
          <w:p w14:paraId="7ABCFDD3">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360" w:lineRule="auto"/>
              <w:ind w:left="0" w:right="0" w:rightChars="0" w:firstLine="482" w:firstLineChars="200"/>
              <w:textAlignment w:val="auto"/>
              <w:rPr>
                <w:rFonts w:hint="eastAsia" w:cs="Times New Roman"/>
                <w:b/>
                <w:bCs/>
                <w:color w:val="FF0000"/>
                <w:kern w:val="0"/>
                <w:sz w:val="24"/>
                <w:lang w:val="en-US" w:eastAsia="zh-CN"/>
              </w:rPr>
            </w:pPr>
            <w:r>
              <w:rPr>
                <w:rFonts w:hint="eastAsia"/>
                <w:b/>
                <w:bCs/>
                <w:color w:val="FF0000"/>
                <w:sz w:val="24"/>
                <w:lang w:val="en-US" w:eastAsia="zh-CN"/>
              </w:rPr>
              <w:t>10、《建设占用耕地耕作层土壤剥离利用技术规范》（DB23-T 2913-2021）</w:t>
            </w:r>
            <w:r>
              <w:rPr>
                <w:rFonts w:hint="eastAsia" w:cs="Times New Roman"/>
                <w:b/>
                <w:bCs/>
                <w:color w:val="FF0000"/>
                <w:kern w:val="0"/>
                <w:sz w:val="24"/>
                <w:lang w:val="en-US" w:eastAsia="zh-CN"/>
              </w:rPr>
              <w:t>符合性分析</w:t>
            </w:r>
          </w:p>
          <w:p w14:paraId="07F8D4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FF0000"/>
                <w:sz w:val="24"/>
                <w:highlight w:val="none"/>
                <w:vertAlign w:val="baseline"/>
                <w:lang w:val="en-US" w:eastAsia="zh-CN"/>
              </w:rPr>
            </w:pPr>
            <w:r>
              <w:rPr>
                <w:rFonts w:hint="eastAsia" w:ascii="Times New Roman" w:hAnsi="Times New Roman" w:eastAsia="宋体" w:cs="Times New Roman"/>
                <w:color w:val="FF0000"/>
                <w:sz w:val="24"/>
                <w:highlight w:val="none"/>
                <w:vertAlign w:val="baseline"/>
                <w:lang w:val="en-US" w:eastAsia="zh-CN"/>
              </w:rPr>
              <w:t>为保护黑龙江省耕地资源，规范黑龙江省建设占用耕地耕作层土壤剥离利用工作，实现优质土壤资源的保护和可持续利用，推进生态文明建设，规定了建设占用耕地耕作层土壤剥离利用活动中有关规范性引用文件、术语和定义、总则调查评价、方案编制、剥离、储存、运输、利用、工程验收以及档案存档等环节的技术内容与要求。</w:t>
            </w:r>
          </w:p>
          <w:p w14:paraId="7989A2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FF0000"/>
                <w:sz w:val="24"/>
                <w:highlight w:val="none"/>
                <w:vertAlign w:val="baseline"/>
                <w:lang w:val="en-US" w:eastAsia="zh-CN"/>
              </w:rPr>
            </w:pPr>
            <w:r>
              <w:rPr>
                <w:rFonts w:hint="default" w:ascii="Times New Roman" w:hAnsi="Times New Roman" w:eastAsia="宋体" w:cs="Times New Roman"/>
                <w:b w:val="0"/>
                <w:bCs w:val="0"/>
                <w:color w:val="FF0000"/>
                <w:kern w:val="2"/>
                <w:sz w:val="24"/>
                <w:szCs w:val="24"/>
                <w:lang w:val="en-US" w:eastAsia="zh-CN" w:bidi="ar-SA"/>
              </w:rPr>
              <w:t>本项目属于输变电项目，依托原有站址进行变电站间隔扩建新增永久占地</w:t>
            </w:r>
            <w:r>
              <w:rPr>
                <w:rFonts w:hint="eastAsia" w:cs="Times New Roman"/>
                <w:color w:val="FF0000"/>
                <w:sz w:val="24"/>
                <w:vertAlign w:val="baseline"/>
                <w:lang w:val="en-US" w:eastAsia="zh-CN"/>
              </w:rPr>
              <w:t>，</w:t>
            </w:r>
            <w:r>
              <w:rPr>
                <w:rFonts w:hint="eastAsia" w:cs="Times New Roman"/>
                <w:b w:val="0"/>
                <w:bCs w:val="0"/>
                <w:color w:val="FF0000"/>
                <w:kern w:val="2"/>
                <w:sz w:val="24"/>
                <w:szCs w:val="24"/>
                <w:lang w:val="en-US" w:eastAsia="zh-CN" w:bidi="ar-SA"/>
              </w:rPr>
              <w:t>占地为耕地占地为耕地（一般农田）；</w:t>
            </w:r>
            <w:r>
              <w:rPr>
                <w:rFonts w:hint="eastAsia" w:ascii="Times New Roman" w:hAnsi="Times New Roman" w:eastAsia="宋体" w:cs="Times New Roman"/>
                <w:b w:val="0"/>
                <w:bCs w:val="0"/>
                <w:color w:val="FF0000"/>
                <w:kern w:val="2"/>
                <w:sz w:val="24"/>
                <w:szCs w:val="24"/>
                <w:lang w:val="en-US" w:eastAsia="zh-CN" w:bidi="ar-SA"/>
              </w:rPr>
              <w:t>线路工程</w:t>
            </w:r>
            <w:r>
              <w:rPr>
                <w:rFonts w:hint="eastAsia" w:cs="Times New Roman"/>
                <w:b w:val="0"/>
                <w:bCs w:val="0"/>
                <w:color w:val="FF0000"/>
                <w:kern w:val="2"/>
                <w:sz w:val="24"/>
                <w:szCs w:val="24"/>
                <w:lang w:val="en-US" w:eastAsia="zh-CN" w:bidi="ar-SA"/>
              </w:rPr>
              <w:t>永久占地与临时占地为耕地（一般农田、基本农田）、林地（其他林地）和草地（其他草地）。</w:t>
            </w:r>
            <w:r>
              <w:rPr>
                <w:rFonts w:hint="eastAsia" w:ascii="Times New Roman" w:hAnsi="Times New Roman" w:eastAsia="宋体" w:cs="Times New Roman"/>
                <w:b w:val="0"/>
                <w:bCs w:val="0"/>
                <w:color w:val="FF0000"/>
                <w:kern w:val="2"/>
                <w:sz w:val="24"/>
                <w:szCs w:val="24"/>
                <w:lang w:val="en-US" w:eastAsia="zh-CN" w:bidi="ar-SA"/>
              </w:rPr>
              <w:t>在施工过程中对耕作层土壤进行具体措施分析</w:t>
            </w:r>
            <w:r>
              <w:rPr>
                <w:rFonts w:hint="eastAsia" w:cs="Times New Roman"/>
                <w:b w:val="0"/>
                <w:bCs w:val="0"/>
                <w:color w:val="FF0000"/>
                <w:kern w:val="2"/>
                <w:sz w:val="24"/>
                <w:szCs w:val="24"/>
                <w:lang w:val="en-US" w:eastAsia="zh-CN" w:bidi="ar-SA"/>
              </w:rPr>
              <w:t>，编制耕作层土壤措施方案</w:t>
            </w:r>
            <w:r>
              <w:rPr>
                <w:rFonts w:hint="eastAsia" w:ascii="Times New Roman" w:hAnsi="Times New Roman" w:eastAsia="宋体" w:cs="Times New Roman"/>
                <w:b w:val="0"/>
                <w:bCs w:val="0"/>
                <w:color w:val="FF0000"/>
                <w:kern w:val="2"/>
                <w:sz w:val="24"/>
                <w:szCs w:val="24"/>
                <w:lang w:val="en-US" w:eastAsia="zh-CN" w:bidi="ar-SA"/>
              </w:rPr>
              <w:t>，合理剥离</w:t>
            </w:r>
            <w:r>
              <w:rPr>
                <w:rFonts w:hint="eastAsia" w:cs="Times New Roman"/>
                <w:b w:val="0"/>
                <w:bCs w:val="0"/>
                <w:color w:val="FF0000"/>
                <w:kern w:val="2"/>
                <w:sz w:val="24"/>
                <w:szCs w:val="24"/>
                <w:lang w:val="en-US" w:eastAsia="zh-CN" w:bidi="ar-SA"/>
              </w:rPr>
              <w:t>并进行</w:t>
            </w:r>
            <w:r>
              <w:rPr>
                <w:rFonts w:hint="eastAsia" w:ascii="Times New Roman" w:hAnsi="Times New Roman" w:eastAsia="宋体" w:cs="Times New Roman"/>
                <w:b w:val="0"/>
                <w:bCs w:val="0"/>
                <w:color w:val="FF0000"/>
                <w:kern w:val="2"/>
                <w:sz w:val="24"/>
                <w:szCs w:val="24"/>
                <w:lang w:val="en-US" w:eastAsia="zh-CN" w:bidi="ar-SA"/>
              </w:rPr>
              <w:t>存储，采取必要工程防护和保育措施，剥离完成后进行组织验收，再实施项目建设，施工结束后耕作层土壤分质分类进行回填，以最大程度减少土壤生态变化。</w:t>
            </w:r>
            <w:r>
              <w:rPr>
                <w:rFonts w:hint="eastAsia" w:cs="Times New Roman"/>
                <w:b w:val="0"/>
                <w:bCs w:val="0"/>
                <w:color w:val="FF0000"/>
                <w:kern w:val="2"/>
                <w:sz w:val="24"/>
                <w:szCs w:val="24"/>
                <w:highlight w:val="none"/>
                <w:lang w:val="en-US" w:eastAsia="zh-CN" w:bidi="ar-SA"/>
              </w:rPr>
              <w:t>本项目</w:t>
            </w:r>
            <w:r>
              <w:rPr>
                <w:rFonts w:hint="eastAsia" w:eastAsia="宋体" w:cs="Times New Roman"/>
                <w:color w:val="FF0000"/>
                <w:sz w:val="24"/>
                <w:highlight w:val="none"/>
                <w:lang w:val="en-US" w:eastAsia="zh-CN"/>
              </w:rPr>
              <w:t>永久占地表土剥离</w:t>
            </w:r>
            <w:r>
              <w:rPr>
                <w:rFonts w:hint="eastAsia" w:cs="Times New Roman"/>
                <w:color w:val="FF0000"/>
                <w:sz w:val="24"/>
                <w:highlight w:val="none"/>
                <w:lang w:val="en-US" w:eastAsia="zh-CN"/>
              </w:rPr>
              <w:t>25.76</w:t>
            </w:r>
            <w:r>
              <w:rPr>
                <w:rFonts w:hint="eastAsia" w:eastAsia="宋体" w:cs="Times New Roman"/>
                <w:color w:val="FF0000"/>
                <w:sz w:val="24"/>
                <w:highlight w:val="none"/>
                <w:lang w:val="en-US" w:eastAsia="zh-CN"/>
              </w:rPr>
              <w:t>万m</w:t>
            </w:r>
            <w:r>
              <w:rPr>
                <w:rFonts w:hint="eastAsia" w:eastAsia="宋体" w:cs="Times New Roman"/>
                <w:color w:val="FF0000"/>
                <w:sz w:val="24"/>
                <w:highlight w:val="none"/>
                <w:vertAlign w:val="superscript"/>
                <w:lang w:val="en-US" w:eastAsia="zh-CN"/>
              </w:rPr>
              <w:t>3</w:t>
            </w:r>
            <w:r>
              <w:rPr>
                <w:rFonts w:hint="eastAsia" w:eastAsia="宋体" w:cs="Times New Roman"/>
                <w:color w:val="FF0000"/>
                <w:sz w:val="24"/>
                <w:highlight w:val="none"/>
                <w:vertAlign w:val="baseline"/>
                <w:lang w:val="en-US" w:eastAsia="zh-CN"/>
              </w:rPr>
              <w:t>，表土剥离后暂存于塔基施工区，在建设使用后进行表土恢复。</w:t>
            </w:r>
            <w:r>
              <w:rPr>
                <w:rFonts w:hint="eastAsia" w:eastAsia="宋体" w:cs="Times New Roman"/>
                <w:color w:val="FF0000"/>
                <w:sz w:val="24"/>
                <w:highlight w:val="none"/>
                <w:lang w:val="en-US" w:eastAsia="zh-CN"/>
              </w:rPr>
              <w:t>塔基区永久占地表土施工结束后，塔基下的土地功能保持不变，并且进行原有地貌植被恢复。</w:t>
            </w:r>
            <w:r>
              <w:rPr>
                <w:rFonts w:hint="eastAsia" w:ascii="Times New Roman" w:hAnsi="Times New Roman" w:eastAsia="宋体" w:cs="Times New Roman"/>
                <w:b w:val="0"/>
                <w:bCs w:val="0"/>
                <w:color w:val="FF0000"/>
                <w:kern w:val="2"/>
                <w:sz w:val="24"/>
                <w:szCs w:val="24"/>
                <w:highlight w:val="none"/>
                <w:lang w:val="en-US" w:eastAsia="zh-CN" w:bidi="ar-SA"/>
              </w:rPr>
              <w:t>项目满足《建设占用耕地耕作层土壤剥离利用技术规范》（DB23-T 2913-2021）要求。</w:t>
            </w:r>
          </w:p>
          <w:p w14:paraId="2A0A8AE1">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360" w:lineRule="auto"/>
              <w:ind w:left="0" w:right="0" w:rightChars="0" w:firstLine="482" w:firstLineChars="200"/>
              <w:textAlignment w:val="auto"/>
              <w:rPr>
                <w:rFonts w:hint="eastAsia" w:cs="Times New Roman"/>
                <w:b/>
                <w:bCs/>
                <w:color w:val="FF0000"/>
                <w:kern w:val="0"/>
                <w:sz w:val="24"/>
                <w:lang w:val="en-US" w:eastAsia="zh-CN"/>
              </w:rPr>
            </w:pPr>
            <w:r>
              <w:rPr>
                <w:rFonts w:hint="eastAsia"/>
                <w:b/>
                <w:bCs/>
                <w:color w:val="FF0000"/>
                <w:sz w:val="24"/>
                <w:lang w:val="en-US" w:eastAsia="zh-CN"/>
              </w:rPr>
              <w:t>11、《鸡西市“十四五”生态环境保护规划》</w:t>
            </w:r>
            <w:r>
              <w:rPr>
                <w:rFonts w:hint="eastAsia" w:cs="Times New Roman"/>
                <w:b/>
                <w:bCs/>
                <w:color w:val="FF0000"/>
                <w:kern w:val="0"/>
                <w:sz w:val="24"/>
                <w:lang w:val="en-US" w:eastAsia="zh-CN"/>
              </w:rPr>
              <w:t>符合性分析</w:t>
            </w:r>
          </w:p>
          <w:p w14:paraId="4FD3E414">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FF0000"/>
                <w:kern w:val="2"/>
                <w:sz w:val="24"/>
                <w:szCs w:val="24"/>
                <w:highlight w:val="none"/>
                <w:vertAlign w:val="baseline"/>
                <w:lang w:val="en-US" w:eastAsia="zh-CN" w:bidi="ar-SA"/>
              </w:rPr>
            </w:pPr>
            <w:r>
              <w:rPr>
                <w:rFonts w:hint="eastAsia" w:ascii="Times New Roman" w:hAnsi="Times New Roman" w:eastAsia="宋体" w:cs="Times New Roman"/>
                <w:color w:val="FF0000"/>
                <w:kern w:val="2"/>
                <w:sz w:val="24"/>
                <w:szCs w:val="24"/>
                <w:highlight w:val="none"/>
                <w:vertAlign w:val="baseline"/>
                <w:lang w:val="en-US" w:eastAsia="zh-CN" w:bidi="ar-SA"/>
              </w:rPr>
              <w:t>为持续改善鸡西市生态环境质量，协同推进鸡西经济高质量发展和实施生态强市战略，深入实施减污降碳、精准治污、亮剑护绿、科技赋能“四大行动”，聚焦生态环境保护的短板弱项，大力实施绿色低碳发展战略，深入打好蓝天、碧水、净土保卫战，坚持山水林田湖草沙冰一体化保护和系统治理，加强环境风险防范，推进生态环境治理体系与治理能力现代化。统筹推进区域绿色发展</w:t>
            </w:r>
            <w:r>
              <w:rPr>
                <w:rFonts w:hint="eastAsia" w:cs="Times New Roman"/>
                <w:color w:val="FF0000"/>
                <w:kern w:val="2"/>
                <w:sz w:val="24"/>
                <w:szCs w:val="24"/>
                <w:highlight w:val="none"/>
                <w:vertAlign w:val="baseline"/>
                <w:lang w:val="en-US" w:eastAsia="zh-CN" w:bidi="ar-SA"/>
              </w:rPr>
              <w:t>、推进产业结构转型</w:t>
            </w:r>
            <w:r>
              <w:rPr>
                <w:rFonts w:hint="eastAsia" w:ascii="Times New Roman" w:hAnsi="Times New Roman" w:eastAsia="宋体" w:cs="Times New Roman"/>
                <w:color w:val="FF0000"/>
                <w:kern w:val="2"/>
                <w:sz w:val="24"/>
                <w:szCs w:val="24"/>
                <w:highlight w:val="none"/>
                <w:vertAlign w:val="baseline"/>
                <w:lang w:val="en-US" w:eastAsia="zh-CN" w:bidi="ar-SA"/>
              </w:rPr>
              <w:t>升级、构建清洁低碳能源体系、建设绿色交通运输体系、大力推进生态环境科技赋能。</w:t>
            </w:r>
          </w:p>
          <w:p w14:paraId="7E3D67F2">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FF0000"/>
                <w:kern w:val="2"/>
                <w:sz w:val="24"/>
                <w:szCs w:val="24"/>
                <w:highlight w:val="none"/>
                <w:vertAlign w:val="baseline"/>
                <w:lang w:val="en-US" w:eastAsia="zh-CN" w:bidi="ar-SA"/>
              </w:rPr>
            </w:pPr>
            <w:r>
              <w:rPr>
                <w:rFonts w:hint="eastAsia" w:ascii="Times New Roman" w:hAnsi="Times New Roman" w:eastAsia="宋体" w:cs="Times New Roman"/>
                <w:color w:val="FF0000"/>
                <w:kern w:val="2"/>
                <w:sz w:val="24"/>
                <w:szCs w:val="24"/>
                <w:highlight w:val="none"/>
                <w:vertAlign w:val="baseline"/>
                <w:lang w:val="en-US" w:eastAsia="zh-CN" w:bidi="ar-SA"/>
              </w:rPr>
              <w:t>本项目黑龙江鸡西鸡西~恒山220kV线路工程，加快了电网建设，优化了鸡西市的电网布局，为推进产业结构转型升级、构建清洁低碳能源体系奠定良好的基础。因此，本项目符合《鸡西市“十四五”生态环境保护规划》要求。</w:t>
            </w:r>
          </w:p>
          <w:p w14:paraId="4313DBE4">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360" w:lineRule="auto"/>
              <w:ind w:left="0" w:right="0" w:rightChars="0" w:firstLine="482" w:firstLineChars="200"/>
              <w:textAlignment w:val="auto"/>
              <w:rPr>
                <w:rFonts w:hint="eastAsia"/>
                <w:b/>
                <w:bCs/>
                <w:color w:val="FF0000"/>
                <w:sz w:val="24"/>
                <w:lang w:val="en-US" w:eastAsia="zh-CN"/>
              </w:rPr>
            </w:pPr>
            <w:r>
              <w:rPr>
                <w:rFonts w:hint="eastAsia"/>
                <w:b/>
                <w:bCs/>
                <w:color w:val="FF0000"/>
                <w:sz w:val="24"/>
                <w:lang w:val="en-US" w:eastAsia="zh-CN"/>
              </w:rPr>
              <w:t>12、《关于进一步做好用地用海要素保障的通知》（自然资发〔2023〕89号）符合性分析</w:t>
            </w:r>
          </w:p>
          <w:p w14:paraId="2907A5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FF0000"/>
                <w:sz w:val="24"/>
                <w:highlight w:val="none"/>
                <w:vertAlign w:val="baseline"/>
                <w:lang w:val="en-US" w:eastAsia="zh-CN"/>
              </w:rPr>
            </w:pPr>
            <w:r>
              <w:rPr>
                <w:rFonts w:hint="eastAsia" w:ascii="Times New Roman" w:hAnsi="Times New Roman" w:eastAsia="宋体" w:cs="Times New Roman"/>
                <w:color w:val="FF0000"/>
                <w:sz w:val="24"/>
                <w:highlight w:val="none"/>
                <w:vertAlign w:val="baseline"/>
                <w:lang w:val="en-US" w:eastAsia="zh-CN"/>
              </w:rPr>
              <w:t>加快国土空间规划审查报批：严格落实《全国国土空间规划纲要（2021—2035年）》和“三区三线”划定成果，加快地方各级国土空间规划编制报批。在各级国土空间规划正式批准之前的过渡期，对省级国土空间规划已呈报国务院的省份，有批准权的人民政府自然资源主管部门已经组织审查通过的国土空间总体规划，可作为项目用地用海用岛组卷报批依据。优化建设项目用地审查报批要求：明确占用永久基本农田重大建设项目范围。（1）党中央、国务院明确支持的重大建设项目（包括党中央、国务院发布文件或批准规划中明确具体名称的项目和国务院批准的项目）；（2）中央军委及其有关部门批准的军事国防类项目；（3）纳入国家级规划（指国务院及其有关部门颁布）的机场、铁路、公路、水运、能源、水利项目；（4）省级公路网规划的省级高速公路项目；（5）按《关于梳理国家重大项目清单加大建设用地保障力度的通知》（发改投资〔2020〕688号）要求，列入需中央加大用地保障力度清单的项目；（6）原深度贫困地区、集中连片特困地区、国家扶贫开发工作重点县省级以下基础设施、民生发展等项目。</w:t>
            </w:r>
          </w:p>
          <w:p w14:paraId="40893D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FF0000"/>
                <w:sz w:val="24"/>
                <w:highlight w:val="none"/>
                <w:vertAlign w:val="baseline"/>
                <w:lang w:val="en-US" w:eastAsia="zh-CN"/>
              </w:rPr>
            </w:pPr>
            <w:r>
              <w:rPr>
                <w:rFonts w:hint="eastAsia" w:ascii="Times New Roman" w:hAnsi="Times New Roman" w:eastAsia="宋体" w:cs="Times New Roman"/>
                <w:color w:val="FF0000"/>
                <w:sz w:val="24"/>
                <w:highlight w:val="none"/>
                <w:vertAlign w:val="baseline"/>
                <w:lang w:val="en-US" w:eastAsia="zh-CN"/>
              </w:rPr>
              <w:t>本项目属于输变电项目，为优化建设项目用地审查报批要求可占用永久基本农田重大建设项目范围，因输电线路建设严格的技术指标要求和布线时遵循原则，以及途经各区域内永久基本农田分布的实际情况，项目不可避免的占用沿线地区的部分永久基本农田，在施工前完成土地复垦方案编制工作，施工前后进行严格的土地保护措施，不占用耕地，不影响原生态环境，不会对周边土壤造成影响。符合《关于进一步做好用地用海要素保障的通知》中要求。</w:t>
            </w:r>
          </w:p>
          <w:p w14:paraId="105786B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2" w:firstLineChars="200"/>
              <w:textAlignment w:val="auto"/>
              <w:rPr>
                <w:rFonts w:hint="eastAsia"/>
                <w:b/>
                <w:bCs/>
                <w:color w:val="FF0000"/>
                <w:sz w:val="24"/>
                <w:lang w:val="en-US" w:eastAsia="zh-CN"/>
              </w:rPr>
            </w:pPr>
            <w:r>
              <w:rPr>
                <w:rFonts w:hint="eastAsia"/>
                <w:b/>
                <w:bCs/>
                <w:color w:val="FF0000"/>
                <w:sz w:val="24"/>
                <w:lang w:val="en-US" w:eastAsia="zh-CN"/>
              </w:rPr>
              <w:t>13、</w:t>
            </w:r>
            <w:r>
              <w:rPr>
                <w:rFonts w:hint="eastAsia" w:ascii="Times New Roman" w:hAnsi="Times New Roman" w:eastAsia="宋体" w:cs="Times New Roman"/>
                <w:b/>
                <w:bCs/>
                <w:color w:val="FF0000"/>
                <w:sz w:val="24"/>
                <w:lang w:val="en-US" w:eastAsia="zh-CN"/>
              </w:rPr>
              <w:t>《黑龙江省耕地保护条例》</w:t>
            </w:r>
            <w:r>
              <w:rPr>
                <w:rFonts w:hint="eastAsia"/>
                <w:b/>
                <w:bCs/>
                <w:color w:val="FF0000"/>
                <w:sz w:val="24"/>
                <w:lang w:val="en-US" w:eastAsia="zh-CN"/>
              </w:rPr>
              <w:t>符合性分析</w:t>
            </w:r>
          </w:p>
          <w:p w14:paraId="32ECBB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b w:val="0"/>
                <w:bCs w:val="0"/>
                <w:color w:val="FF0000"/>
                <w:sz w:val="24"/>
                <w:highlight w:val="none"/>
                <w:vertAlign w:val="baseline"/>
                <w:lang w:val="en-US" w:eastAsia="zh-CN"/>
              </w:rPr>
            </w:pPr>
            <w:r>
              <w:rPr>
                <w:rFonts w:hint="eastAsia" w:ascii="Times New Roman" w:hAnsi="Times New Roman" w:eastAsia="宋体" w:cs="Times New Roman"/>
                <w:color w:val="FF0000"/>
                <w:sz w:val="24"/>
                <w:highlight w:val="none"/>
                <w:vertAlign w:val="baseline"/>
                <w:lang w:val="en-US" w:eastAsia="zh-CN"/>
              </w:rPr>
              <w:t>为保护耕地资源，提高耕地质量，改善耕地生态环境，促进农业可持续发展，耕地保护和利用，应当遵循科学规划、量质并重、用养兼顾、建管结台、综合整治的原则。</w:t>
            </w:r>
            <w:r>
              <w:rPr>
                <w:rFonts w:hint="eastAsia" w:cs="Times New Roman"/>
                <w:color w:val="FF0000"/>
                <w:sz w:val="24"/>
                <w:highlight w:val="none"/>
                <w:vertAlign w:val="baseline"/>
                <w:lang w:val="en-US" w:eastAsia="zh-CN"/>
              </w:rPr>
              <w:t>根据</w:t>
            </w:r>
            <w:r>
              <w:rPr>
                <w:rFonts w:hint="eastAsia" w:cs="Times New Roman"/>
                <w:b/>
                <w:bCs/>
                <w:color w:val="FF0000"/>
                <w:sz w:val="24"/>
                <w:highlight w:val="none"/>
                <w:vertAlign w:val="baseline"/>
                <w:lang w:val="en-US" w:eastAsia="zh-CN"/>
              </w:rPr>
              <w:t>第三十四条耕地范围内禁止下列行为:</w:t>
            </w:r>
            <w:r>
              <w:rPr>
                <w:rFonts w:hint="eastAsia" w:cs="Times New Roman"/>
                <w:b w:val="0"/>
                <w:bCs w:val="0"/>
                <w:color w:val="FF0000"/>
                <w:sz w:val="24"/>
                <w:highlight w:val="none"/>
                <w:vertAlign w:val="baseline"/>
                <w:lang w:val="en-US" w:eastAsia="zh-CN"/>
              </w:rPr>
              <w:t>（一）建坟墓、建窑；（二）擅自建房、挖砂、采石、采矿、取土；（三）向耕地范围内排放工业废水、废气、废渣，以及未经无害化处理的污水、污泥等有害废物；（四）向耕地范围内倾倒垃圾；（五）法律、法规规定的其他行为。</w:t>
            </w:r>
          </w:p>
          <w:p w14:paraId="53F74B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b w:val="0"/>
                <w:bCs w:val="0"/>
                <w:color w:val="FF0000"/>
                <w:sz w:val="24"/>
                <w:highlight w:val="none"/>
                <w:vertAlign w:val="baseline"/>
                <w:lang w:val="en-US" w:eastAsia="zh-CN"/>
              </w:rPr>
            </w:pPr>
            <w:r>
              <w:rPr>
                <w:rFonts w:hint="eastAsia" w:ascii="Times New Roman" w:hAnsi="Times New Roman" w:eastAsia="宋体" w:cs="Times New Roman"/>
                <w:color w:val="FF0000"/>
                <w:sz w:val="24"/>
                <w:highlight w:val="none"/>
                <w:vertAlign w:val="baseline"/>
                <w:lang w:val="en-US" w:eastAsia="zh-CN"/>
              </w:rPr>
              <w:t>本项目属于输变电项目，因输电线路建设严格的技术指标要求和布线时遵循原则，以及途经各区域内</w:t>
            </w:r>
            <w:r>
              <w:rPr>
                <w:rFonts w:hint="eastAsia" w:cs="Times New Roman"/>
                <w:color w:val="FF0000"/>
                <w:sz w:val="24"/>
                <w:highlight w:val="none"/>
                <w:vertAlign w:val="baseline"/>
                <w:lang w:val="en-US" w:eastAsia="zh-CN"/>
              </w:rPr>
              <w:t>耕地</w:t>
            </w:r>
            <w:r>
              <w:rPr>
                <w:rFonts w:hint="eastAsia" w:ascii="Times New Roman" w:hAnsi="Times New Roman" w:eastAsia="宋体" w:cs="Times New Roman"/>
                <w:color w:val="FF0000"/>
                <w:sz w:val="24"/>
                <w:highlight w:val="none"/>
                <w:vertAlign w:val="baseline"/>
                <w:lang w:val="en-US" w:eastAsia="zh-CN"/>
              </w:rPr>
              <w:t>分布的实际情况，项目不可避免的占用</w:t>
            </w:r>
            <w:r>
              <w:rPr>
                <w:rFonts w:hint="eastAsia" w:cs="Times New Roman"/>
                <w:color w:val="FF0000"/>
                <w:sz w:val="24"/>
                <w:highlight w:val="none"/>
                <w:vertAlign w:val="baseline"/>
                <w:lang w:val="en-US" w:eastAsia="zh-CN"/>
              </w:rPr>
              <w:t>耕地</w:t>
            </w:r>
            <w:r>
              <w:rPr>
                <w:rFonts w:hint="eastAsia" w:ascii="Times New Roman" w:hAnsi="Times New Roman" w:eastAsia="宋体" w:cs="Times New Roman"/>
                <w:color w:val="FF0000"/>
                <w:sz w:val="24"/>
                <w:highlight w:val="none"/>
                <w:vertAlign w:val="baseline"/>
                <w:lang w:val="en-US" w:eastAsia="zh-CN"/>
              </w:rPr>
              <w:t>，</w:t>
            </w:r>
            <w:r>
              <w:rPr>
                <w:rFonts w:hint="eastAsia" w:cs="Times New Roman"/>
                <w:color w:val="FF0000"/>
                <w:sz w:val="24"/>
                <w:highlight w:val="none"/>
                <w:vertAlign w:val="baseline"/>
                <w:lang w:val="en-US" w:eastAsia="zh-CN"/>
              </w:rPr>
              <w:t>项目</w:t>
            </w:r>
            <w:r>
              <w:rPr>
                <w:rFonts w:hint="eastAsia" w:ascii="Times New Roman" w:hAnsi="Times New Roman" w:eastAsia="宋体" w:cs="Times New Roman"/>
                <w:color w:val="FF0000"/>
                <w:sz w:val="24"/>
                <w:highlight w:val="none"/>
                <w:vertAlign w:val="baseline"/>
                <w:lang w:val="en-US" w:eastAsia="zh-CN"/>
              </w:rPr>
              <w:t>在施工前完成土地复垦方案编制工作，施工前后进行严格的土地保护措施，不</w:t>
            </w:r>
            <w:r>
              <w:rPr>
                <w:rFonts w:hint="eastAsia" w:cs="Times New Roman"/>
                <w:color w:val="FF0000"/>
                <w:sz w:val="24"/>
                <w:highlight w:val="none"/>
                <w:vertAlign w:val="baseline"/>
                <w:lang w:val="en-US" w:eastAsia="zh-CN"/>
              </w:rPr>
              <w:t>在</w:t>
            </w:r>
            <w:r>
              <w:rPr>
                <w:rFonts w:hint="eastAsia" w:ascii="Times New Roman" w:hAnsi="Times New Roman" w:eastAsia="宋体" w:cs="Times New Roman"/>
                <w:color w:val="FF0000"/>
                <w:sz w:val="24"/>
                <w:highlight w:val="none"/>
                <w:vertAlign w:val="baseline"/>
                <w:lang w:val="en-US" w:eastAsia="zh-CN"/>
              </w:rPr>
              <w:t>耕地</w:t>
            </w:r>
            <w:r>
              <w:rPr>
                <w:rFonts w:hint="eastAsia" w:cs="Times New Roman"/>
                <w:color w:val="FF0000"/>
                <w:sz w:val="24"/>
                <w:highlight w:val="none"/>
                <w:vertAlign w:val="baseline"/>
                <w:lang w:val="en-US" w:eastAsia="zh-CN"/>
              </w:rPr>
              <w:t>内进行禁止行为</w:t>
            </w:r>
            <w:r>
              <w:rPr>
                <w:rFonts w:hint="eastAsia" w:ascii="Times New Roman" w:hAnsi="Times New Roman" w:eastAsia="宋体" w:cs="Times New Roman"/>
                <w:color w:val="FF0000"/>
                <w:sz w:val="24"/>
                <w:highlight w:val="none"/>
                <w:vertAlign w:val="baseline"/>
                <w:lang w:val="en-US" w:eastAsia="zh-CN"/>
              </w:rPr>
              <w:t>，不影响原生态环境，不会对周边土壤造成影响。采取相应的协议补偿，开工前按法定程序申请临时用地并编制土地复垦方案，经县级自然资源主管部门批准后临时占用，施工结束后，塔基下的土地功能保持不变，故项目所在区域的农田总数保持不变。本项目符合《《黑龙江省耕地保护条例》的相关规定。</w:t>
            </w:r>
          </w:p>
          <w:p w14:paraId="28D35A4B">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360" w:lineRule="auto"/>
              <w:ind w:left="0" w:right="0" w:rightChars="0" w:firstLine="482" w:firstLineChars="200"/>
              <w:textAlignment w:val="auto"/>
              <w:rPr>
                <w:rFonts w:hint="eastAsia" w:ascii="Times New Roman" w:hAnsi="Times New Roman" w:eastAsia="宋体" w:cs="Times New Roman"/>
                <w:b/>
                <w:bCs/>
                <w:color w:val="000000" w:themeColor="text1"/>
                <w:kern w:val="0"/>
                <w:sz w:val="24"/>
                <w:lang w:val="en-US" w:eastAsia="zh-CN"/>
                <w14:textFill>
                  <w14:solidFill>
                    <w14:schemeClr w14:val="tx1"/>
                  </w14:solidFill>
                </w14:textFill>
              </w:rPr>
            </w:pPr>
            <w:r>
              <w:rPr>
                <w:rFonts w:hint="eastAsia" w:cs="Times New Roman"/>
                <w:b/>
                <w:bCs/>
                <w:color w:val="000000" w:themeColor="text1"/>
                <w:kern w:val="0"/>
                <w:sz w:val="24"/>
                <w:lang w:val="en-US" w:eastAsia="zh-CN"/>
                <w14:textFill>
                  <w14:solidFill>
                    <w14:schemeClr w14:val="tx1"/>
                  </w14:solidFill>
                </w14:textFill>
              </w:rPr>
              <w:t>14、与《中华人民共和国基本农田保护条例》符合性分析</w:t>
            </w:r>
          </w:p>
          <w:p w14:paraId="682621F4">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360" w:lineRule="auto"/>
              <w:ind w:left="0" w:right="0" w:rightChars="0" w:firstLine="480" w:firstLineChars="200"/>
              <w:jc w:val="left"/>
              <w:textAlignment w:val="auto"/>
              <w:rPr>
                <w:rFonts w:hint="eastAsia" w:cs="Times New Roman"/>
                <w:b w:val="0"/>
                <w:bCs w:val="0"/>
                <w:color w:val="000000" w:themeColor="text1"/>
                <w:kern w:val="0"/>
                <w:sz w:val="24"/>
                <w:lang w:val="en-US" w:eastAsia="zh-CN"/>
                <w14:textFill>
                  <w14:solidFill>
                    <w14:schemeClr w14:val="tx1"/>
                  </w14:solidFill>
                </w14:textFill>
              </w:rPr>
            </w:pPr>
            <w:r>
              <w:rPr>
                <w:rFonts w:hint="eastAsia" w:cs="Times New Roman"/>
                <w:b w:val="0"/>
                <w:bCs w:val="0"/>
                <w:color w:val="000000" w:themeColor="text1"/>
                <w:kern w:val="0"/>
                <w:sz w:val="24"/>
                <w:lang w:val="en-US" w:eastAsia="zh-CN"/>
                <w14:textFill>
                  <w14:solidFill>
                    <w14:schemeClr w14:val="tx1"/>
                  </w14:solidFill>
                </w14:textFill>
              </w:rPr>
              <w:t>根据《中华人民共和国基本农田保护条例》中</w:t>
            </w:r>
            <w:r>
              <w:rPr>
                <w:rFonts w:hint="eastAsia" w:cs="Times New Roman"/>
                <w:b/>
                <w:bCs/>
                <w:color w:val="000000" w:themeColor="text1"/>
                <w:kern w:val="0"/>
                <w:sz w:val="24"/>
                <w:lang w:val="en-US" w:eastAsia="zh-CN"/>
                <w14:textFill>
                  <w14:solidFill>
                    <w14:schemeClr w14:val="tx1"/>
                  </w14:solidFill>
                </w14:textFill>
              </w:rPr>
              <w:t>第三章保护</w:t>
            </w:r>
            <w:r>
              <w:rPr>
                <w:rFonts w:hint="eastAsia" w:cs="Times New Roman"/>
                <w:b w:val="0"/>
                <w:bCs w:val="0"/>
                <w:color w:val="000000" w:themeColor="text1"/>
                <w:kern w:val="0"/>
                <w:sz w:val="24"/>
                <w:lang w:val="en-US" w:eastAsia="zh-CN"/>
                <w14:textFill>
                  <w14:solidFill>
                    <w14:schemeClr w14:val="tx1"/>
                  </w14:solidFill>
                </w14:textFill>
              </w:rPr>
              <w:t xml:space="preserve"> </w:t>
            </w:r>
            <w:r>
              <w:rPr>
                <w:rFonts w:hint="eastAsia" w:cs="Times New Roman"/>
                <w:b/>
                <w:bCs/>
                <w:color w:val="000000" w:themeColor="text1"/>
                <w:kern w:val="0"/>
                <w:sz w:val="24"/>
                <w:lang w:val="en-US" w:eastAsia="zh-CN"/>
                <w14:textFill>
                  <w14:solidFill>
                    <w14:schemeClr w14:val="tx1"/>
                  </w14:solidFill>
                </w14:textFill>
              </w:rPr>
              <w:t>第十五条</w:t>
            </w:r>
            <w:r>
              <w:rPr>
                <w:rFonts w:hint="eastAsia" w:cs="Times New Roman"/>
                <w:b w:val="0"/>
                <w:bCs w:val="0"/>
                <w:color w:val="000000" w:themeColor="text1"/>
                <w:kern w:val="0"/>
                <w:sz w:val="24"/>
                <w:lang w:val="en-US" w:eastAsia="zh-CN"/>
                <w14:textFill>
                  <w14:solidFill>
                    <w14:schemeClr w14:val="tx1"/>
                  </w14:solidFill>
                </w14:textFill>
              </w:rPr>
              <w:t>：基本农田保护区经依法划定后，任何单位和个人不得改变或者占用。国家能源、交通、水利、军事设施等重点建设项目选址确实无法避开基本农田保护区，需要占用基本农田，涉及农用地转用或者征用土地的，必须经国务院批准。 第十六条 经国务院批准占用基本农田的，当地人民政府应当按照国务院的批准文件修改土地利用总体规划，并补充划入数量和质量相当的基本农田。占用单位应当按照占多少、垦多少的原则，负责开垦与所占基本农田的数量与质量相当的耕地；没有条件开垦或者开垦的耕地不符合要求的，应当按照省、自治区、直辖市的规定缴纳耕地开垦费，专款用于开垦新的耕地。 占用基本农田的单位应当按照县级以上地方人民政府的要求，将所占用农田耕作层的土壤用于新开垦耕地、劣质地或者其他耕作的土壤改良。</w:t>
            </w:r>
            <w:r>
              <w:rPr>
                <w:rFonts w:hint="eastAsia" w:cs="Times New Roman"/>
                <w:b/>
                <w:bCs/>
                <w:color w:val="000000" w:themeColor="text1"/>
                <w:kern w:val="0"/>
                <w:sz w:val="24"/>
                <w:lang w:val="en-US" w:eastAsia="zh-CN"/>
                <w14:textFill>
                  <w14:solidFill>
                    <w14:schemeClr w14:val="tx1"/>
                  </w14:solidFill>
                </w14:textFill>
              </w:rPr>
              <w:t>第五章法律责任</w:t>
            </w:r>
            <w:r>
              <w:rPr>
                <w:rFonts w:hint="eastAsia" w:cs="Times New Roman"/>
                <w:b w:val="0"/>
                <w:bCs w:val="0"/>
                <w:color w:val="000000" w:themeColor="text1"/>
                <w:kern w:val="0"/>
                <w:sz w:val="24"/>
                <w:lang w:val="en-US" w:eastAsia="zh-CN"/>
                <w14:textFill>
                  <w14:solidFill>
                    <w14:schemeClr w14:val="tx1"/>
                  </w14:solidFill>
                </w14:textFill>
              </w:rPr>
              <w:t xml:space="preserve"> 第三十条：违反本条例规定，有下列行为之一的，依照《中华人民共和国土地管理法》和《中华人民共和国土地管理法实施条例》的有关规定，从重给予处罚：（一）未经批准或者采取欺骗手段骗取批准，非法占用基本农田的；（二）超过批准数量，非法占用基本农田的；（三）非法批准占用基本农田的；（四）买卖或者以其他形式非法转让基本农田的。</w:t>
            </w:r>
          </w:p>
          <w:p w14:paraId="04F0435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0" w:firstLineChars="200"/>
              <w:textAlignment w:val="auto"/>
              <w:rPr>
                <w:rFonts w:hint="eastAsia"/>
                <w:b/>
                <w:bCs/>
                <w:color w:val="000000" w:themeColor="text1"/>
                <w:sz w:val="24"/>
                <w:lang w:val="en-US" w:eastAsia="zh-CN"/>
                <w14:textFill>
                  <w14:solidFill>
                    <w14:schemeClr w14:val="tx1"/>
                  </w14:solidFill>
                </w14:textFill>
              </w:rPr>
            </w:pPr>
            <w:r>
              <w:rPr>
                <w:rFonts w:hint="eastAsia" w:cs="Times New Roman"/>
                <w:b w:val="0"/>
                <w:bCs w:val="0"/>
                <w:color w:val="000000" w:themeColor="text1"/>
                <w:kern w:val="0"/>
                <w:sz w:val="24"/>
                <w:lang w:val="en-US" w:eastAsia="zh-CN"/>
                <w14:textFill>
                  <w14:solidFill>
                    <w14:schemeClr w14:val="tx1"/>
                  </w14:solidFill>
                </w14:textFill>
              </w:rPr>
              <w:t>根据《黑龙江省自然资源厅 黑龙江省发展和改革委员会 关于简化用地管理加快电网建设的通知》（黑自然资函〔2018〕46号）中第四条中“电网线路（通信等）塔基、线杆用地，要通过优化调整线路布局，尽量少占或者不占耕地，经与当地农村经济组织及农民协商达成协议后，通过土地流转、协议补偿等方式直接使用，在工程使用期结束后恢复原地类。”以及黑龙江省人民政府常务纪要（第十六次）第四条中提出的“对于与电网建设输变电工程线路塔基类似的建设用地，如确需占用少量永久基本农田，又因未列入国家项目而无法办理项目用地预审、核准及后续用地审批的，可以享受同等简化用地管理政策，经与当地农村经济组织及农民协商达成协议后，通过土地流转、协议补偿等方式直接使用，在工程项目使用”，本项目线路工程塔基部分占用基本农田，采取相应的协议补偿，开工前按法定程序申请临时用地并编制土地复垦方案，经县级自然资源主管部门批准后临时占用，施工结束后，塔基下的土地功能保持不变，故项目所在区域的基本农田总数保持不变。本项目符合《中华人民共和国基本农田保护条例》的相关规定。</w:t>
            </w:r>
          </w:p>
          <w:p w14:paraId="12BC9E7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2" w:firstLineChars="200"/>
              <w:textAlignment w:val="auto"/>
              <w:rPr>
                <w:rFonts w:hint="default"/>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15、《自然资源部农业农村部关于加强和改进永久基本农田保护工作的通知》（自然资规〔2019〕1号）符合性分析</w:t>
            </w:r>
          </w:p>
          <w:p w14:paraId="25A6EAB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0" w:firstLineChars="200"/>
              <w:textAlignment w:val="auto"/>
              <w:rPr>
                <w:rFonts w:hint="eastAsia"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2019年自然资源部农业农村部发布了《关于加强和改进永久基本农田保护工作的通知》，文件中指出，坚持最严格的耕地保护制度和最严格的节约用地制度，落实</w:t>
            </w:r>
            <w:r>
              <w:rPr>
                <w:rFonts w:hint="eastAsia" w:cs="Times New Roman"/>
                <w:color w:val="000000" w:themeColor="text1"/>
                <w:kern w:val="0"/>
                <w:sz w:val="24"/>
                <w:lang w:eastAsia="zh-CN"/>
                <w14:textFill>
                  <w14:solidFill>
                    <w14:schemeClr w14:val="tx1"/>
                  </w14:solidFill>
                </w14:textFill>
              </w:rPr>
              <w:t>“</w:t>
            </w:r>
            <w:r>
              <w:rPr>
                <w:rFonts w:hint="eastAsia" w:ascii="Times New Roman" w:hAnsi="Times New Roman" w:eastAsia="宋体" w:cs="Times New Roman"/>
                <w:color w:val="000000" w:themeColor="text1"/>
                <w:kern w:val="0"/>
                <w:sz w:val="24"/>
                <w14:textFill>
                  <w14:solidFill>
                    <w14:schemeClr w14:val="tx1"/>
                  </w14:solidFill>
                </w14:textFill>
              </w:rPr>
              <w:t>藏粮于地、藏粮于技</w:t>
            </w:r>
            <w:r>
              <w:rPr>
                <w:rFonts w:hint="eastAsia" w:cs="Times New Roman"/>
                <w:color w:val="000000" w:themeColor="text1"/>
                <w:kern w:val="0"/>
                <w:sz w:val="24"/>
                <w:lang w:eastAsia="zh-CN"/>
                <w14:textFill>
                  <w14:solidFill>
                    <w14:schemeClr w14:val="tx1"/>
                  </w14:solidFill>
                </w14:textFill>
              </w:rPr>
              <w:t>”</w:t>
            </w:r>
            <w:r>
              <w:rPr>
                <w:rFonts w:hint="eastAsia" w:ascii="Times New Roman" w:hAnsi="Times New Roman" w:eastAsia="宋体" w:cs="Times New Roman"/>
                <w:color w:val="000000" w:themeColor="text1"/>
                <w:kern w:val="0"/>
                <w:sz w:val="24"/>
                <w14:textFill>
                  <w14:solidFill>
                    <w14:schemeClr w14:val="tx1"/>
                  </w14:solidFill>
                </w14:textFill>
              </w:rPr>
              <w:t>战略，以确保国家粮食安全和农产品质量安全为目标，加强耕地数量、质量、生态“三位一体”保护，构建保护有力、集约高效、监管严格的永久基本农田特殊保护新格局，牢牢守住耕地红线。</w:t>
            </w:r>
          </w:p>
          <w:p w14:paraId="3C3A68F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rightChars="0" w:firstLine="480" w:firstLineChars="200"/>
              <w:textAlignment w:val="auto"/>
              <w:rPr>
                <w:rFonts w:hint="eastAsia"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具体符合性分析见下</w:t>
            </w:r>
            <w:r>
              <w:rPr>
                <w:rFonts w:hint="eastAsia" w:ascii="Times New Roman" w:hAnsi="Times New Roman" w:cs="Times New Roman"/>
                <w:color w:val="000000" w:themeColor="text1"/>
                <w:kern w:val="0"/>
                <w:sz w:val="24"/>
                <w:lang w:val="en-US" w:eastAsia="zh-CN"/>
                <w14:textFill>
                  <w14:solidFill>
                    <w14:schemeClr w14:val="tx1"/>
                  </w14:solidFill>
                </w14:textFill>
              </w:rPr>
              <w:t>表</w:t>
            </w:r>
            <w:r>
              <w:rPr>
                <w:rFonts w:hint="eastAsia" w:ascii="Times New Roman" w:hAnsi="Times New Roman" w:eastAsia="宋体" w:cs="Times New Roman"/>
                <w:color w:val="000000" w:themeColor="text1"/>
                <w:kern w:val="0"/>
                <w:sz w:val="24"/>
                <w14:textFill>
                  <w14:solidFill>
                    <w14:schemeClr w14:val="tx1"/>
                  </w14:solidFill>
                </w14:textFill>
              </w:rPr>
              <w:t>。</w:t>
            </w:r>
          </w:p>
          <w:p w14:paraId="089D59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cs="Times New Roman"/>
                <w:b/>
                <w:bCs/>
                <w:color w:val="000000" w:themeColor="text1"/>
                <w:sz w:val="24"/>
                <w:lang w:val="en-US" w:eastAsia="zh-CN"/>
                <w14:textFill>
                  <w14:solidFill>
                    <w14:schemeClr w14:val="tx1"/>
                  </w14:solidFill>
                </w14:textFill>
              </w:rPr>
              <w:t>表 1-</w:t>
            </w:r>
            <w:r>
              <w:rPr>
                <w:rFonts w:hint="eastAsia" w:cs="Times New Roman"/>
                <w:b/>
                <w:bCs/>
                <w:color w:val="000000" w:themeColor="text1"/>
                <w:sz w:val="24"/>
                <w:lang w:val="en-US" w:eastAsia="zh-CN"/>
                <w14:textFill>
                  <w14:solidFill>
                    <w14:schemeClr w14:val="tx1"/>
                  </w14:solidFill>
                </w14:textFill>
              </w:rPr>
              <w:t>6</w:t>
            </w:r>
            <w:r>
              <w:rPr>
                <w:rFonts w:hint="eastAsia" w:ascii="Times New Roman" w:hAnsi="Times New Roman" w:cs="Times New Roman"/>
                <w:b/>
                <w:bCs/>
                <w:color w:val="000000" w:themeColor="text1"/>
                <w:sz w:val="24"/>
                <w:lang w:val="en-US" w:eastAsia="zh-CN"/>
                <w14:textFill>
                  <w14:solidFill>
                    <w14:schemeClr w14:val="tx1"/>
                  </w14:solidFill>
                </w14:textFill>
              </w:rPr>
              <w:t xml:space="preserve"> 符合性分析一览表</w:t>
            </w:r>
          </w:p>
          <w:tbl>
            <w:tblPr>
              <w:tblStyle w:val="31"/>
              <w:tblW w:w="47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3323"/>
              <w:gridCol w:w="2602"/>
            </w:tblGrid>
            <w:tr w14:paraId="29F97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7" w:type="dxa"/>
                  <w:vAlign w:val="center"/>
                </w:tcPr>
                <w:p w14:paraId="0ECBCB5D">
                  <w:pPr>
                    <w:pStyle w:val="68"/>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序号</w:t>
                  </w:r>
                </w:p>
              </w:tc>
              <w:tc>
                <w:tcPr>
                  <w:tcW w:w="3382" w:type="dxa"/>
                  <w:vAlign w:val="center"/>
                </w:tcPr>
                <w:p w14:paraId="05F2CF7B">
                  <w:pPr>
                    <w:pStyle w:val="68"/>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文件要求</w:t>
                  </w:r>
                </w:p>
              </w:tc>
              <w:tc>
                <w:tcPr>
                  <w:tcW w:w="2632" w:type="dxa"/>
                  <w:vAlign w:val="center"/>
                </w:tcPr>
                <w:p w14:paraId="43C2A9D9">
                  <w:pPr>
                    <w:pStyle w:val="68"/>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符合性分析</w:t>
                  </w:r>
                </w:p>
              </w:tc>
            </w:tr>
            <w:tr w14:paraId="5A822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7" w:type="dxa"/>
                  <w:vAlign w:val="center"/>
                </w:tcPr>
                <w:p w14:paraId="36BF8ADE">
                  <w:pPr>
                    <w:pStyle w:val="68"/>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3382" w:type="dxa"/>
                  <w:vAlign w:val="center"/>
                </w:tcPr>
                <w:p w14:paraId="306D3798">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left"/>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严格占用和补划审查论证。一般建设项目不得占用永久基本农田；重大建设项目选址确实难以避让永久基本农田的，在可行性研究阶段，省级自然资源主管部门负责组织对占用的必要性、合理性和补划方案的可行性进行严格论证，报自然资源部用地预审；农用地转用和土地征收依法报批。深度贫困地区、集中连片特困地区、国家扶贫开发工作重点县省级以下基础设施、易地扶贫搬迁、民生发展等建设项目，确实难以避让永久基本农田的，可以纳入重大建设项目范围，由省级自然资源主管部门办理用地预审，并按照规定办理农用地转用和土地征收。严禁通过擅自调整县乡土地利用总体规划，规避占用永久基本农田的审批。</w:t>
                  </w:r>
                </w:p>
              </w:tc>
              <w:tc>
                <w:tcPr>
                  <w:tcW w:w="2632" w:type="dxa"/>
                  <w:vMerge w:val="restart"/>
                  <w:vAlign w:val="center"/>
                </w:tcPr>
                <w:p w14:paraId="4EDE66D1">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eastAsia="宋体"/>
                      <w:color w:val="000000" w:themeColor="text1"/>
                      <w:lang w:val="en-US" w:eastAsia="zh-CN"/>
                      <w14:textFill>
                        <w14:solidFill>
                          <w14:schemeClr w14:val="tx1"/>
                        </w14:solidFill>
                      </w14:textFill>
                    </w:rPr>
                  </w:pPr>
                  <w:r>
                    <w:rPr>
                      <w:rFonts w:hint="default" w:ascii="Times New Roman" w:hAnsi="Times New Roman" w:eastAsia="宋体" w:cs="宋体"/>
                      <w:b w:val="0"/>
                      <w:bCs w:val="0"/>
                      <w:color w:val="FF0000"/>
                      <w:kern w:val="0"/>
                      <w:sz w:val="21"/>
                      <w:szCs w:val="21"/>
                      <w:highlight w:val="none"/>
                      <w:lang w:val="en-US" w:eastAsia="zh-CN" w:bidi="ar"/>
                    </w:rPr>
                    <w:t>本项目线路占用基本农田</w:t>
                  </w:r>
                  <w:r>
                    <w:rPr>
                      <w:rFonts w:hint="eastAsia" w:cs="宋体"/>
                      <w:b w:val="0"/>
                      <w:bCs w:val="0"/>
                      <w:color w:val="FF0000"/>
                      <w:kern w:val="0"/>
                      <w:sz w:val="21"/>
                      <w:szCs w:val="21"/>
                      <w:highlight w:val="none"/>
                      <w:lang w:val="en-US" w:eastAsia="zh-CN" w:bidi="ar"/>
                    </w:rPr>
                    <w:t>12.41</w:t>
                  </w:r>
                  <w:r>
                    <w:rPr>
                      <w:rFonts w:hint="eastAsia" w:ascii="Times New Roman" w:hAnsi="Times New Roman" w:cs="宋体"/>
                      <w:b w:val="0"/>
                      <w:bCs w:val="0"/>
                      <w:color w:val="FF0000"/>
                      <w:kern w:val="0"/>
                      <w:sz w:val="21"/>
                      <w:szCs w:val="21"/>
                      <w:highlight w:val="none"/>
                      <w:lang w:val="en-US" w:eastAsia="zh-CN" w:bidi="ar"/>
                    </w:rPr>
                    <w:t>hm</w:t>
                  </w:r>
                  <w:r>
                    <w:rPr>
                      <w:rFonts w:hint="eastAsia" w:ascii="Times New Roman" w:hAnsi="Times New Roman" w:cs="宋体"/>
                      <w:b w:val="0"/>
                      <w:bCs w:val="0"/>
                      <w:color w:val="FF0000"/>
                      <w:kern w:val="0"/>
                      <w:sz w:val="21"/>
                      <w:szCs w:val="21"/>
                      <w:highlight w:val="none"/>
                      <w:vertAlign w:val="superscript"/>
                      <w:lang w:val="en-US" w:eastAsia="zh-CN" w:bidi="ar"/>
                    </w:rPr>
                    <w:t>2</w:t>
                  </w:r>
                  <w:r>
                    <w:rPr>
                      <w:rFonts w:hint="eastAsia" w:ascii="Times New Roman" w:hAnsi="Times New Roman" w:cs="宋体"/>
                      <w:b w:val="0"/>
                      <w:bCs w:val="0"/>
                      <w:color w:val="FF0000"/>
                      <w:kern w:val="0"/>
                      <w:sz w:val="21"/>
                      <w:szCs w:val="21"/>
                      <w:highlight w:val="none"/>
                      <w:vertAlign w:val="baseline"/>
                      <w:lang w:val="en-US" w:eastAsia="zh-CN" w:bidi="ar"/>
                    </w:rPr>
                    <w:t>（永久占地</w:t>
                  </w:r>
                  <w:r>
                    <w:rPr>
                      <w:rFonts w:hint="eastAsia" w:cs="宋体"/>
                      <w:b w:val="0"/>
                      <w:bCs w:val="0"/>
                      <w:color w:val="FF0000"/>
                      <w:kern w:val="0"/>
                      <w:sz w:val="21"/>
                      <w:szCs w:val="21"/>
                      <w:highlight w:val="none"/>
                      <w:vertAlign w:val="baseline"/>
                      <w:lang w:val="en-US" w:eastAsia="zh-CN" w:bidi="ar"/>
                    </w:rPr>
                    <w:t>1.08</w:t>
                  </w:r>
                  <w:r>
                    <w:rPr>
                      <w:rFonts w:hint="eastAsia" w:ascii="Times New Roman" w:hAnsi="Times New Roman" w:cs="宋体"/>
                      <w:b w:val="0"/>
                      <w:bCs w:val="0"/>
                      <w:color w:val="FF0000"/>
                      <w:kern w:val="0"/>
                      <w:sz w:val="21"/>
                      <w:szCs w:val="21"/>
                      <w:highlight w:val="none"/>
                      <w:vertAlign w:val="baseline"/>
                      <w:lang w:val="en-US" w:eastAsia="zh-CN" w:bidi="ar"/>
                    </w:rPr>
                    <w:t>h</w:t>
                  </w:r>
                  <w:r>
                    <w:rPr>
                      <w:rFonts w:hint="eastAsia" w:ascii="Times New Roman" w:hAnsi="Times New Roman" w:cs="宋体"/>
                      <w:b w:val="0"/>
                      <w:bCs w:val="0"/>
                      <w:color w:val="FF0000"/>
                      <w:kern w:val="0"/>
                      <w:sz w:val="21"/>
                      <w:szCs w:val="21"/>
                      <w:highlight w:val="none"/>
                      <w:lang w:val="en-US" w:eastAsia="zh-CN" w:bidi="ar"/>
                    </w:rPr>
                    <w:t>m</w:t>
                  </w:r>
                  <w:r>
                    <w:rPr>
                      <w:rFonts w:hint="eastAsia" w:ascii="Times New Roman" w:hAnsi="Times New Roman" w:cs="宋体"/>
                      <w:b w:val="0"/>
                      <w:bCs w:val="0"/>
                      <w:color w:val="FF0000"/>
                      <w:kern w:val="0"/>
                      <w:sz w:val="21"/>
                      <w:szCs w:val="21"/>
                      <w:highlight w:val="none"/>
                      <w:vertAlign w:val="superscript"/>
                      <w:lang w:val="en-US" w:eastAsia="zh-CN" w:bidi="ar"/>
                    </w:rPr>
                    <w:t>2</w:t>
                  </w:r>
                  <w:r>
                    <w:rPr>
                      <w:rFonts w:hint="eastAsia" w:ascii="Times New Roman" w:hAnsi="Times New Roman" w:cs="宋体"/>
                      <w:b w:val="0"/>
                      <w:bCs w:val="0"/>
                      <w:color w:val="FF0000"/>
                      <w:kern w:val="0"/>
                      <w:sz w:val="21"/>
                      <w:szCs w:val="21"/>
                      <w:highlight w:val="none"/>
                      <w:vertAlign w:val="baseline"/>
                      <w:lang w:val="en-US" w:eastAsia="zh-CN" w:bidi="ar"/>
                    </w:rPr>
                    <w:t>，临时占地</w:t>
                  </w:r>
                  <w:r>
                    <w:rPr>
                      <w:rFonts w:hint="eastAsia" w:cs="宋体"/>
                      <w:b w:val="0"/>
                      <w:bCs w:val="0"/>
                      <w:color w:val="FF0000"/>
                      <w:kern w:val="0"/>
                      <w:sz w:val="21"/>
                      <w:szCs w:val="21"/>
                      <w:highlight w:val="none"/>
                      <w:vertAlign w:val="baseline"/>
                      <w:lang w:val="en-US" w:eastAsia="zh-CN" w:bidi="ar"/>
                    </w:rPr>
                    <w:t>11.33</w:t>
                  </w:r>
                  <w:r>
                    <w:rPr>
                      <w:rFonts w:hint="eastAsia" w:ascii="Times New Roman" w:hAnsi="Times New Roman" w:cs="宋体"/>
                      <w:b w:val="0"/>
                      <w:bCs w:val="0"/>
                      <w:color w:val="FF0000"/>
                      <w:kern w:val="0"/>
                      <w:sz w:val="21"/>
                      <w:szCs w:val="21"/>
                      <w:highlight w:val="none"/>
                      <w:lang w:val="en-US" w:eastAsia="zh-CN" w:bidi="ar"/>
                    </w:rPr>
                    <w:t>m</w:t>
                  </w:r>
                  <w:r>
                    <w:rPr>
                      <w:rFonts w:hint="eastAsia" w:ascii="Times New Roman" w:hAnsi="Times New Roman" w:cs="宋体"/>
                      <w:b w:val="0"/>
                      <w:bCs w:val="0"/>
                      <w:color w:val="FF0000"/>
                      <w:kern w:val="0"/>
                      <w:sz w:val="21"/>
                      <w:szCs w:val="21"/>
                      <w:highlight w:val="none"/>
                      <w:vertAlign w:val="superscript"/>
                      <w:lang w:val="en-US" w:eastAsia="zh-CN" w:bidi="ar"/>
                    </w:rPr>
                    <w:t>2</w:t>
                  </w:r>
                  <w:r>
                    <w:rPr>
                      <w:rFonts w:hint="eastAsia" w:ascii="Times New Roman" w:hAnsi="Times New Roman" w:cs="宋体"/>
                      <w:b w:val="0"/>
                      <w:bCs w:val="0"/>
                      <w:color w:val="FF0000"/>
                      <w:kern w:val="0"/>
                      <w:sz w:val="21"/>
                      <w:szCs w:val="21"/>
                      <w:highlight w:val="none"/>
                      <w:vertAlign w:val="baseline"/>
                      <w:lang w:val="en-US" w:eastAsia="zh-CN" w:bidi="ar"/>
                    </w:rPr>
                    <w:t>）</w:t>
                  </w:r>
                  <w:r>
                    <w:rPr>
                      <w:rFonts w:hint="eastAsia" w:ascii="Times New Roman" w:hAnsi="Times New Roman" w:cs="宋体"/>
                      <w:b w:val="0"/>
                      <w:bCs w:val="0"/>
                      <w:color w:val="FF0000"/>
                      <w:kern w:val="0"/>
                      <w:sz w:val="21"/>
                      <w:szCs w:val="21"/>
                      <w:highlight w:val="none"/>
                      <w:lang w:val="en-US" w:eastAsia="zh-CN" w:bidi="ar"/>
                    </w:rPr>
                    <w:t>。</w:t>
                  </w:r>
                  <w:r>
                    <w:rPr>
                      <w:rFonts w:hint="eastAsia" w:ascii="Times New Roman" w:hAnsi="Times New Roman" w:cs="宋体"/>
                      <w:b w:val="0"/>
                      <w:bCs w:val="0"/>
                      <w:color w:val="000000" w:themeColor="text1"/>
                      <w:kern w:val="0"/>
                      <w:sz w:val="21"/>
                      <w:szCs w:val="21"/>
                      <w:highlight w:val="none"/>
                      <w:lang w:val="en-US" w:eastAsia="zh-CN" w:bidi="ar"/>
                      <w14:textFill>
                        <w14:solidFill>
                          <w14:schemeClr w14:val="tx1"/>
                        </w14:solidFill>
                      </w14:textFill>
                    </w:rPr>
                    <w:t>根据黑龙江省人民政府常务纪要</w:t>
                  </w:r>
                  <w:r>
                    <w:rPr>
                      <w:rFonts w:hint="eastAsia" w:ascii="Times New Roman" w:hAnsi="Times New Roman" w:cs="宋体"/>
                      <w:b w:val="0"/>
                      <w:bCs w:val="0"/>
                      <w:color w:val="000000" w:themeColor="text1"/>
                      <w:kern w:val="0"/>
                      <w:sz w:val="21"/>
                      <w:szCs w:val="21"/>
                      <w:lang w:val="en-US" w:eastAsia="zh-CN" w:bidi="ar"/>
                      <w14:textFill>
                        <w14:solidFill>
                          <w14:schemeClr w14:val="tx1"/>
                        </w14:solidFill>
                      </w14:textFill>
                    </w:rPr>
                    <w:t>（第十六次）（2018年10月30日）第四条中提出的“对于与电网建设输变电工程线路塔基类似的建设用地，如确需占用少量永久基本农田，又因未列入国家项目而无法办理项目用地预审、核准及后续用地审批的，可以享受同等简化用地管理政策，经与当地农村经济组织及农民协商达成协议后，通过土地流转、协议补偿等方式直接使用，在工程项目使用”。又以《黑龙江省自然资源厅 黑龙江省发展和改革委员会 关于简化用地管理加快电网建设的通知》（黑自然资函〔2018〕46号）（2018年11月28日）中第四条“电网线路（通信等）塔基、线杆用地，要通过优化调整线路布局，尽量少占或者不占耕地，经与当地农村经济组织及农民协商达成协议后，通过土地流转、协议补偿等方式直接使用，在工程使用期结束后恢复原地类。”保证本项目线路工程塔基部分占用基本农田，采取“只占不征”的方式，由建设单位及施工单位与当地农村经济组织及农民协商达成协议后，通过协议补偿方式直接使用在工程使用期结束后恢复原地类，做好农田的复耕工作。</w:t>
                  </w:r>
                </w:p>
              </w:tc>
            </w:tr>
            <w:tr w14:paraId="76147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7" w:type="dxa"/>
                  <w:vAlign w:val="center"/>
                </w:tcPr>
                <w:p w14:paraId="4B58F393">
                  <w:pPr>
                    <w:pStyle w:val="68"/>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3382" w:type="dxa"/>
                  <w:vAlign w:val="center"/>
                </w:tcPr>
                <w:p w14:paraId="7553DA56">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left"/>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重大建设项目占用永久基本农田的，按照“数量不减、质量不降、布局稳定”的要求进行补划，并按照法定程序修改相应的土地利用总体规划。补划的永久基本农田必须是坡度小于25度的耕地，原则上与现有永久基本农田集中连片。占用城市周边永久基本农田的，原则上在城市周边范围内补划，经实地踏勘论证确实难以在城市周边补划的，按照空间由近及远、质量由高到低的要求进行补划。重大建设项目用地预审和审查中要严格把关，切实落实最严格的节约集约用地制度，尽量不占或少占永久基本农田；重大建设项目在用地预审时不占永久基本农田、用地审批时占用的，按有关要求报自然资源部用地预审。线性重大建设项目占用永久基本农田用地预审通过后，选址发生局部调整、占用永久基本农田规模和区位发生变化的，由省级自然资源主管部门论证审核后完善补划方案，在用地审查报批时详细说明调整和补划情况。非线性重大建设项目占用永久基本农田用地预审通过后，所占规模和区位原则上不予调整。</w:t>
                  </w:r>
                </w:p>
              </w:tc>
              <w:tc>
                <w:tcPr>
                  <w:tcW w:w="2632" w:type="dxa"/>
                  <w:vMerge w:val="continue"/>
                  <w:vAlign w:val="center"/>
                </w:tcPr>
                <w:p w14:paraId="32DF7EC2">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textAlignment w:val="auto"/>
                    <w:rPr>
                      <w:rFonts w:hint="eastAsia"/>
                      <w:color w:val="000000" w:themeColor="text1"/>
                      <w14:textFill>
                        <w14:solidFill>
                          <w14:schemeClr w14:val="tx1"/>
                        </w14:solidFill>
                      </w14:textFill>
                    </w:rPr>
                  </w:pPr>
                </w:p>
              </w:tc>
            </w:tr>
            <w:tr w14:paraId="5C955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7" w:type="dxa"/>
                  <w:vAlign w:val="center"/>
                </w:tcPr>
                <w:p w14:paraId="73FBAA42">
                  <w:pPr>
                    <w:pStyle w:val="68"/>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3382" w:type="dxa"/>
                  <w:vAlign w:val="center"/>
                </w:tcPr>
                <w:p w14:paraId="62B1CCFC">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left"/>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临时用地一般不得占用永久基本农田，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同时，通过耕地耕作层土壤剥离再利用等工程技术措施，减少对耕作层的破坏。临时用地到期后土地使用者应及时复垦恢复原种植条件，县级自然资源主管部门会同农业农村等相关主管部门开展土地复垦验收，验收合格的，继续按照永久基本农田保护和管理；验收不合格的，责令土地使用者进行整改，经整改仍不合格的，按照《土地复垦条例》规定由县级自然资源主管部门使用缴纳的土地复垦费代为组织复垦，并由县级自然资源主管部门会同农业农村等相关主管部门开展土地复垦验收。县级自然资源主管部门要切实履行职责，对在临时用地上修建永久性建（构）筑物或其他造成无法恢复原种植条件的行为依法进行处理；市级自然资源主管部门负责临时用地使用情况的监督管理，通过日常检查、年度卫片执法检查等，及时发现并纠正临时用地中存在的问题。</w:t>
                  </w:r>
                </w:p>
              </w:tc>
              <w:tc>
                <w:tcPr>
                  <w:tcW w:w="2632" w:type="dxa"/>
                  <w:vMerge w:val="continue"/>
                  <w:vAlign w:val="center"/>
                </w:tcPr>
                <w:p w14:paraId="0BFCBAD1">
                  <w:pPr>
                    <w:pStyle w:val="68"/>
                    <w:keepNext w:val="0"/>
                    <w:keepLines w:val="0"/>
                    <w:suppressLineNumbers w:val="0"/>
                    <w:bidi w:val="0"/>
                    <w:spacing w:before="0" w:beforeAutospacing="0" w:after="0" w:afterAutospacing="0"/>
                    <w:ind w:left="0" w:right="0"/>
                    <w:rPr>
                      <w:rFonts w:hint="eastAsia"/>
                      <w:color w:val="000000" w:themeColor="text1"/>
                      <w14:textFill>
                        <w14:solidFill>
                          <w14:schemeClr w14:val="tx1"/>
                        </w14:solidFill>
                      </w14:textFill>
                    </w:rPr>
                  </w:pPr>
                </w:p>
              </w:tc>
            </w:tr>
          </w:tbl>
          <w:p w14:paraId="0C263F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kern w:val="0"/>
                <w:sz w:val="24"/>
                <w14:textFill>
                  <w14:solidFill>
                    <w14:schemeClr w14:val="tx1"/>
                  </w14:solidFill>
                </w14:textFill>
              </w:rPr>
            </w:pPr>
          </w:p>
          <w:p w14:paraId="4EA433F8">
            <w:pPr>
              <w:pStyle w:val="14"/>
              <w:keepNext w:val="0"/>
              <w:keepLines w:val="0"/>
              <w:suppressLineNumbers w:val="0"/>
              <w:spacing w:before="0" w:beforeAutospacing="0" w:after="0" w:afterAutospacing="0"/>
              <w:rPr>
                <w:rFonts w:hint="default" w:ascii="Times New Roman" w:hAnsi="Times New Roman" w:eastAsia="宋体" w:cs="Times New Roman"/>
                <w:color w:val="000000" w:themeColor="text1"/>
                <w:kern w:val="0"/>
                <w:sz w:val="24"/>
                <w14:textFill>
                  <w14:solidFill>
                    <w14:schemeClr w14:val="tx1"/>
                  </w14:solidFill>
                </w14:textFill>
              </w:rPr>
            </w:pPr>
          </w:p>
        </w:tc>
      </w:tr>
    </w:tbl>
    <w:p w14:paraId="4380467E">
      <w:pPr>
        <w:spacing w:line="360" w:lineRule="auto"/>
        <w:rPr>
          <w:rFonts w:eastAsia="黑体"/>
          <w:sz w:val="24"/>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33CD9297">
      <w:pPr>
        <w:pStyle w:val="25"/>
        <w:ind w:firstLine="420"/>
        <w:jc w:val="center"/>
        <w:outlineLvl w:val="0"/>
        <w:rPr>
          <w:rFonts w:ascii="黑体" w:hAnsi="黑体" w:eastAsia="黑体"/>
          <w:snapToGrid w:val="0"/>
          <w:sz w:val="30"/>
          <w:szCs w:val="30"/>
        </w:rPr>
      </w:pPr>
      <w:bookmarkStart w:id="4" w:name="_Toc12061"/>
      <w:bookmarkStart w:id="5" w:name="_Toc8586"/>
      <w:bookmarkStart w:id="6" w:name="_Toc3414"/>
      <w:r>
        <w:rPr>
          <w:rFonts w:hint="eastAsia" w:ascii="黑体" w:hAnsi="黑体" w:eastAsia="黑体"/>
          <w:snapToGrid w:val="0"/>
          <w:sz w:val="30"/>
          <w:szCs w:val="30"/>
        </w:rPr>
        <w:t>二、建设内容</w:t>
      </w:r>
      <w:bookmarkEnd w:id="4"/>
      <w:bookmarkEnd w:id="5"/>
      <w:bookmarkEnd w:id="6"/>
    </w:p>
    <w:tbl>
      <w:tblPr>
        <w:tblStyle w:val="30"/>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8562"/>
      </w:tblGrid>
      <w:tr w14:paraId="1B156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3" w:hRule="atLeast"/>
          <w:jc w:val="center"/>
        </w:trPr>
        <w:tc>
          <w:tcPr>
            <w:tcW w:w="710" w:type="dxa"/>
            <w:vAlign w:val="center"/>
          </w:tcPr>
          <w:p w14:paraId="4A8C87E1">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地理位置</w:t>
            </w:r>
          </w:p>
        </w:tc>
        <w:tc>
          <w:tcPr>
            <w:tcW w:w="8380" w:type="dxa"/>
            <w:vAlign w:val="center"/>
          </w:tcPr>
          <w:p w14:paraId="43BD1459">
            <w:pPr>
              <w:keepNext w:val="0"/>
              <w:keepLines w:val="0"/>
              <w:suppressLineNumbers w:val="0"/>
              <w:spacing w:before="0" w:beforeAutospacing="0" w:after="0" w:afterAutospacing="0" w:line="360" w:lineRule="auto"/>
              <w:ind w:left="0" w:right="0" w:firstLine="480" w:firstLineChars="200"/>
              <w:rPr>
                <w:rFonts w:hint="default" w:eastAsia="黑体"/>
                <w:color w:val="000000" w:themeColor="text1"/>
                <w:sz w:val="24"/>
                <w14:textFill>
                  <w14:solidFill>
                    <w14:schemeClr w14:val="tx1"/>
                  </w14:solidFill>
                </w14:textFill>
              </w:rPr>
            </w:pPr>
            <w:r>
              <w:rPr>
                <w:rFonts w:hint="eastAsia"/>
                <w:color w:val="000000" w:themeColor="text1"/>
                <w:kern w:val="0"/>
                <w:sz w:val="24"/>
                <w:lang w:val="en-US" w:eastAsia="zh-CN"/>
                <w14:textFill>
                  <w14:solidFill>
                    <w14:schemeClr w14:val="tx1"/>
                  </w14:solidFill>
                </w14:textFill>
              </w:rPr>
              <w:t>本工程线路位于黑龙江省鸡西市恒山区、鸡东县，呈西南走向，起点位于鸡东县鸡西500千伏变电站，终点位于恒山区恒山220kV变电站</w:t>
            </w:r>
            <w:r>
              <w:rPr>
                <w:rFonts w:hint="default"/>
                <w:color w:val="000000" w:themeColor="text1"/>
                <w:kern w:val="0"/>
                <w:sz w:val="24"/>
                <w14:textFill>
                  <w14:solidFill>
                    <w14:schemeClr w14:val="tx1"/>
                  </w14:solidFill>
                </w14:textFill>
              </w:rPr>
              <w:t>。</w:t>
            </w:r>
          </w:p>
        </w:tc>
      </w:tr>
      <w:tr w14:paraId="4C6BE0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0" w:type="dxa"/>
            <w:vAlign w:val="center"/>
          </w:tcPr>
          <w:p w14:paraId="6FF43E62">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项目组成及规模</w:t>
            </w:r>
          </w:p>
        </w:tc>
        <w:tc>
          <w:tcPr>
            <w:tcW w:w="8380" w:type="dxa"/>
            <w:vAlign w:val="center"/>
          </w:tcPr>
          <w:p w14:paraId="61E0E8F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eastAsia"/>
                <w:b/>
                <w:bCs/>
                <w:color w:val="000000" w:themeColor="text1"/>
                <w:kern w:val="0"/>
                <w:sz w:val="24"/>
                <w:lang w:val="en-US" w:eastAsia="zh-CN"/>
                <w14:textFill>
                  <w14:solidFill>
                    <w14:schemeClr w14:val="tx1"/>
                  </w14:solidFill>
                </w14:textFill>
              </w:rPr>
            </w:pPr>
            <w:r>
              <w:rPr>
                <w:rFonts w:hint="eastAsia" w:cs="Times New Roman"/>
                <w:b/>
                <w:bCs/>
                <w:color w:val="000000" w:themeColor="text1"/>
                <w:kern w:val="0"/>
                <w:sz w:val="24"/>
                <w:szCs w:val="24"/>
                <w:lang w:val="en-US" w:eastAsia="zh-CN" w:bidi="ar-SA"/>
                <w14:textFill>
                  <w14:solidFill>
                    <w14:schemeClr w14:val="tx1"/>
                  </w14:solidFill>
                </w14:textFill>
              </w:rPr>
              <w:t>1</w:t>
            </w:r>
            <w:r>
              <w:rPr>
                <w:rFonts w:hint="eastAsia" w:ascii="Times New Roman" w:hAnsi="Times New Roman" w:eastAsia="宋体" w:cs="Times New Roman"/>
                <w:b/>
                <w:bCs/>
                <w:color w:val="000000" w:themeColor="text1"/>
                <w:kern w:val="0"/>
                <w:sz w:val="24"/>
                <w:szCs w:val="24"/>
                <w:lang w:val="en-US" w:eastAsia="zh-CN" w:bidi="ar-SA"/>
                <w14:textFill>
                  <w14:solidFill>
                    <w14:schemeClr w14:val="tx1"/>
                  </w14:solidFill>
                </w14:textFill>
              </w:rPr>
              <w:t>、</w:t>
            </w:r>
            <w:r>
              <w:rPr>
                <w:rFonts w:hint="eastAsia"/>
                <w:b/>
                <w:bCs/>
                <w:color w:val="000000" w:themeColor="text1"/>
                <w:kern w:val="0"/>
                <w:sz w:val="24"/>
                <w:lang w:val="en-US" w:eastAsia="zh-CN"/>
                <w14:textFill>
                  <w14:solidFill>
                    <w14:schemeClr w14:val="tx1"/>
                  </w14:solidFill>
                </w14:textFill>
              </w:rPr>
              <w:t>项目由来</w:t>
            </w:r>
          </w:p>
          <w:p w14:paraId="725CAE0A">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恒山220千伏变电站位于鸡西市恒山区，现运行主变2台，容量为2</w:t>
            </w:r>
            <w:r>
              <w:rPr>
                <w:rFonts w:hint="eastAsia" w:cs="Times New Roman"/>
                <w:b w:val="0"/>
                <w:bCs w:val="0"/>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90兆伏安。恒山变带有煤矿、石墨等重要用户变电站8座</w:t>
            </w:r>
            <w:r>
              <w:rPr>
                <w:rFonts w:hint="eastAsia" w:cs="Times New Roman"/>
                <w:b w:val="0"/>
                <w:bCs w:val="0"/>
                <w:color w:val="000000" w:themeColor="text1"/>
                <w:kern w:val="2"/>
                <w:sz w:val="24"/>
                <w:szCs w:val="24"/>
                <w:lang w:val="en-US" w:eastAsia="zh-CN" w:bidi="ar-SA"/>
                <w14:textFill>
                  <w14:solidFill>
                    <w14:schemeClr w14:val="tx1"/>
                  </w14:solidFill>
                </w14:textFill>
              </w:rPr>
              <w:t>，对供电可靠性要求较高。恒山变以两条220千伏鸡联甲、乙线与鸡西电网相连，当鸡联甲、乙同塔双回线路发生“N-2”故障或220千伏鸡联变母线故障时均存在220千伏恒山变全停风险。因此，为满足该地区负荷增长的需求,提高电网的供电能力和供电可靠性，实施黑龙江鸡西鸡西-恒山220千伏线路工程是必要的。</w:t>
            </w:r>
          </w:p>
          <w:p w14:paraId="5945D8BE">
            <w:pPr>
              <w:keepNext w:val="0"/>
              <w:keepLines w:val="0"/>
              <w:suppressLineNumbers w:val="0"/>
              <w:spacing w:before="0" w:beforeAutospacing="0" w:after="0" w:afterAutospacing="0" w:line="360" w:lineRule="auto"/>
              <w:ind w:left="0" w:right="0" w:firstLine="482" w:firstLineChars="200"/>
              <w:rPr>
                <w:rFonts w:hint="eastAsia"/>
                <w:b/>
                <w:bCs/>
                <w:color w:val="000000" w:themeColor="text1"/>
                <w:kern w:val="0"/>
                <w:sz w:val="24"/>
                <w:lang w:val="en-US" w:eastAsia="zh-CN"/>
                <w14:textFill>
                  <w14:solidFill>
                    <w14:schemeClr w14:val="tx1"/>
                  </w14:solidFill>
                </w14:textFill>
              </w:rPr>
            </w:pPr>
            <w:r>
              <w:rPr>
                <w:rFonts w:hint="eastAsia"/>
                <w:b/>
                <w:bCs/>
                <w:color w:val="000000" w:themeColor="text1"/>
                <w:kern w:val="0"/>
                <w:sz w:val="24"/>
                <w:lang w:val="en-US" w:eastAsia="zh-CN"/>
                <w14:textFill>
                  <w14:solidFill>
                    <w14:schemeClr w14:val="tx1"/>
                  </w14:solidFill>
                </w14:textFill>
              </w:rPr>
              <w:t>2</w:t>
            </w:r>
            <w:r>
              <w:rPr>
                <w:rFonts w:hint="eastAsia"/>
                <w:b/>
                <w:bCs/>
                <w:color w:val="000000" w:themeColor="text1"/>
                <w:kern w:val="0"/>
                <w:sz w:val="24"/>
                <w14:textFill>
                  <w14:solidFill>
                    <w14:schemeClr w14:val="tx1"/>
                  </w14:solidFill>
                </w14:textFill>
              </w:rPr>
              <w:t>、项目</w:t>
            </w:r>
            <w:r>
              <w:rPr>
                <w:rFonts w:hint="eastAsia"/>
                <w:b/>
                <w:bCs/>
                <w:color w:val="000000" w:themeColor="text1"/>
                <w:kern w:val="0"/>
                <w:sz w:val="24"/>
                <w:lang w:val="en-US" w:eastAsia="zh-CN"/>
                <w14:textFill>
                  <w14:solidFill>
                    <w14:schemeClr w14:val="tx1"/>
                  </w14:solidFill>
                </w14:textFill>
              </w:rPr>
              <w:t>规模</w:t>
            </w:r>
          </w:p>
          <w:p w14:paraId="7A591380">
            <w:pPr>
              <w:pStyle w:val="7"/>
              <w:keepNext w:val="0"/>
              <w:keepLines w:val="0"/>
              <w:suppressLineNumbers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b/>
                <w:bCs/>
                <w:color w:val="000000" w:themeColor="text1"/>
                <w:kern w:val="0"/>
                <w:sz w:val="24"/>
                <w:lang w:val="en-US" w:eastAsia="zh-CN" w:bidi="ar"/>
                <w14:textFill>
                  <w14:solidFill>
                    <w14:schemeClr w14:val="tx1"/>
                  </w14:solidFill>
                </w14:textFill>
              </w:rPr>
              <w:t xml:space="preserve">2.1 </w:t>
            </w:r>
            <w:r>
              <w:rPr>
                <w:rFonts w:hint="eastAsia" w:ascii="宋体" w:hAnsi="宋体" w:cs="宋体"/>
                <w:b/>
                <w:bCs/>
                <w:color w:val="000000" w:themeColor="text1"/>
                <w:kern w:val="0"/>
                <w:sz w:val="24"/>
                <w:lang w:bidi="ar"/>
                <w14:textFill>
                  <w14:solidFill>
                    <w14:schemeClr w14:val="tx1"/>
                  </w14:solidFill>
                </w14:textFill>
              </w:rPr>
              <w:t>建设内容</w:t>
            </w:r>
          </w:p>
          <w:p w14:paraId="1F66672E">
            <w:pPr>
              <w:pStyle w:val="2"/>
              <w:keepLines w:val="0"/>
              <w:pageBreakBefore w:val="0"/>
              <w:widowControl w:val="0"/>
              <w:suppressLineNumbers w:val="0"/>
              <w:kinsoku/>
              <w:wordWrap/>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bookmarkStart w:id="7" w:name="_Toc7618"/>
            <w:r>
              <w:rPr>
                <w:rFonts w:hint="eastAsia" w:eastAsia="宋体" w:cs="Times New Roman"/>
                <w:b w:val="0"/>
                <w:bCs w:val="0"/>
                <w:color w:val="000000" w:themeColor="text1"/>
                <w:kern w:val="2"/>
                <w:sz w:val="24"/>
                <w:szCs w:val="24"/>
                <w:lang w:val="en-US" w:eastAsia="zh-CN" w:bidi="ar-SA"/>
                <w14:textFill>
                  <w14:solidFill>
                    <w14:schemeClr w14:val="tx1"/>
                  </w14:solidFill>
                </w14:textFill>
              </w:rPr>
              <w:t>本项目为黑龙江鸡西鸡西~恒山220kV线路工程，起始于鸡东县东南方向的500千伏鸡西变电站，止于鸡西市恒山区以西的220千伏恒山变电站。恒山变电站本期扩建</w:t>
            </w:r>
            <w:r>
              <w:rPr>
                <w:rFonts w:hint="eastAsia" w:eastAsia="宋体" w:cs="Times New Roman"/>
                <w:b w:val="0"/>
                <w:bCs w:val="0"/>
                <w:color w:val="FF0000"/>
                <w:kern w:val="2"/>
                <w:sz w:val="24"/>
                <w:szCs w:val="24"/>
                <w:lang w:val="en-US" w:eastAsia="zh-CN" w:bidi="ar-SA"/>
              </w:rPr>
              <w:t>4回出线间隔，220kV配电装置厂区需突破西北侧围墙，新征占地5625.70m</w:t>
            </w:r>
            <w:r>
              <w:rPr>
                <w:rFonts w:hint="eastAsia" w:eastAsia="宋体" w:cs="Times New Roman"/>
                <w:b w:val="0"/>
                <w:bCs w:val="0"/>
                <w:color w:val="FF0000"/>
                <w:kern w:val="2"/>
                <w:sz w:val="24"/>
                <w:szCs w:val="24"/>
                <w:vertAlign w:val="superscript"/>
                <w:lang w:val="en-US" w:eastAsia="zh-CN" w:bidi="ar-SA"/>
              </w:rPr>
              <w:t>2</w:t>
            </w:r>
            <w:r>
              <w:rPr>
                <w:rFonts w:hint="eastAsia" w:eastAsia="宋体" w:cs="Times New Roman"/>
                <w:b w:val="0"/>
                <w:bCs w:val="0"/>
                <w:color w:val="FF0000"/>
                <w:kern w:val="2"/>
                <w:sz w:val="24"/>
                <w:szCs w:val="24"/>
                <w:lang w:val="en-US" w:eastAsia="zh-CN" w:bidi="ar-SA"/>
              </w:rPr>
              <w:t>；</w:t>
            </w:r>
            <w:r>
              <w:rPr>
                <w:rFonts w:hint="eastAsia" w:eastAsia="宋体" w:cs="Times New Roman"/>
                <w:b w:val="0"/>
                <w:bCs w:val="0"/>
                <w:color w:val="000000" w:themeColor="text1"/>
                <w:kern w:val="2"/>
                <w:sz w:val="24"/>
                <w:szCs w:val="24"/>
                <w:lang w:val="en-US" w:eastAsia="zh-CN" w:bidi="ar-SA"/>
                <w14:textFill>
                  <w14:solidFill>
                    <w14:schemeClr w14:val="tx1"/>
                  </w14:solidFill>
                </w14:textFill>
              </w:rPr>
              <w:t>新建线路大体呈东-西走向，两条单回路架设，在两侧变电出口采用双回路终端，</w:t>
            </w:r>
            <w:r>
              <w:rPr>
                <w:rFonts w:hint="eastAsia" w:eastAsia="宋体" w:cs="Times New Roman"/>
                <w:b w:val="0"/>
                <w:bCs w:val="0"/>
                <w:color w:val="FF0000"/>
                <w:kern w:val="2"/>
                <w:sz w:val="24"/>
                <w:szCs w:val="24"/>
                <w:lang w:val="en-US" w:eastAsia="zh-CN" w:bidi="ar-SA"/>
              </w:rPr>
              <w:t>恒山变电站出口建设同塔双回路架设</w:t>
            </w:r>
            <w:r>
              <w:rPr>
                <w:rFonts w:hint="eastAsia" w:eastAsia="宋体" w:cs="Times New Roman"/>
                <w:b w:val="0"/>
                <w:bCs w:val="0"/>
                <w:color w:val="000000" w:themeColor="text1"/>
                <w:kern w:val="2"/>
                <w:sz w:val="24"/>
                <w:szCs w:val="24"/>
                <w:lang w:val="en-US" w:eastAsia="zh-CN" w:bidi="ar-SA"/>
                <w14:textFill>
                  <w14:solidFill>
                    <w14:schemeClr w14:val="tx1"/>
                  </w14:solidFill>
                </w14:textFill>
              </w:rPr>
              <w:t>。导线采用2×JL3/G1A-300/40高导电率钢芯铝绞线，地线为一根72芯OPGW复合光缆和一根JLB40-120铝包钢绞线。新建线路路径规划长度为2×66km，新建铁塔396基。同时本工程在恒山变涉及间隔调整，需改造220kV鸡联变-恒山变甲、乙线2×0.2km，恢复架线长度约2×0.3km，为单回路，导线采用1×JL3/G1A-300/40钢芯铝绞线，地线为1根24芯OPGW光缆，1根JLB40-120铝包钢绞线，新建铁塔4基，拆除旧塔4基。</w:t>
            </w:r>
            <w:bookmarkEnd w:id="7"/>
          </w:p>
          <w:p w14:paraId="18967658">
            <w:pPr>
              <w:pStyle w:val="2"/>
              <w:keepLines w:val="0"/>
              <w:pageBreakBefore w:val="0"/>
              <w:widowControl w:val="0"/>
              <w:suppressLineNumbers w:val="0"/>
              <w:kinsoku/>
              <w:wordWrap/>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本项目工程内容见下表：</w:t>
            </w:r>
          </w:p>
          <w:p w14:paraId="24CF6B93">
            <w:pPr>
              <w:pStyle w:val="76"/>
              <w:keepNext w:val="0"/>
              <w:keepLines w:val="0"/>
              <w:widowControl w:val="0"/>
              <w:suppressLineNumbers w:val="0"/>
              <w:bidi w:val="0"/>
              <w:adjustRightInd/>
              <w:snapToGrid/>
              <w:spacing w:before="0" w:beforeLines="-2147483648" w:beforeAutospacing="0" w:after="0" w:afterLines="-2147483648" w:afterAutospacing="0" w:line="240" w:lineRule="auto"/>
              <w:ind w:left="0" w:right="0" w:firstLine="0" w:firstLineChars="0"/>
              <w:rPr>
                <w:rFonts w:hint="default" w:ascii="Times New Roman" w:hAnsi="Times New Roman" w:cstheme="minorBidi"/>
                <w:bCs/>
                <w:color w:val="000000" w:themeColor="text1"/>
                <w:kern w:val="2"/>
                <w:sz w:val="24"/>
                <w:szCs w:val="24"/>
                <w:lang w:val="en-US" w:eastAsia="zh-CN"/>
                <w14:textFill>
                  <w14:solidFill>
                    <w14:schemeClr w14:val="tx1"/>
                  </w14:solidFill>
                </w14:textFill>
              </w:rPr>
            </w:pPr>
            <w:r>
              <w:rPr>
                <w:rFonts w:hint="default" w:ascii="Times New Roman" w:hAnsi="Times New Roman" w:cstheme="minorBidi"/>
                <w:bCs/>
                <w:color w:val="000000" w:themeColor="text1"/>
                <w:kern w:val="2"/>
                <w:sz w:val="24"/>
                <w:szCs w:val="24"/>
                <w:lang w:val="en-US" w:eastAsia="zh-CN"/>
                <w14:textFill>
                  <w14:solidFill>
                    <w14:schemeClr w14:val="tx1"/>
                  </w14:solidFill>
                </w14:textFill>
              </w:rPr>
              <w:t>表 2-1 项目组成情况一览表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5"/>
              <w:gridCol w:w="1122"/>
              <w:gridCol w:w="6140"/>
              <w:gridCol w:w="489"/>
            </w:tblGrid>
            <w:tr w14:paraId="16B6F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9" w:hRule="atLeast"/>
                <w:jc w:val="center"/>
              </w:trPr>
              <w:tc>
                <w:tcPr>
                  <w:tcW w:w="351" w:type="pct"/>
                  <w:noWrap w:val="0"/>
                  <w:vAlign w:val="center"/>
                </w:tcPr>
                <w:p w14:paraId="5AB5287E">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分类</w:t>
                  </w:r>
                </w:p>
              </w:tc>
              <w:tc>
                <w:tcPr>
                  <w:tcW w:w="673" w:type="pct"/>
                  <w:noWrap w:val="0"/>
                  <w:vAlign w:val="center"/>
                </w:tcPr>
                <w:p w14:paraId="21AA547D">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项目名称</w:t>
                  </w:r>
                </w:p>
              </w:tc>
              <w:tc>
                <w:tcPr>
                  <w:tcW w:w="3682" w:type="pct"/>
                  <w:noWrap w:val="0"/>
                  <w:vAlign w:val="center"/>
                </w:tcPr>
                <w:p w14:paraId="6EF50E86">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建设情况</w:t>
                  </w:r>
                </w:p>
              </w:tc>
              <w:tc>
                <w:tcPr>
                  <w:tcW w:w="293" w:type="pct"/>
                  <w:noWrap w:val="0"/>
                  <w:vAlign w:val="center"/>
                </w:tcPr>
                <w:p w14:paraId="681655DA">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备注</w:t>
                  </w:r>
                </w:p>
              </w:tc>
            </w:tr>
            <w:tr w14:paraId="628E9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restart"/>
                  <w:noWrap w:val="0"/>
                  <w:vAlign w:val="center"/>
                </w:tcPr>
                <w:p w14:paraId="21E928D3">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主体工程</w:t>
                  </w:r>
                </w:p>
              </w:tc>
              <w:tc>
                <w:tcPr>
                  <w:tcW w:w="673" w:type="pct"/>
                  <w:noWrap w:val="0"/>
                  <w:vAlign w:val="center"/>
                </w:tcPr>
                <w:p w14:paraId="57C3CF1A">
                  <w:pPr>
                    <w:pStyle w:val="68"/>
                    <w:keepNext w:val="0"/>
                    <w:keepLines w:val="0"/>
                    <w:suppressLineNumbers w:val="0"/>
                    <w:spacing w:before="0" w:beforeAutospacing="0" w:after="0" w:afterAutospacing="0"/>
                    <w:ind w:left="0" w:right="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恒山变电站间隔改造工程</w:t>
                  </w:r>
                </w:p>
              </w:tc>
              <w:tc>
                <w:tcPr>
                  <w:tcW w:w="3682" w:type="pct"/>
                  <w:noWrap w:val="0"/>
                  <w:vAlign w:val="center"/>
                </w:tcPr>
                <w:p w14:paraId="6B5832B9">
                  <w:pPr>
                    <w:pStyle w:val="68"/>
                    <w:keepNext w:val="0"/>
                    <w:keepLines w:val="0"/>
                    <w:suppressLineNumbers w:val="0"/>
                    <w:spacing w:before="0" w:beforeAutospacing="0" w:after="0" w:afterAutospacing="0"/>
                    <w:ind w:left="0" w:right="0" w:firstLine="420" w:firstLineChars="200"/>
                    <w:jc w:val="both"/>
                    <w:rPr>
                      <w:rFonts w:hint="eastAsia" w:eastAsia="宋体"/>
                      <w:color w:val="000000" w:themeColor="text1"/>
                      <w:szCs w:val="21"/>
                      <w:lang w:eastAsia="zh-CN"/>
                      <w14:textFill>
                        <w14:solidFill>
                          <w14:schemeClr w14:val="tx1"/>
                        </w14:solidFill>
                      </w14:textFill>
                    </w:rPr>
                  </w:pPr>
                  <w:r>
                    <w:rPr>
                      <w:rFonts w:hint="eastAsia" w:eastAsia="宋体"/>
                      <w:color w:val="000000" w:themeColor="text1"/>
                      <w:szCs w:val="21"/>
                      <w:lang w:eastAsia="zh-CN"/>
                      <w14:textFill>
                        <w14:solidFill>
                          <w14:schemeClr w14:val="tx1"/>
                        </w14:solidFill>
                      </w14:textFill>
                    </w:rPr>
                    <w:t>恒山变对应扩建2个220kV出线间隔，恒山变站内为线变组接线，需将接线方式改为双母线接线，改造难度较大且围墙内无扩建条件，需将围墙外扩</w:t>
                  </w:r>
                  <w:r>
                    <w:rPr>
                      <w:rFonts w:hint="eastAsia"/>
                      <w:color w:val="000000" w:themeColor="text1"/>
                      <w:szCs w:val="21"/>
                      <w:lang w:eastAsia="zh-CN"/>
                      <w14:textFill>
                        <w14:solidFill>
                          <w14:schemeClr w14:val="tx1"/>
                        </w14:solidFill>
                      </w14:textFill>
                    </w:rPr>
                    <w:t>，需突破西北侧围墙，新征占地5625.70m</w:t>
                  </w:r>
                  <w:r>
                    <w:rPr>
                      <w:rFonts w:hint="eastAsia"/>
                      <w:color w:val="000000" w:themeColor="text1"/>
                      <w:szCs w:val="21"/>
                      <w:vertAlign w:val="superscript"/>
                      <w:lang w:eastAsia="zh-CN"/>
                      <w14:textFill>
                        <w14:solidFill>
                          <w14:schemeClr w14:val="tx1"/>
                        </w14:solidFill>
                      </w14:textFill>
                    </w:rPr>
                    <w:t>2</w:t>
                  </w:r>
                  <w:r>
                    <w:rPr>
                      <w:rFonts w:hint="eastAsia" w:eastAsia="宋体"/>
                      <w:color w:val="000000" w:themeColor="text1"/>
                      <w:szCs w:val="21"/>
                      <w:lang w:eastAsia="zh-CN"/>
                      <w14:textFill>
                        <w14:solidFill>
                          <w14:schemeClr w14:val="tx1"/>
                        </w14:solidFill>
                      </w14:textFill>
                    </w:rPr>
                    <w:t>。</w:t>
                  </w:r>
                </w:p>
              </w:tc>
              <w:tc>
                <w:tcPr>
                  <w:tcW w:w="293" w:type="pct"/>
                  <w:noWrap w:val="0"/>
                  <w:vAlign w:val="center"/>
                </w:tcPr>
                <w:p w14:paraId="41AE833C">
                  <w:pPr>
                    <w:pStyle w:val="68"/>
                    <w:keepNext w:val="0"/>
                    <w:keepLines w:val="0"/>
                    <w:suppressLineNumbers w:val="0"/>
                    <w:spacing w:before="0" w:beforeAutospacing="0" w:after="0" w:afterAutospacing="0"/>
                    <w:ind w:left="0" w:right="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扩建</w:t>
                  </w:r>
                </w:p>
              </w:tc>
            </w:tr>
            <w:tr w14:paraId="4BE8A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3EC8FFE2">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c>
                <w:tcPr>
                  <w:tcW w:w="673" w:type="pct"/>
                  <w:noWrap w:val="0"/>
                  <w:vAlign w:val="center"/>
                </w:tcPr>
                <w:p w14:paraId="39B37EF7">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输电线路新建工程</w:t>
                  </w:r>
                </w:p>
              </w:tc>
              <w:tc>
                <w:tcPr>
                  <w:tcW w:w="3682" w:type="pct"/>
                  <w:noWrap w:val="0"/>
                  <w:vAlign w:val="center"/>
                </w:tcPr>
                <w:p w14:paraId="2CC6F5E3">
                  <w:pPr>
                    <w:pStyle w:val="68"/>
                    <w:keepNext w:val="0"/>
                    <w:keepLines w:val="0"/>
                    <w:suppressLineNumbers w:val="0"/>
                    <w:spacing w:before="0" w:beforeAutospacing="0" w:after="0" w:afterAutospacing="0"/>
                    <w:ind w:left="0" w:right="0" w:firstLine="420" w:firstLineChars="200"/>
                    <w:jc w:val="both"/>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新建2×66km 220kV线路，采用2×JL3/G1A-300/40钢芯高导电率铝绞线，地线为1根72芯OPGW复合光缆和1根JLB40-120铝包钢绞线。线路始于500kV鸡西变220kV构架，止于220kV恒山变。新建杆塔396基，</w:t>
                  </w:r>
                  <w:r>
                    <w:rPr>
                      <w:rFonts w:hint="eastAsia"/>
                      <w:color w:val="000000" w:themeColor="text1"/>
                      <w:szCs w:val="21"/>
                      <w:highlight w:val="none"/>
                      <w:lang w:val="en-US" w:eastAsia="zh-CN"/>
                      <w14:textFill>
                        <w14:solidFill>
                          <w14:schemeClr w14:val="tx1"/>
                        </w14:solidFill>
                      </w14:textFill>
                    </w:rPr>
                    <w:t>其中单回路耐张塔51基，单回路直线塔340基，双回路耐张塔5基（</w:t>
                  </w:r>
                  <w:r>
                    <w:rPr>
                      <w:rFonts w:hint="eastAsia"/>
                      <w:color w:val="FF0000"/>
                      <w:szCs w:val="21"/>
                      <w:highlight w:val="none"/>
                      <w:lang w:val="en-US" w:eastAsia="zh-CN"/>
                    </w:rPr>
                    <w:t>鸡西变电站和恒山变电出口采用1基双回路终端，3基同塔双回路架设</w:t>
                  </w:r>
                  <w:r>
                    <w:rPr>
                      <w:rFonts w:hint="eastAsia"/>
                      <w:color w:val="000000" w:themeColor="text1"/>
                      <w:szCs w:val="21"/>
                      <w:highlight w:val="none"/>
                      <w:lang w:val="en-US" w:eastAsia="zh-CN"/>
                      <w14:textFill>
                        <w14:solidFill>
                          <w14:schemeClr w14:val="tx1"/>
                        </w14:solidFill>
                      </w14:textFill>
                    </w:rPr>
                    <w:t>）。</w:t>
                  </w:r>
                </w:p>
              </w:tc>
              <w:tc>
                <w:tcPr>
                  <w:tcW w:w="293" w:type="pct"/>
                  <w:noWrap w:val="0"/>
                  <w:vAlign w:val="center"/>
                </w:tcPr>
                <w:p w14:paraId="1A020D13">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p>
              </w:tc>
            </w:tr>
            <w:tr w14:paraId="263F9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064CB749">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c>
                <w:tcPr>
                  <w:tcW w:w="673" w:type="pct"/>
                  <w:noWrap w:val="0"/>
                  <w:vAlign w:val="center"/>
                </w:tcPr>
                <w:p w14:paraId="4C9AE3D4">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输电线路</w:t>
                  </w:r>
                  <w:r>
                    <w:rPr>
                      <w:rFonts w:hint="eastAsia"/>
                      <w:color w:val="000000" w:themeColor="text1"/>
                      <w:szCs w:val="21"/>
                      <w:lang w:val="en-US" w:eastAsia="zh-CN"/>
                      <w14:textFill>
                        <w14:solidFill>
                          <w14:schemeClr w14:val="tx1"/>
                        </w14:solidFill>
                      </w14:textFill>
                    </w:rPr>
                    <w:t>改造</w:t>
                  </w:r>
                  <w:r>
                    <w:rPr>
                      <w:rFonts w:hint="eastAsia"/>
                      <w:color w:val="000000" w:themeColor="text1"/>
                      <w:szCs w:val="21"/>
                      <w14:textFill>
                        <w14:solidFill>
                          <w14:schemeClr w14:val="tx1"/>
                        </w14:solidFill>
                      </w14:textFill>
                    </w:rPr>
                    <w:t>工程</w:t>
                  </w:r>
                </w:p>
              </w:tc>
              <w:tc>
                <w:tcPr>
                  <w:tcW w:w="3682" w:type="pct"/>
                  <w:noWrap w:val="0"/>
                  <w:vAlign w:val="center"/>
                </w:tcPr>
                <w:p w14:paraId="112015A3">
                  <w:pPr>
                    <w:pStyle w:val="68"/>
                    <w:keepNext w:val="0"/>
                    <w:keepLines w:val="0"/>
                    <w:suppressLineNumbers w:val="0"/>
                    <w:spacing w:before="0" w:beforeAutospacing="0" w:after="0" w:afterAutospacing="0"/>
                    <w:ind w:left="0" w:right="0" w:firstLine="420" w:firstLineChars="200"/>
                    <w:jc w:val="both"/>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恒山变涉及间隔调整，需改造220kV鸡联变-恒山变甲、乙线2×0.2km，恢复架线长度约2×0.3km，为单回路，导线采用1×JL3/G1A-300/40钢芯铝绞线，地线为1根24芯OPGW光缆，1根JLB40-120铝包钢绞线，拆除旧塔4基，新建单回路耐张塔4基。</w:t>
                  </w:r>
                </w:p>
              </w:tc>
              <w:tc>
                <w:tcPr>
                  <w:tcW w:w="293" w:type="pct"/>
                  <w:noWrap w:val="0"/>
                  <w:vAlign w:val="center"/>
                </w:tcPr>
                <w:p w14:paraId="0C464CBC">
                  <w:pPr>
                    <w:pStyle w:val="68"/>
                    <w:keepNext w:val="0"/>
                    <w:keepLines w:val="0"/>
                    <w:suppressLineNumbers w:val="0"/>
                    <w:spacing w:before="0" w:beforeAutospacing="0" w:after="0" w:afterAutospacing="0"/>
                    <w:ind w:left="0" w:right="0"/>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改造</w:t>
                  </w:r>
                </w:p>
              </w:tc>
            </w:tr>
            <w:tr w14:paraId="38706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351" w:type="pct"/>
                  <w:vMerge w:val="restart"/>
                  <w:noWrap w:val="0"/>
                  <w:vAlign w:val="center"/>
                </w:tcPr>
                <w:p w14:paraId="4409929A">
                  <w:pPr>
                    <w:pStyle w:val="68"/>
                    <w:keepNext w:val="0"/>
                    <w:keepLines w:val="0"/>
                    <w:suppressLineNumbers w:val="0"/>
                    <w:spacing w:before="0" w:beforeAutospacing="0" w:after="0" w:afterAutospacing="0"/>
                    <w:ind w:left="0" w:right="0"/>
                    <w:rPr>
                      <w:rFonts w:hint="default" w:eastAsia="宋体"/>
                      <w:color w:val="000000" w:themeColor="text1"/>
                      <w:kern w:val="2"/>
                      <w:sz w:val="21"/>
                      <w:szCs w:val="21"/>
                      <w:highlight w:val="yellow"/>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辅助工程</w:t>
                  </w:r>
                </w:p>
              </w:tc>
              <w:tc>
                <w:tcPr>
                  <w:tcW w:w="673" w:type="pct"/>
                  <w:noWrap w:val="0"/>
                  <w:vAlign w:val="center"/>
                </w:tcPr>
                <w:p w14:paraId="1FBFEAEA">
                  <w:pPr>
                    <w:pStyle w:val="68"/>
                    <w:keepNext w:val="0"/>
                    <w:keepLines w:val="0"/>
                    <w:suppressLineNumbers w:val="0"/>
                    <w:spacing w:before="0" w:beforeAutospacing="0" w:after="0" w:afterAutospacing="0"/>
                    <w:ind w:left="0" w:right="0"/>
                    <w:rPr>
                      <w:rFonts w:hint="eastAsia"/>
                      <w:b/>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塔基区</w:t>
                  </w:r>
                </w:p>
              </w:tc>
              <w:tc>
                <w:tcPr>
                  <w:tcW w:w="3682" w:type="pct"/>
                  <w:noWrap w:val="0"/>
                  <w:vAlign w:val="center"/>
                </w:tcPr>
                <w:p w14:paraId="0366542F">
                  <w:pPr>
                    <w:pStyle w:val="68"/>
                    <w:keepNext w:val="0"/>
                    <w:keepLines w:val="0"/>
                    <w:suppressLineNumbers w:val="0"/>
                    <w:spacing w:before="0" w:beforeAutospacing="0" w:after="0" w:afterAutospacing="0"/>
                    <w:ind w:left="0" w:right="0" w:firstLine="420" w:firstLineChars="200"/>
                    <w:jc w:val="both"/>
                    <w:rPr>
                      <w:rFonts w:hint="eastAsia"/>
                      <w:b/>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永久占地4.76hm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vertAlign w:val="baseline"/>
                      <w:lang w:val="en-US" w:eastAsia="zh-CN"/>
                      <w14:textFill>
                        <w14:solidFill>
                          <w14:schemeClr w14:val="tx1"/>
                        </w14:solidFill>
                      </w14:textFill>
                    </w:rPr>
                    <w:t>，占地类型为耕地、林地、草地。</w:t>
                  </w:r>
                </w:p>
              </w:tc>
              <w:tc>
                <w:tcPr>
                  <w:tcW w:w="293" w:type="pct"/>
                  <w:noWrap w:val="0"/>
                  <w:vAlign w:val="center"/>
                </w:tcPr>
                <w:p w14:paraId="7B3838D4">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新建</w:t>
                  </w:r>
                </w:p>
              </w:tc>
            </w:tr>
            <w:tr w14:paraId="2017E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757AC73A">
                  <w:pPr>
                    <w:pStyle w:val="68"/>
                    <w:keepNext w:val="0"/>
                    <w:keepLines w:val="0"/>
                    <w:suppressLineNumbers w:val="0"/>
                    <w:spacing w:before="0" w:beforeAutospacing="0" w:after="0" w:afterAutospacing="0"/>
                    <w:ind w:left="0" w:right="0"/>
                    <w:rPr>
                      <w:rFonts w:hint="eastAsia"/>
                      <w:color w:val="000000" w:themeColor="text1"/>
                      <w:szCs w:val="21"/>
                      <w:highlight w:val="yellow"/>
                      <w:lang w:val="en-US" w:eastAsia="zh-CN"/>
                      <w14:textFill>
                        <w14:solidFill>
                          <w14:schemeClr w14:val="tx1"/>
                        </w14:solidFill>
                      </w14:textFill>
                    </w:rPr>
                  </w:pPr>
                </w:p>
              </w:tc>
              <w:tc>
                <w:tcPr>
                  <w:tcW w:w="673" w:type="pct"/>
                  <w:noWrap w:val="0"/>
                  <w:vAlign w:val="center"/>
                </w:tcPr>
                <w:p w14:paraId="123BCEB8">
                  <w:pPr>
                    <w:pStyle w:val="68"/>
                    <w:keepNext w:val="0"/>
                    <w:keepLines w:val="0"/>
                    <w:suppressLineNumbers w:val="0"/>
                    <w:spacing w:before="0" w:beforeAutospacing="0" w:after="0" w:afterAutospacing="0"/>
                    <w:ind w:left="0" w:right="0"/>
                    <w:rPr>
                      <w:rFonts w:hint="eastAsia"/>
                      <w:b/>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塔基施工区</w:t>
                  </w:r>
                </w:p>
              </w:tc>
              <w:tc>
                <w:tcPr>
                  <w:tcW w:w="3682" w:type="pct"/>
                  <w:noWrap w:val="0"/>
                  <w:vAlign w:val="center"/>
                </w:tcPr>
                <w:p w14:paraId="38BDB506">
                  <w:pPr>
                    <w:pStyle w:val="68"/>
                    <w:keepNext w:val="0"/>
                    <w:keepLines w:val="0"/>
                    <w:suppressLineNumbers w:val="0"/>
                    <w:spacing w:before="0" w:beforeAutospacing="0" w:after="0" w:afterAutospacing="0"/>
                    <w:ind w:left="0" w:right="0" w:firstLine="420" w:firstLineChars="200"/>
                    <w:jc w:val="both"/>
                    <w:rPr>
                      <w:rFonts w:hint="eastAsia"/>
                      <w:b/>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每基塔基础处设置1个施工区和临时堆土场。塔基施工区临时占地15.72hm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vertAlign w:val="baseline"/>
                      <w:lang w:val="en-US" w:eastAsia="zh-CN"/>
                      <w14:textFill>
                        <w14:solidFill>
                          <w14:schemeClr w14:val="tx1"/>
                        </w14:solidFill>
                      </w14:textFill>
                    </w:rPr>
                    <w:t>，占地类型为耕地、林地、草地。</w:t>
                  </w:r>
                </w:p>
              </w:tc>
              <w:tc>
                <w:tcPr>
                  <w:tcW w:w="293" w:type="pct"/>
                  <w:noWrap w:val="0"/>
                  <w:vAlign w:val="center"/>
                </w:tcPr>
                <w:p w14:paraId="7D597F69">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新建</w:t>
                  </w:r>
                </w:p>
              </w:tc>
            </w:tr>
            <w:tr w14:paraId="2DFBD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35BD69FD">
                  <w:pPr>
                    <w:pStyle w:val="68"/>
                    <w:keepNext w:val="0"/>
                    <w:keepLines w:val="0"/>
                    <w:suppressLineNumbers w:val="0"/>
                    <w:spacing w:before="0" w:beforeAutospacing="0" w:after="0" w:afterAutospacing="0"/>
                    <w:ind w:left="0" w:right="0"/>
                    <w:rPr>
                      <w:rFonts w:hint="eastAsia"/>
                      <w:color w:val="000000" w:themeColor="text1"/>
                      <w:szCs w:val="21"/>
                      <w:highlight w:val="yellow"/>
                      <w:lang w:val="en-US" w:eastAsia="zh-CN"/>
                      <w14:textFill>
                        <w14:solidFill>
                          <w14:schemeClr w14:val="tx1"/>
                        </w14:solidFill>
                      </w14:textFill>
                    </w:rPr>
                  </w:pPr>
                </w:p>
              </w:tc>
              <w:tc>
                <w:tcPr>
                  <w:tcW w:w="673" w:type="pct"/>
                  <w:noWrap w:val="0"/>
                  <w:vAlign w:val="center"/>
                </w:tcPr>
                <w:p w14:paraId="503488B3">
                  <w:pPr>
                    <w:pStyle w:val="68"/>
                    <w:keepNext w:val="0"/>
                    <w:keepLines w:val="0"/>
                    <w:suppressLineNumbers w:val="0"/>
                    <w:spacing w:before="0" w:beforeAutospacing="0" w:after="0" w:afterAutospacing="0"/>
                    <w:ind w:left="0" w:right="0"/>
                    <w:rPr>
                      <w:rFonts w:hint="eastAsia"/>
                      <w:b/>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跨越施工场地</w:t>
                  </w:r>
                </w:p>
              </w:tc>
              <w:tc>
                <w:tcPr>
                  <w:tcW w:w="3682" w:type="pct"/>
                  <w:noWrap w:val="0"/>
                  <w:vAlign w:val="center"/>
                </w:tcPr>
                <w:p w14:paraId="4F617CF8">
                  <w:pPr>
                    <w:pStyle w:val="68"/>
                    <w:keepNext w:val="0"/>
                    <w:keepLines w:val="0"/>
                    <w:suppressLineNumbers w:val="0"/>
                    <w:spacing w:before="0" w:beforeAutospacing="0" w:after="0" w:afterAutospacing="0"/>
                    <w:ind w:left="0" w:right="0" w:firstLine="420" w:firstLineChars="200"/>
                    <w:jc w:val="both"/>
                    <w:rPr>
                      <w:rFonts w:hint="eastAsia"/>
                      <w:b/>
                      <w:bCs/>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本工程共设158处跨越施工场地，临时占地1.58hm</w:t>
                  </w:r>
                  <w:r>
                    <w:rPr>
                      <w:rFonts w:hint="eastAsia"/>
                      <w:color w:val="000000" w:themeColor="text1"/>
                      <w:szCs w:val="21"/>
                      <w:vertAlign w:val="superscript"/>
                      <w:lang w:val="en-US" w:eastAsia="zh-CN"/>
                      <w14:textFill>
                        <w14:solidFill>
                          <w14:schemeClr w14:val="tx1"/>
                        </w14:solidFill>
                      </w14:textFill>
                    </w:rPr>
                    <w:t>2</w:t>
                  </w:r>
                  <w:r>
                    <w:rPr>
                      <w:rFonts w:hint="eastAsia"/>
                      <w:color w:val="000000" w:themeColor="text1"/>
                      <w:szCs w:val="21"/>
                      <w:vertAlign w:val="baseline"/>
                      <w:lang w:val="en-US" w:eastAsia="zh-CN"/>
                      <w14:textFill>
                        <w14:solidFill>
                          <w14:schemeClr w14:val="tx1"/>
                        </w14:solidFill>
                      </w14:textFill>
                    </w:rPr>
                    <w:t>，占地类型为耕地、林地。</w:t>
                  </w:r>
                </w:p>
              </w:tc>
              <w:tc>
                <w:tcPr>
                  <w:tcW w:w="293" w:type="pct"/>
                  <w:noWrap w:val="0"/>
                  <w:vAlign w:val="center"/>
                </w:tcPr>
                <w:p w14:paraId="453DF49F">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新建</w:t>
                  </w:r>
                </w:p>
              </w:tc>
            </w:tr>
            <w:tr w14:paraId="456A4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0E045E53">
                  <w:pPr>
                    <w:pStyle w:val="68"/>
                    <w:keepNext w:val="0"/>
                    <w:keepLines w:val="0"/>
                    <w:suppressLineNumbers w:val="0"/>
                    <w:spacing w:before="0" w:beforeAutospacing="0" w:after="0" w:afterAutospacing="0"/>
                    <w:ind w:left="0" w:right="0"/>
                    <w:rPr>
                      <w:rFonts w:hint="eastAsia"/>
                      <w:color w:val="000000" w:themeColor="text1"/>
                      <w:szCs w:val="21"/>
                      <w:highlight w:val="yellow"/>
                      <w:lang w:val="en-US" w:eastAsia="zh-CN"/>
                      <w14:textFill>
                        <w14:solidFill>
                          <w14:schemeClr w14:val="tx1"/>
                        </w14:solidFill>
                      </w14:textFill>
                    </w:rPr>
                  </w:pPr>
                </w:p>
              </w:tc>
              <w:tc>
                <w:tcPr>
                  <w:tcW w:w="673" w:type="pct"/>
                  <w:noWrap w:val="0"/>
                  <w:vAlign w:val="center"/>
                </w:tcPr>
                <w:p w14:paraId="6963259B">
                  <w:pPr>
                    <w:pStyle w:val="68"/>
                    <w:keepNext w:val="0"/>
                    <w:keepLines w:val="0"/>
                    <w:suppressLineNumbers w:val="0"/>
                    <w:spacing w:before="0" w:beforeAutospacing="0" w:after="0" w:afterAutospacing="0"/>
                    <w:ind w:left="0" w:leftChars="0" w:right="0" w:rightChars="0"/>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牵张场地</w:t>
                  </w:r>
                </w:p>
              </w:tc>
              <w:tc>
                <w:tcPr>
                  <w:tcW w:w="3682" w:type="pct"/>
                  <w:noWrap w:val="0"/>
                  <w:vAlign w:val="center"/>
                </w:tcPr>
                <w:p w14:paraId="69F85118">
                  <w:pPr>
                    <w:pStyle w:val="68"/>
                    <w:keepNext w:val="0"/>
                    <w:keepLines w:val="0"/>
                    <w:suppressLineNumbers w:val="0"/>
                    <w:spacing w:before="0" w:beforeAutospacing="0" w:after="0" w:afterAutospacing="0"/>
                    <w:ind w:left="0" w:leftChars="0" w:right="0" w:rightChars="0" w:firstLine="420" w:firstLineChars="200"/>
                    <w:jc w:val="left"/>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本工程共设38处牵张场地，每个牵张场地面积为1600m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lang w:val="en-US" w:eastAsia="zh-CN"/>
                      <w14:textFill>
                        <w14:solidFill>
                          <w14:schemeClr w14:val="tx1"/>
                        </w14:solidFill>
                      </w14:textFill>
                    </w:rPr>
                    <w:t>。临时占地6.08hm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vertAlign w:val="baseline"/>
                      <w:lang w:val="en-US" w:eastAsia="zh-CN"/>
                      <w14:textFill>
                        <w14:solidFill>
                          <w14:schemeClr w14:val="tx1"/>
                        </w14:solidFill>
                      </w14:textFill>
                    </w:rPr>
                    <w:t>，占地类型为耕地、林地。</w:t>
                  </w:r>
                </w:p>
              </w:tc>
              <w:tc>
                <w:tcPr>
                  <w:tcW w:w="293" w:type="pct"/>
                  <w:noWrap w:val="0"/>
                  <w:vAlign w:val="center"/>
                </w:tcPr>
                <w:p w14:paraId="58955BC9">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新建</w:t>
                  </w:r>
                </w:p>
              </w:tc>
            </w:tr>
            <w:tr w14:paraId="3ED87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635D9FD0">
                  <w:pPr>
                    <w:pStyle w:val="68"/>
                    <w:keepNext w:val="0"/>
                    <w:keepLines w:val="0"/>
                    <w:suppressLineNumbers w:val="0"/>
                    <w:spacing w:before="0" w:beforeAutospacing="0" w:after="0" w:afterAutospacing="0"/>
                    <w:ind w:left="0" w:right="0"/>
                    <w:rPr>
                      <w:rFonts w:hint="eastAsia"/>
                      <w:color w:val="000000" w:themeColor="text1"/>
                      <w:szCs w:val="21"/>
                      <w:highlight w:val="yellow"/>
                      <w:lang w:val="en-US" w:eastAsia="zh-CN"/>
                      <w14:textFill>
                        <w14:solidFill>
                          <w14:schemeClr w14:val="tx1"/>
                        </w14:solidFill>
                      </w14:textFill>
                    </w:rPr>
                  </w:pPr>
                </w:p>
              </w:tc>
              <w:tc>
                <w:tcPr>
                  <w:tcW w:w="673" w:type="pct"/>
                  <w:noWrap w:val="0"/>
                  <w:vAlign w:val="center"/>
                </w:tcPr>
                <w:p w14:paraId="095A7BB9">
                  <w:pPr>
                    <w:pStyle w:val="68"/>
                    <w:keepNext w:val="0"/>
                    <w:keepLines w:val="0"/>
                    <w:suppressLineNumbers w:val="0"/>
                    <w:spacing w:before="0" w:beforeAutospacing="0" w:after="0" w:afterAutospacing="0"/>
                    <w:ind w:left="0" w:right="0"/>
                    <w:rPr>
                      <w:rFonts w:hint="eastAsia"/>
                      <w:b/>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施工便道</w:t>
                  </w:r>
                </w:p>
              </w:tc>
              <w:tc>
                <w:tcPr>
                  <w:tcW w:w="3682" w:type="pct"/>
                  <w:noWrap w:val="0"/>
                  <w:vAlign w:val="center"/>
                </w:tcPr>
                <w:p w14:paraId="1072D7A8">
                  <w:pPr>
                    <w:pStyle w:val="68"/>
                    <w:keepNext w:val="0"/>
                    <w:keepLines w:val="0"/>
                    <w:suppressLineNumbers w:val="0"/>
                    <w:spacing w:before="0" w:beforeAutospacing="0" w:after="0" w:afterAutospacing="0"/>
                    <w:ind w:left="0" w:right="0" w:firstLine="420" w:firstLineChars="200"/>
                    <w:jc w:val="both"/>
                    <w:rPr>
                      <w:rFonts w:hint="eastAsia"/>
                      <w:b/>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临时占地57hm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vertAlign w:val="baseline"/>
                      <w:lang w:val="en-US" w:eastAsia="zh-CN"/>
                      <w14:textFill>
                        <w14:solidFill>
                          <w14:schemeClr w14:val="tx1"/>
                        </w14:solidFill>
                      </w14:textFill>
                    </w:rPr>
                    <w:t>，占地类型为耕地、林地和草地。</w:t>
                  </w:r>
                  <w:r>
                    <w:rPr>
                      <w:rFonts w:hint="eastAsia"/>
                      <w:color w:val="000000" w:themeColor="text1"/>
                      <w:szCs w:val="21"/>
                      <w:highlight w:val="none"/>
                      <w:lang w:eastAsia="zh-CN"/>
                      <w14:textFill>
                        <w14:solidFill>
                          <w14:schemeClr w14:val="tx1"/>
                        </w14:solidFill>
                      </w14:textFill>
                    </w:rPr>
                    <w:t>（无永久性巡查道路）</w:t>
                  </w:r>
                </w:p>
              </w:tc>
              <w:tc>
                <w:tcPr>
                  <w:tcW w:w="293" w:type="pct"/>
                  <w:noWrap w:val="0"/>
                  <w:vAlign w:val="center"/>
                </w:tcPr>
                <w:p w14:paraId="71F9E449">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新建</w:t>
                  </w:r>
                </w:p>
              </w:tc>
            </w:tr>
            <w:tr w14:paraId="061C7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336DA136">
                  <w:pPr>
                    <w:pStyle w:val="68"/>
                    <w:keepNext w:val="0"/>
                    <w:keepLines w:val="0"/>
                    <w:suppressLineNumbers w:val="0"/>
                    <w:spacing w:before="0" w:beforeAutospacing="0" w:after="0" w:afterAutospacing="0"/>
                    <w:ind w:left="0" w:right="0"/>
                    <w:rPr>
                      <w:rFonts w:hint="eastAsia"/>
                      <w:color w:val="000000" w:themeColor="text1"/>
                      <w:szCs w:val="21"/>
                      <w:highlight w:val="yellow"/>
                      <w:lang w:val="en-US" w:eastAsia="zh-CN"/>
                      <w14:textFill>
                        <w14:solidFill>
                          <w14:schemeClr w14:val="tx1"/>
                        </w14:solidFill>
                      </w14:textFill>
                    </w:rPr>
                  </w:pPr>
                </w:p>
              </w:tc>
              <w:tc>
                <w:tcPr>
                  <w:tcW w:w="673" w:type="pct"/>
                  <w:noWrap w:val="0"/>
                  <w:vAlign w:val="center"/>
                </w:tcPr>
                <w:p w14:paraId="58A9393B">
                  <w:pPr>
                    <w:pStyle w:val="68"/>
                    <w:keepNext w:val="0"/>
                    <w:keepLines w:val="0"/>
                    <w:suppressLineNumbers w:val="0"/>
                    <w:spacing w:before="0" w:beforeAutospacing="0" w:after="0" w:afterAutospacing="0"/>
                    <w:ind w:left="0" w:right="0"/>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材料场地</w:t>
                  </w:r>
                </w:p>
              </w:tc>
              <w:tc>
                <w:tcPr>
                  <w:tcW w:w="3682" w:type="pct"/>
                  <w:noWrap w:val="0"/>
                  <w:vAlign w:val="center"/>
                </w:tcPr>
                <w:p w14:paraId="66F93C4B">
                  <w:pPr>
                    <w:pStyle w:val="68"/>
                    <w:keepNext w:val="0"/>
                    <w:keepLines w:val="0"/>
                    <w:suppressLineNumbers w:val="0"/>
                    <w:spacing w:before="0" w:beforeAutospacing="0" w:after="0" w:afterAutospacing="0"/>
                    <w:ind w:left="0" w:right="0" w:firstLine="420" w:firstLineChars="200"/>
                    <w:jc w:val="both"/>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本工程共设1处材料场地，场地面积为1600m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lang w:val="en-US" w:eastAsia="zh-CN"/>
                      <w14:textFill>
                        <w14:solidFill>
                          <w14:schemeClr w14:val="tx1"/>
                        </w14:solidFill>
                      </w14:textFill>
                    </w:rPr>
                    <w:t>。</w:t>
                  </w:r>
                  <w:r>
                    <w:rPr>
                      <w:rFonts w:hint="eastAsia"/>
                      <w:color w:val="000000" w:themeColor="text1"/>
                      <w:szCs w:val="21"/>
                      <w:highlight w:val="none"/>
                      <w:vertAlign w:val="baseline"/>
                      <w:lang w:val="en-US" w:eastAsia="zh-CN"/>
                      <w14:textFill>
                        <w14:solidFill>
                          <w14:schemeClr w14:val="tx1"/>
                        </w14:solidFill>
                      </w14:textFill>
                    </w:rPr>
                    <w:t>占地类型为耕地。</w:t>
                  </w:r>
                </w:p>
              </w:tc>
              <w:tc>
                <w:tcPr>
                  <w:tcW w:w="293" w:type="pct"/>
                  <w:noWrap w:val="0"/>
                  <w:vAlign w:val="center"/>
                </w:tcPr>
                <w:p w14:paraId="5B2F2A1C">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14:paraId="54124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418DEE13">
                  <w:pPr>
                    <w:pStyle w:val="68"/>
                    <w:keepNext w:val="0"/>
                    <w:keepLines w:val="0"/>
                    <w:suppressLineNumbers w:val="0"/>
                    <w:spacing w:before="0" w:beforeAutospacing="0" w:after="0" w:afterAutospacing="0"/>
                    <w:ind w:left="0" w:right="0"/>
                    <w:rPr>
                      <w:rFonts w:hint="default" w:eastAsia="宋体"/>
                      <w:color w:val="000000" w:themeColor="text1"/>
                      <w:kern w:val="2"/>
                      <w:sz w:val="21"/>
                      <w:szCs w:val="21"/>
                      <w:highlight w:val="yellow"/>
                      <w:lang w:val="en-US" w:eastAsia="zh-CN" w:bidi="ar-SA"/>
                      <w14:textFill>
                        <w14:solidFill>
                          <w14:schemeClr w14:val="tx1"/>
                        </w14:solidFill>
                      </w14:textFill>
                    </w:rPr>
                  </w:pPr>
                </w:p>
              </w:tc>
              <w:tc>
                <w:tcPr>
                  <w:tcW w:w="673" w:type="pct"/>
                  <w:noWrap w:val="0"/>
                  <w:vAlign w:val="center"/>
                </w:tcPr>
                <w:p w14:paraId="428E67E3">
                  <w:pPr>
                    <w:pStyle w:val="68"/>
                    <w:keepNext w:val="0"/>
                    <w:keepLines w:val="0"/>
                    <w:suppressLineNumbers w:val="0"/>
                    <w:spacing w:before="0" w:beforeAutospacing="0" w:after="0" w:afterAutospacing="0"/>
                    <w:ind w:left="0" w:right="0"/>
                    <w:rPr>
                      <w:rFonts w:hint="eastAsia" w:eastAsia="宋体"/>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道路工程</w:t>
                  </w:r>
                </w:p>
              </w:tc>
              <w:tc>
                <w:tcPr>
                  <w:tcW w:w="3682" w:type="pct"/>
                  <w:noWrap w:val="0"/>
                  <w:vAlign w:val="center"/>
                </w:tcPr>
                <w:p w14:paraId="617CE607">
                  <w:pPr>
                    <w:pStyle w:val="68"/>
                    <w:keepNext w:val="0"/>
                    <w:keepLines w:val="0"/>
                    <w:suppressLineNumbers w:val="0"/>
                    <w:spacing w:before="0" w:beforeAutospacing="0" w:after="0" w:afterAutospacing="0"/>
                    <w:ind w:left="0" w:right="0" w:firstLine="420" w:firstLineChars="200"/>
                    <w:jc w:val="left"/>
                    <w:rPr>
                      <w:rFonts w:hint="eastAsia"/>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站内道路利用已有道路</w:t>
                  </w:r>
                </w:p>
              </w:tc>
              <w:tc>
                <w:tcPr>
                  <w:tcW w:w="293" w:type="pct"/>
                  <w:noWrap w:val="0"/>
                  <w:vAlign w:val="center"/>
                </w:tcPr>
                <w:p w14:paraId="294A84C0">
                  <w:pPr>
                    <w:pStyle w:val="68"/>
                    <w:keepNext w:val="0"/>
                    <w:keepLines w:val="0"/>
                    <w:suppressLineNumbers w:val="0"/>
                    <w:spacing w:before="0" w:beforeAutospacing="0" w:after="0" w:afterAutospacing="0"/>
                    <w:ind w:left="0" w:right="0"/>
                    <w:rPr>
                      <w:rFonts w:hint="eastAsia" w:eastAsia="宋体"/>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依托</w:t>
                  </w:r>
                </w:p>
              </w:tc>
            </w:tr>
            <w:tr w14:paraId="48734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noWrap w:val="0"/>
                  <w:vAlign w:val="center"/>
                </w:tcPr>
                <w:p w14:paraId="62B740AB">
                  <w:pPr>
                    <w:pStyle w:val="68"/>
                    <w:keepNext w:val="0"/>
                    <w:keepLines w:val="0"/>
                    <w:suppressLineNumbers w:val="0"/>
                    <w:spacing w:before="0" w:beforeAutospacing="0" w:after="0" w:afterAutospacing="0"/>
                    <w:ind w:left="0" w:right="0"/>
                    <w:rPr>
                      <w:rFonts w:hint="default" w:eastAsia="宋体"/>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公用工程</w:t>
                  </w:r>
                </w:p>
              </w:tc>
              <w:tc>
                <w:tcPr>
                  <w:tcW w:w="673" w:type="pct"/>
                  <w:noWrap w:val="0"/>
                  <w:vAlign w:val="center"/>
                </w:tcPr>
                <w:p w14:paraId="660D40C7">
                  <w:pPr>
                    <w:pStyle w:val="68"/>
                    <w:keepNext w:val="0"/>
                    <w:keepLines w:val="0"/>
                    <w:suppressLineNumbers w:val="0"/>
                    <w:spacing w:before="0" w:beforeAutospacing="0" w:after="0" w:afterAutospacing="0"/>
                    <w:ind w:left="0" w:right="0"/>
                    <w:rPr>
                      <w:rFonts w:hint="eastAsia" w:eastAsia="宋体"/>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办公</w:t>
                  </w:r>
                </w:p>
              </w:tc>
              <w:tc>
                <w:tcPr>
                  <w:tcW w:w="3682" w:type="pct"/>
                  <w:noWrap w:val="0"/>
                  <w:vAlign w:val="center"/>
                </w:tcPr>
                <w:p w14:paraId="39D5DD29">
                  <w:pPr>
                    <w:pStyle w:val="68"/>
                    <w:keepNext w:val="0"/>
                    <w:keepLines w:val="0"/>
                    <w:suppressLineNumbers w:val="0"/>
                    <w:spacing w:before="0" w:beforeAutospacing="0" w:after="0" w:afterAutospacing="0"/>
                    <w:ind w:left="0" w:right="0" w:firstLine="420" w:firstLineChars="200"/>
                    <w:jc w:val="left"/>
                    <w:rPr>
                      <w:rFonts w:hint="eastAsia"/>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依托</w:t>
                  </w:r>
                  <w:r>
                    <w:rPr>
                      <w:rFonts w:hint="eastAsia"/>
                      <w:color w:val="000000" w:themeColor="text1"/>
                      <w:szCs w:val="21"/>
                      <w:lang w:val="en-US" w:eastAsia="zh-CN"/>
                      <w14:textFill>
                        <w14:solidFill>
                          <w14:schemeClr w14:val="tx1"/>
                        </w14:solidFill>
                      </w14:textFill>
                    </w:rPr>
                    <w:t>变电站</w:t>
                  </w:r>
                  <w:r>
                    <w:rPr>
                      <w:rFonts w:hint="eastAsia"/>
                      <w:color w:val="000000" w:themeColor="text1"/>
                      <w:szCs w:val="21"/>
                      <w14:textFill>
                        <w14:solidFill>
                          <w14:schemeClr w14:val="tx1"/>
                        </w14:solidFill>
                      </w14:textFill>
                    </w:rPr>
                    <w:t>内主控室和</w:t>
                  </w:r>
                  <w:r>
                    <w:rPr>
                      <w:rFonts w:hint="eastAsia"/>
                      <w:color w:val="000000" w:themeColor="text1"/>
                      <w:szCs w:val="21"/>
                      <w:lang w:val="en-US" w:eastAsia="zh-CN"/>
                      <w14:textFill>
                        <w14:solidFill>
                          <w14:schemeClr w14:val="tx1"/>
                        </w14:solidFill>
                      </w14:textFill>
                    </w:rPr>
                    <w:t>办公区</w:t>
                  </w:r>
                </w:p>
              </w:tc>
              <w:tc>
                <w:tcPr>
                  <w:tcW w:w="293" w:type="pct"/>
                  <w:noWrap w:val="0"/>
                  <w:vAlign w:val="center"/>
                </w:tcPr>
                <w:p w14:paraId="745C3E8F">
                  <w:pPr>
                    <w:pStyle w:val="68"/>
                    <w:keepNext w:val="0"/>
                    <w:keepLines w:val="0"/>
                    <w:suppressLineNumbers w:val="0"/>
                    <w:spacing w:before="0" w:beforeAutospacing="0" w:after="0" w:afterAutospacing="0"/>
                    <w:ind w:left="0" w:right="0"/>
                    <w:rPr>
                      <w:rFonts w:hint="eastAsia"/>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依托</w:t>
                  </w:r>
                </w:p>
              </w:tc>
            </w:tr>
            <w:tr w14:paraId="484BE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restart"/>
                  <w:noWrap w:val="0"/>
                  <w:vAlign w:val="center"/>
                </w:tcPr>
                <w:p w14:paraId="357AD3FA">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环保工程</w:t>
                  </w:r>
                </w:p>
              </w:tc>
              <w:tc>
                <w:tcPr>
                  <w:tcW w:w="673" w:type="pct"/>
                  <w:noWrap w:val="0"/>
                  <w:vAlign w:val="center"/>
                </w:tcPr>
                <w:p w14:paraId="55CDB69E">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电磁辐射</w:t>
                  </w:r>
                  <w:r>
                    <w:rPr>
                      <w:rFonts w:hint="eastAsia"/>
                      <w:color w:val="000000" w:themeColor="text1"/>
                      <w:szCs w:val="21"/>
                      <w14:textFill>
                        <w14:solidFill>
                          <w14:schemeClr w14:val="tx1"/>
                        </w14:solidFill>
                      </w14:textFill>
                    </w:rPr>
                    <w:t>保护</w:t>
                  </w:r>
                  <w:r>
                    <w:rPr>
                      <w:rFonts w:hint="default"/>
                      <w:color w:val="000000" w:themeColor="text1"/>
                      <w:szCs w:val="21"/>
                      <w14:textFill>
                        <w14:solidFill>
                          <w14:schemeClr w14:val="tx1"/>
                        </w14:solidFill>
                      </w14:textFill>
                    </w:rPr>
                    <w:t>措施</w:t>
                  </w:r>
                </w:p>
              </w:tc>
              <w:tc>
                <w:tcPr>
                  <w:tcW w:w="3682" w:type="pct"/>
                  <w:noWrap w:val="0"/>
                  <w:vAlign w:val="center"/>
                </w:tcPr>
                <w:p w14:paraId="6E1CDBB9">
                  <w:pPr>
                    <w:pStyle w:val="68"/>
                    <w:keepNext w:val="0"/>
                    <w:keepLines w:val="0"/>
                    <w:suppressLineNumbers w:val="0"/>
                    <w:spacing w:before="0" w:beforeAutospacing="0" w:after="0" w:afterAutospacing="0"/>
                    <w:ind w:left="0" w:right="0" w:firstLine="420" w:firstLineChars="200"/>
                    <w:jc w:val="left"/>
                    <w:rPr>
                      <w:rFonts w:hint="eastAsia"/>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合理设计并保证设备及配件加工精良，控制绝缘子表面放电，减小因接触不良而产生的电火花。</w:t>
                  </w:r>
                </w:p>
              </w:tc>
              <w:tc>
                <w:tcPr>
                  <w:tcW w:w="293" w:type="pct"/>
                  <w:noWrap w:val="0"/>
                  <w:vAlign w:val="center"/>
                </w:tcPr>
                <w:p w14:paraId="74B46CAC">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新建</w:t>
                  </w:r>
                </w:p>
              </w:tc>
            </w:tr>
            <w:tr w14:paraId="4F910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55029438">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c>
                <w:tcPr>
                  <w:tcW w:w="673" w:type="pct"/>
                  <w:noWrap w:val="0"/>
                  <w:vAlign w:val="center"/>
                </w:tcPr>
                <w:p w14:paraId="79EEBFAD">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噪声</w:t>
                  </w:r>
                  <w:r>
                    <w:rPr>
                      <w:rFonts w:hint="eastAsia"/>
                      <w:color w:val="000000" w:themeColor="text1"/>
                      <w:szCs w:val="21"/>
                      <w14:textFill>
                        <w14:solidFill>
                          <w14:schemeClr w14:val="tx1"/>
                        </w14:solidFill>
                      </w14:textFill>
                    </w:rPr>
                    <w:t>保护</w:t>
                  </w:r>
                  <w:r>
                    <w:rPr>
                      <w:rFonts w:hint="default"/>
                      <w:color w:val="000000" w:themeColor="text1"/>
                      <w:szCs w:val="21"/>
                      <w14:textFill>
                        <w14:solidFill>
                          <w14:schemeClr w14:val="tx1"/>
                        </w14:solidFill>
                      </w14:textFill>
                    </w:rPr>
                    <w:t>措施</w:t>
                  </w:r>
                </w:p>
              </w:tc>
              <w:tc>
                <w:tcPr>
                  <w:tcW w:w="3682" w:type="pct"/>
                  <w:noWrap w:val="0"/>
                  <w:vAlign w:val="center"/>
                </w:tcPr>
                <w:p w14:paraId="246092EB">
                  <w:pPr>
                    <w:pStyle w:val="68"/>
                    <w:keepNext w:val="0"/>
                    <w:keepLines w:val="0"/>
                    <w:suppressLineNumbers w:val="0"/>
                    <w:spacing w:before="0" w:beforeAutospacing="0" w:after="0" w:afterAutospacing="0"/>
                    <w:ind w:left="0" w:right="0" w:firstLine="420" w:firstLineChars="200"/>
                    <w:jc w:val="both"/>
                    <w:rPr>
                      <w:rFonts w:hint="eastAsia"/>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选用低噪声设备、合理布局。</w:t>
                  </w:r>
                </w:p>
              </w:tc>
              <w:tc>
                <w:tcPr>
                  <w:tcW w:w="293" w:type="pct"/>
                  <w:noWrap w:val="0"/>
                  <w:vAlign w:val="center"/>
                </w:tcPr>
                <w:p w14:paraId="72004D84">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p>
              </w:tc>
            </w:tr>
            <w:tr w14:paraId="66C48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24585FE4">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c>
                <w:tcPr>
                  <w:tcW w:w="673" w:type="pct"/>
                  <w:noWrap w:val="0"/>
                  <w:vAlign w:val="center"/>
                </w:tcPr>
                <w:p w14:paraId="1780F204">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生态环境保护措施</w:t>
                  </w:r>
                </w:p>
              </w:tc>
              <w:tc>
                <w:tcPr>
                  <w:tcW w:w="3682" w:type="pct"/>
                  <w:noWrap w:val="0"/>
                  <w:vAlign w:val="center"/>
                </w:tcPr>
                <w:p w14:paraId="59AAF4A5">
                  <w:pPr>
                    <w:pStyle w:val="68"/>
                    <w:keepNext w:val="0"/>
                    <w:keepLines w:val="0"/>
                    <w:suppressLineNumbers w:val="0"/>
                    <w:spacing w:before="0" w:beforeAutospacing="0" w:after="0" w:afterAutospacing="0"/>
                    <w:ind w:left="0" w:right="0" w:firstLine="420" w:firstLineChars="200"/>
                    <w:jc w:val="left"/>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合理选址选线，减少占地；最小施工作业带，减少施工临时占地</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避让环境敏感区，减少土石方开挖，临时占地在施工结束后及时进行生态恢复。</w:t>
                  </w:r>
                </w:p>
              </w:tc>
              <w:tc>
                <w:tcPr>
                  <w:tcW w:w="293" w:type="pct"/>
                  <w:noWrap w:val="0"/>
                  <w:vAlign w:val="center"/>
                </w:tcPr>
                <w:p w14:paraId="70EB72FC">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p>
              </w:tc>
            </w:tr>
            <w:tr w14:paraId="612F9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22A9CF17">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c>
                <w:tcPr>
                  <w:tcW w:w="673" w:type="pct"/>
                  <w:noWrap w:val="0"/>
                  <w:vAlign w:val="center"/>
                </w:tcPr>
                <w:p w14:paraId="4C110854">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水环境保护措施</w:t>
                  </w:r>
                </w:p>
              </w:tc>
              <w:tc>
                <w:tcPr>
                  <w:tcW w:w="3682" w:type="pct"/>
                  <w:noWrap w:val="0"/>
                  <w:vAlign w:val="center"/>
                </w:tcPr>
                <w:p w14:paraId="2F316CB3">
                  <w:pPr>
                    <w:pStyle w:val="68"/>
                    <w:keepNext w:val="0"/>
                    <w:keepLines w:val="0"/>
                    <w:suppressLineNumbers w:val="0"/>
                    <w:spacing w:before="0" w:beforeAutospacing="0" w:after="0" w:afterAutospacing="0"/>
                    <w:ind w:left="0" w:leftChars="0" w:right="0" w:rightChars="0" w:firstLine="420" w:firstLineChars="200"/>
                    <w:jc w:val="left"/>
                    <w:rPr>
                      <w:rFonts w:hint="eastAsia"/>
                      <w:color w:val="000000" w:themeColor="text1"/>
                      <w:szCs w:val="21"/>
                      <w14:textFill>
                        <w14:solidFill>
                          <w14:schemeClr w14:val="tx1"/>
                        </w14:solidFill>
                      </w14:textFill>
                    </w:rPr>
                  </w:pPr>
                  <w:r>
                    <w:rPr>
                      <w:rFonts w:hint="eastAsia"/>
                      <w:color w:val="FF0000"/>
                      <w:sz w:val="21"/>
                      <w:szCs w:val="21"/>
                      <w:shd w:val="clear"/>
                      <w:lang w:val="en-US" w:eastAsia="zh-CN"/>
                    </w:rPr>
                    <w:t>变电站</w:t>
                  </w:r>
                  <w:r>
                    <w:rPr>
                      <w:rFonts w:hint="eastAsia"/>
                      <w:color w:val="FF0000"/>
                      <w:sz w:val="21"/>
                      <w:szCs w:val="21"/>
                      <w:shd w:val="clear"/>
                      <w:lang w:eastAsia="zh-CN"/>
                    </w:rPr>
                    <w:t>无新增值守人员，不会新增生活污水，</w:t>
                  </w:r>
                  <w:r>
                    <w:rPr>
                      <w:rFonts w:hint="eastAsia"/>
                      <w:color w:val="FF0000"/>
                      <w:sz w:val="21"/>
                      <w:szCs w:val="21"/>
                      <w:shd w:val="clear"/>
                      <w:lang w:val="en-US" w:eastAsia="zh-CN"/>
                    </w:rPr>
                    <w:t>现有</w:t>
                  </w:r>
                  <w:r>
                    <w:rPr>
                      <w:rFonts w:hint="eastAsia"/>
                      <w:color w:val="FF0000"/>
                      <w:sz w:val="21"/>
                      <w:szCs w:val="21"/>
                      <w:shd w:val="clear"/>
                      <w:lang w:eastAsia="zh-CN"/>
                    </w:rPr>
                    <w:t>生活污水经化粪池收集处理后，</w:t>
                  </w:r>
                  <w:r>
                    <w:rPr>
                      <w:rFonts w:hint="eastAsia"/>
                      <w:color w:val="FF0000"/>
                      <w:sz w:val="21"/>
                      <w:szCs w:val="21"/>
                      <w:shd w:val="clear"/>
                      <w:lang w:val="en-US" w:eastAsia="zh-CN"/>
                    </w:rPr>
                    <w:t>由市政部门</w:t>
                  </w:r>
                  <w:r>
                    <w:rPr>
                      <w:rFonts w:hint="eastAsia"/>
                      <w:color w:val="FF0000"/>
                      <w:sz w:val="21"/>
                      <w:szCs w:val="21"/>
                      <w:shd w:val="clear"/>
                      <w:lang w:eastAsia="zh-CN"/>
                    </w:rPr>
                    <w:t>定期清掏</w:t>
                  </w:r>
                  <w:r>
                    <w:rPr>
                      <w:rFonts w:hint="eastAsia"/>
                      <w:color w:val="000000" w:themeColor="text1"/>
                      <w:sz w:val="21"/>
                      <w:szCs w:val="21"/>
                      <w:shd w:val="clear"/>
                      <w:lang w:eastAsia="zh-CN"/>
                      <w14:textFill>
                        <w14:solidFill>
                          <w14:schemeClr w14:val="tx1"/>
                        </w14:solidFill>
                      </w14:textFill>
                    </w:rPr>
                    <w:t>，雨水经雨水口收集后排出站外</w:t>
                  </w:r>
                  <w:r>
                    <w:rPr>
                      <w:rFonts w:hint="eastAsia"/>
                      <w:color w:val="000000" w:themeColor="text1"/>
                      <w:sz w:val="21"/>
                      <w:szCs w:val="21"/>
                      <w:shd w:val="clear"/>
                      <w:lang w:val="en-US" w:eastAsia="zh-CN"/>
                      <w14:textFill>
                        <w14:solidFill>
                          <w14:schemeClr w14:val="tx1"/>
                        </w14:solidFill>
                      </w14:textFill>
                    </w:rPr>
                    <w:t>。</w:t>
                  </w:r>
                </w:p>
              </w:tc>
              <w:tc>
                <w:tcPr>
                  <w:tcW w:w="293" w:type="pct"/>
                  <w:noWrap w:val="0"/>
                  <w:vAlign w:val="center"/>
                </w:tcPr>
                <w:p w14:paraId="6D4D887B">
                  <w:pPr>
                    <w:pStyle w:val="68"/>
                    <w:keepNext w:val="0"/>
                    <w:keepLines w:val="0"/>
                    <w:suppressLineNumbers w:val="0"/>
                    <w:spacing w:before="0" w:beforeAutospacing="0" w:after="0" w:afterAutospacing="0"/>
                    <w:ind w:left="0" w:leftChars="0" w:right="0" w:rightChars="0"/>
                    <w:rPr>
                      <w:rFonts w:hint="eastAsia"/>
                      <w:color w:val="000000" w:themeColor="text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依托</w:t>
                  </w:r>
                </w:p>
              </w:tc>
            </w:tr>
            <w:tr w14:paraId="6A875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6356F0C1">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c>
                <w:tcPr>
                  <w:tcW w:w="673" w:type="pct"/>
                  <w:vMerge w:val="restart"/>
                  <w:noWrap w:val="0"/>
                  <w:vAlign w:val="center"/>
                </w:tcPr>
                <w:p w14:paraId="70B06532">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固体废物保护措施</w:t>
                  </w:r>
                </w:p>
              </w:tc>
              <w:tc>
                <w:tcPr>
                  <w:tcW w:w="3682" w:type="pct"/>
                  <w:noWrap w:val="0"/>
                  <w:vAlign w:val="center"/>
                </w:tcPr>
                <w:p w14:paraId="1A327B3C">
                  <w:pPr>
                    <w:pStyle w:val="68"/>
                    <w:keepNext w:val="0"/>
                    <w:keepLines w:val="0"/>
                    <w:suppressLineNumbers w:val="0"/>
                    <w:spacing w:before="0" w:beforeAutospacing="0" w:after="0" w:afterAutospacing="0"/>
                    <w:ind w:left="0" w:leftChars="0" w:right="0" w:rightChars="0" w:firstLine="420" w:firstLineChars="200"/>
                    <w:jc w:val="left"/>
                    <w:rPr>
                      <w:rFonts w:hint="eastAsia"/>
                      <w:color w:val="000000" w:themeColor="text1"/>
                      <w:szCs w:val="21"/>
                      <w14:textFill>
                        <w14:solidFill>
                          <w14:schemeClr w14:val="tx1"/>
                        </w14:solidFill>
                      </w14:textFill>
                    </w:rPr>
                  </w:pPr>
                  <w:r>
                    <w:rPr>
                      <w:rFonts w:hint="eastAsia"/>
                      <w:color w:val="000000" w:themeColor="text1"/>
                      <w:sz w:val="21"/>
                      <w:szCs w:val="21"/>
                      <w:shd w:val="clear"/>
                      <w:lang w:val="en-US" w:eastAsia="zh-CN"/>
                      <w14:textFill>
                        <w14:solidFill>
                          <w14:schemeClr w14:val="tx1"/>
                        </w14:solidFill>
                      </w14:textFill>
                    </w:rPr>
                    <w:t>变电站本期无新增值守人员，不新增生活垃圾，站内产生的生活垃圾集中堆放，由环卫部门定期收集处理。</w:t>
                  </w:r>
                </w:p>
              </w:tc>
              <w:tc>
                <w:tcPr>
                  <w:tcW w:w="293" w:type="pct"/>
                  <w:noWrap w:val="0"/>
                  <w:vAlign w:val="center"/>
                </w:tcPr>
                <w:p w14:paraId="34FE543D">
                  <w:pPr>
                    <w:pStyle w:val="68"/>
                    <w:keepNext w:val="0"/>
                    <w:keepLines w:val="0"/>
                    <w:suppressLineNumbers w:val="0"/>
                    <w:spacing w:before="0" w:beforeAutospacing="0" w:after="0" w:afterAutospacing="0"/>
                    <w:ind w:left="0" w:leftChars="0" w:right="0" w:rightChars="0"/>
                    <w:rPr>
                      <w:rFonts w:hint="eastAsia"/>
                      <w:color w:val="000000" w:themeColor="text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依托</w:t>
                  </w:r>
                </w:p>
              </w:tc>
            </w:tr>
            <w:tr w14:paraId="016C7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1" w:type="pct"/>
                  <w:vMerge w:val="continue"/>
                  <w:noWrap w:val="0"/>
                  <w:vAlign w:val="center"/>
                </w:tcPr>
                <w:p w14:paraId="58B2EB09">
                  <w:pPr>
                    <w:pStyle w:val="68"/>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c>
                <w:tcPr>
                  <w:tcW w:w="673" w:type="pct"/>
                  <w:vMerge w:val="continue"/>
                  <w:noWrap w:val="0"/>
                  <w:vAlign w:val="center"/>
                </w:tcPr>
                <w:p w14:paraId="796853EC">
                  <w:pPr>
                    <w:pStyle w:val="68"/>
                    <w:keepNext w:val="0"/>
                    <w:keepLines w:val="0"/>
                    <w:suppressLineNumbers w:val="0"/>
                    <w:spacing w:before="0" w:beforeAutospacing="0" w:after="0" w:afterAutospacing="0"/>
                    <w:ind w:left="0" w:right="0"/>
                    <w:rPr>
                      <w:rFonts w:hint="eastAsia"/>
                      <w:color w:val="000000" w:themeColor="text1"/>
                      <w:szCs w:val="21"/>
                      <w14:textFill>
                        <w14:solidFill>
                          <w14:schemeClr w14:val="tx1"/>
                        </w14:solidFill>
                      </w14:textFill>
                    </w:rPr>
                  </w:pPr>
                </w:p>
              </w:tc>
              <w:tc>
                <w:tcPr>
                  <w:tcW w:w="3682" w:type="pct"/>
                  <w:noWrap w:val="0"/>
                  <w:vAlign w:val="center"/>
                </w:tcPr>
                <w:p w14:paraId="26A69F3C">
                  <w:pPr>
                    <w:pStyle w:val="68"/>
                    <w:keepNext w:val="0"/>
                    <w:keepLines w:val="0"/>
                    <w:suppressLineNumbers w:val="0"/>
                    <w:spacing w:before="0" w:beforeAutospacing="0" w:after="0" w:afterAutospacing="0"/>
                    <w:ind w:left="0" w:leftChars="0" w:right="0" w:rightChars="0" w:firstLine="420" w:firstLineChars="200"/>
                    <w:jc w:val="both"/>
                    <w:rPr>
                      <w:rFonts w:hint="eastAsia" w:eastAsia="宋体"/>
                      <w:color w:val="000000" w:themeColor="text1"/>
                      <w:sz w:val="21"/>
                      <w:szCs w:val="21"/>
                      <w:shd w:val="clear"/>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恒山</w:t>
                  </w:r>
                  <w:r>
                    <w:rPr>
                      <w:rFonts w:hint="eastAsia" w:ascii="Times New Roman" w:hAnsi="Times New Roman" w:eastAsia="宋体"/>
                      <w:color w:val="000000" w:themeColor="text1"/>
                      <w:sz w:val="21"/>
                      <w:szCs w:val="21"/>
                      <w:lang w:val="en-US"/>
                      <w14:textFill>
                        <w14:solidFill>
                          <w14:schemeClr w14:val="tx1"/>
                        </w14:solidFill>
                      </w14:textFill>
                    </w:rPr>
                    <w:t>变电站</w:t>
                  </w:r>
                  <w:r>
                    <w:rPr>
                      <w:rFonts w:hint="default" w:ascii="Times New Roman" w:hAnsi="Times New Roman" w:eastAsia="宋体" w:cs="Times New Roman"/>
                      <w:color w:val="auto"/>
                      <w:sz w:val="21"/>
                      <w:szCs w:val="21"/>
                      <w:lang w:val="en-US" w:eastAsia="zh-CN"/>
                    </w:rPr>
                    <w:t>站内主变最大油重为</w:t>
                  </w:r>
                  <w:r>
                    <w:rPr>
                      <w:rFonts w:hint="eastAsia" w:cs="Times New Roman"/>
                      <w:color w:val="auto"/>
                      <w:sz w:val="21"/>
                      <w:szCs w:val="21"/>
                      <w:lang w:val="en-US" w:eastAsia="zh-CN"/>
                    </w:rPr>
                    <w:t>53.5</w:t>
                  </w:r>
                  <w:r>
                    <w:rPr>
                      <w:rFonts w:hint="default" w:ascii="Times New Roman" w:hAnsi="Times New Roman" w:eastAsia="宋体" w:cs="Times New Roman"/>
                      <w:color w:val="auto"/>
                      <w:sz w:val="21"/>
                      <w:szCs w:val="21"/>
                      <w:lang w:val="en-US" w:eastAsia="zh-CN"/>
                    </w:rPr>
                    <w:t>t（变压器油密度为895kg/m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，折合体积为</w:t>
                  </w:r>
                  <w:r>
                    <w:rPr>
                      <w:rFonts w:hint="eastAsia" w:cs="Times New Roman"/>
                      <w:color w:val="auto"/>
                      <w:sz w:val="21"/>
                      <w:szCs w:val="21"/>
                      <w:lang w:val="en-US" w:eastAsia="zh-CN"/>
                    </w:rPr>
                    <w:t>59.78</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现有</w:t>
                  </w:r>
                  <w:r>
                    <w:rPr>
                      <w:rFonts w:hint="default" w:ascii="Times New Roman" w:hAnsi="Times New Roman" w:eastAsia="宋体" w:cs="Times New Roman"/>
                      <w:color w:val="auto"/>
                      <w:sz w:val="21"/>
                      <w:szCs w:val="21"/>
                      <w:lang w:val="en-US" w:eastAsia="zh-CN"/>
                    </w:rPr>
                    <w:t>1座</w:t>
                  </w:r>
                  <w:r>
                    <w:rPr>
                      <w:rFonts w:hint="eastAsia" w:cs="Times New Roman"/>
                      <w:color w:val="auto"/>
                      <w:sz w:val="21"/>
                      <w:szCs w:val="21"/>
                      <w:lang w:val="en-US" w:eastAsia="zh-CN"/>
                    </w:rPr>
                    <w:t>92</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事故油池满足《火力发电厂与变电站设计防火标准》（GB 50229-2019）（2019年8月1日实施）中按照最大一台设备油量100%的容积的要求。产生的废变压器油交由有资质的单位进行处理</w:t>
                  </w:r>
                  <w:r>
                    <w:rPr>
                      <w:rFonts w:hint="eastAsia" w:cs="Times New Roman"/>
                      <w:color w:val="auto"/>
                      <w:sz w:val="21"/>
                      <w:szCs w:val="21"/>
                      <w:lang w:val="en-US" w:eastAsia="zh-CN"/>
                    </w:rPr>
                    <w:t>；</w:t>
                  </w:r>
                  <w:r>
                    <w:rPr>
                      <w:rFonts w:hint="eastAsia" w:cs="Times New Roman"/>
                      <w:color w:val="FF0000"/>
                      <w:sz w:val="21"/>
                      <w:szCs w:val="21"/>
                      <w:lang w:val="en-US" w:eastAsia="zh-CN"/>
                    </w:rPr>
                    <w:t>蓄电池由有资质的厂家上门更换，更换后的废铅蓄电池，不在站内暂存，交由具有资质单位进行处置。</w:t>
                  </w:r>
                </w:p>
              </w:tc>
              <w:tc>
                <w:tcPr>
                  <w:tcW w:w="293" w:type="pct"/>
                  <w:noWrap w:val="0"/>
                  <w:vAlign w:val="center"/>
                </w:tcPr>
                <w:p w14:paraId="15F702B4">
                  <w:pPr>
                    <w:pStyle w:val="68"/>
                    <w:keepNext w:val="0"/>
                    <w:keepLines w:val="0"/>
                    <w:suppressLineNumbers w:val="0"/>
                    <w:spacing w:before="0" w:beforeAutospacing="0" w:after="0" w:afterAutospacing="0"/>
                    <w:ind w:left="0" w:leftChars="0" w:right="0" w:rightChars="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依托</w:t>
                  </w:r>
                </w:p>
              </w:tc>
            </w:tr>
          </w:tbl>
          <w:p w14:paraId="2117BFC2">
            <w:pPr>
              <w:pStyle w:val="61"/>
              <w:keepNext w:val="0"/>
              <w:keepLines w:val="0"/>
              <w:suppressLineNumbers w:val="0"/>
              <w:spacing w:before="0" w:beforeAutospacing="0" w:after="0" w:afterAutospacing="0"/>
              <w:ind w:left="0" w:right="0"/>
              <w:rPr>
                <w:rFonts w:hint="eastAsia"/>
                <w:color w:val="000000" w:themeColor="text1"/>
                <w:sz w:val="24"/>
                <w:lang w:eastAsia="zh-CN"/>
                <w14:textFill>
                  <w14:solidFill>
                    <w14:schemeClr w14:val="tx1"/>
                  </w14:solidFill>
                </w14:textFill>
              </w:rPr>
            </w:pPr>
            <w:r>
              <w:rPr>
                <w:rFonts w:hint="eastAsia"/>
                <w:b/>
                <w:bCs/>
                <w:color w:val="000000" w:themeColor="text1"/>
                <w:kern w:val="0"/>
                <w:sz w:val="24"/>
                <w:lang w:val="en-US" w:eastAsia="zh-CN" w:bidi="ar"/>
                <w14:textFill>
                  <w14:solidFill>
                    <w14:schemeClr w14:val="tx1"/>
                  </w14:solidFill>
                </w14:textFill>
              </w:rPr>
              <w:t>2</w:t>
            </w:r>
            <w:r>
              <w:rPr>
                <w:rFonts w:hint="default"/>
                <w:b/>
                <w:bCs/>
                <w:color w:val="000000" w:themeColor="text1"/>
                <w:kern w:val="0"/>
                <w:sz w:val="24"/>
                <w:lang w:bidi="ar"/>
                <w14:textFill>
                  <w14:solidFill>
                    <w14:schemeClr w14:val="tx1"/>
                  </w14:solidFill>
                </w14:textFill>
              </w:rPr>
              <w:t>.2</w:t>
            </w:r>
            <w:r>
              <w:rPr>
                <w:rFonts w:hint="eastAsia"/>
                <w:b/>
                <w:bCs/>
                <w:color w:val="000000" w:themeColor="text1"/>
                <w:kern w:val="0"/>
                <w:sz w:val="24"/>
                <w:lang w:val="en-US" w:eastAsia="zh-CN" w:bidi="ar"/>
                <w14:textFill>
                  <w14:solidFill>
                    <w14:schemeClr w14:val="tx1"/>
                  </w14:solidFill>
                </w14:textFill>
              </w:rPr>
              <w:t xml:space="preserve"> </w:t>
            </w:r>
            <w:r>
              <w:rPr>
                <w:rFonts w:hint="eastAsia" w:ascii="宋体" w:hAnsi="宋体" w:cs="宋体"/>
                <w:b/>
                <w:bCs/>
                <w:color w:val="000000" w:themeColor="text1"/>
                <w:kern w:val="0"/>
                <w:sz w:val="24"/>
                <w:lang w:bidi="ar"/>
                <w14:textFill>
                  <w14:solidFill>
                    <w14:schemeClr w14:val="tx1"/>
                  </w14:solidFill>
                </w14:textFill>
              </w:rPr>
              <w:t>主要设备选型</w:t>
            </w:r>
          </w:p>
          <w:p w14:paraId="7A9DB972">
            <w:pPr>
              <w:pStyle w:val="61"/>
              <w:keepNext w:val="0"/>
              <w:keepLines w:val="0"/>
              <w:suppressLineNumbers w:val="0"/>
              <w:spacing w:before="0" w:beforeAutospacing="0" w:after="0" w:afterAutospacing="0"/>
              <w:ind w:left="0" w:right="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本项目线路沿线位于黑龙江省鸡西市恒山区、鸡东县。本项目主要设备见下表。</w:t>
            </w:r>
          </w:p>
          <w:p w14:paraId="625B2223">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heme="minorBidi"/>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heme="minorBidi"/>
                <w:b/>
                <w:bCs/>
                <w:color w:val="000000" w:themeColor="text1"/>
                <w:kern w:val="2"/>
                <w:sz w:val="24"/>
                <w:szCs w:val="24"/>
                <w:lang w:val="en-US" w:eastAsia="zh-CN" w:bidi="ar-SA"/>
                <w14:textFill>
                  <w14:solidFill>
                    <w14:schemeClr w14:val="tx1"/>
                  </w14:solidFill>
                </w14:textFill>
              </w:rPr>
              <w:t>表 2-</w:t>
            </w:r>
            <w:r>
              <w:rPr>
                <w:rFonts w:hint="eastAsia" w:cstheme="minorBidi"/>
                <w:b/>
                <w:bCs/>
                <w:color w:val="000000" w:themeColor="text1"/>
                <w:kern w:val="2"/>
                <w:sz w:val="24"/>
                <w:szCs w:val="24"/>
                <w:lang w:val="en-US" w:eastAsia="zh-CN" w:bidi="ar-SA"/>
                <w14:textFill>
                  <w14:solidFill>
                    <w14:schemeClr w14:val="tx1"/>
                  </w14:solidFill>
                </w14:textFill>
              </w:rPr>
              <w:t>2</w:t>
            </w:r>
            <w:r>
              <w:rPr>
                <w:rFonts w:hint="eastAsia" w:ascii="Times New Roman" w:hAnsi="Times New Roman" w:eastAsia="宋体" w:cstheme="minorBidi"/>
                <w:b/>
                <w:bCs/>
                <w:color w:val="000000" w:themeColor="text1"/>
                <w:kern w:val="2"/>
                <w:sz w:val="24"/>
                <w:szCs w:val="24"/>
                <w:lang w:val="en-US" w:eastAsia="zh-CN" w:bidi="ar-SA"/>
                <w14:textFill>
                  <w14:solidFill>
                    <w14:schemeClr w14:val="tx1"/>
                  </w14:solidFill>
                </w14:textFill>
              </w:rPr>
              <w:t xml:space="preserve"> </w:t>
            </w:r>
            <w:r>
              <w:rPr>
                <w:rFonts w:hint="eastAsia" w:cstheme="minorBidi"/>
                <w:b/>
                <w:bCs/>
                <w:color w:val="000000" w:themeColor="text1"/>
                <w:kern w:val="2"/>
                <w:sz w:val="24"/>
                <w:szCs w:val="24"/>
                <w:lang w:val="en-US" w:eastAsia="zh-CN" w:bidi="ar-SA"/>
                <w14:textFill>
                  <w14:solidFill>
                    <w14:schemeClr w14:val="tx1"/>
                  </w14:solidFill>
                </w14:textFill>
              </w:rPr>
              <w:t>恒山</w:t>
            </w:r>
            <w:r>
              <w:rPr>
                <w:rFonts w:hint="eastAsia" w:ascii="Times New Roman" w:hAnsi="Times New Roman" w:cstheme="minorBidi"/>
                <w:b/>
                <w:bCs/>
                <w:color w:val="000000" w:themeColor="text1"/>
                <w:kern w:val="2"/>
                <w:sz w:val="24"/>
                <w:szCs w:val="24"/>
                <w:lang w:val="en-US" w:eastAsia="zh-CN" w:bidi="ar-SA"/>
                <w14:textFill>
                  <w14:solidFill>
                    <w14:schemeClr w14:val="tx1"/>
                  </w14:solidFill>
                </w14:textFill>
              </w:rPr>
              <w:t>220</w:t>
            </w:r>
            <w:r>
              <w:rPr>
                <w:rFonts w:hint="eastAsia" w:ascii="Times New Roman" w:hAnsi="Times New Roman" w:eastAsia="宋体" w:cstheme="minorBidi"/>
                <w:b/>
                <w:bCs/>
                <w:color w:val="000000" w:themeColor="text1"/>
                <w:kern w:val="2"/>
                <w:sz w:val="24"/>
                <w:szCs w:val="24"/>
                <w:lang w:val="en-US" w:eastAsia="zh-CN" w:bidi="ar-SA"/>
                <w14:textFill>
                  <w14:solidFill>
                    <w14:schemeClr w14:val="tx1"/>
                  </w14:solidFill>
                </w14:textFill>
              </w:rPr>
              <w:t>千伏变电站间隔</w:t>
            </w:r>
            <w:r>
              <w:rPr>
                <w:rFonts w:hint="eastAsia" w:ascii="Times New Roman" w:hAnsi="Times New Roman" w:cstheme="minorBidi"/>
                <w:b/>
                <w:bCs/>
                <w:color w:val="000000" w:themeColor="text1"/>
                <w:kern w:val="2"/>
                <w:sz w:val="24"/>
                <w:szCs w:val="24"/>
                <w:lang w:val="en-US" w:eastAsia="zh-CN" w:bidi="ar-SA"/>
                <w14:textFill>
                  <w14:solidFill>
                    <w14:schemeClr w14:val="tx1"/>
                  </w14:solidFill>
                </w14:textFill>
              </w:rPr>
              <w:t>扩建</w:t>
            </w:r>
            <w:r>
              <w:rPr>
                <w:rFonts w:hint="eastAsia" w:ascii="Times New Roman" w:hAnsi="Times New Roman" w:eastAsia="宋体" w:cstheme="minorBidi"/>
                <w:b/>
                <w:bCs/>
                <w:color w:val="000000" w:themeColor="text1"/>
                <w:kern w:val="2"/>
                <w:sz w:val="24"/>
                <w:szCs w:val="24"/>
                <w:lang w:val="en-US" w:eastAsia="zh-CN" w:bidi="ar-SA"/>
                <w14:textFill>
                  <w14:solidFill>
                    <w14:schemeClr w14:val="tx1"/>
                  </w14:solidFill>
                </w14:textFill>
              </w:rPr>
              <w:t>主要设备</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964"/>
              <w:gridCol w:w="5048"/>
              <w:gridCol w:w="661"/>
            </w:tblGrid>
            <w:tr w14:paraId="76734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96" w:type="pct"/>
                  <w:noWrap w:val="0"/>
                  <w:vAlign w:val="center"/>
                </w:tcPr>
                <w:p w14:paraId="5C6D579D">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序号</w:t>
                  </w:r>
                </w:p>
              </w:tc>
              <w:tc>
                <w:tcPr>
                  <w:tcW w:w="1178" w:type="pct"/>
                  <w:noWrap w:val="0"/>
                  <w:vAlign w:val="center"/>
                </w:tcPr>
                <w:p w14:paraId="5444170E">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设备名称</w:t>
                  </w:r>
                </w:p>
              </w:tc>
              <w:tc>
                <w:tcPr>
                  <w:tcW w:w="3028" w:type="pct"/>
                  <w:noWrap w:val="0"/>
                  <w:vAlign w:val="center"/>
                </w:tcPr>
                <w:p w14:paraId="3E230F56">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主要参数</w:t>
                  </w:r>
                </w:p>
              </w:tc>
              <w:tc>
                <w:tcPr>
                  <w:tcW w:w="396" w:type="pct"/>
                  <w:noWrap w:val="0"/>
                  <w:vAlign w:val="center"/>
                </w:tcPr>
                <w:p w14:paraId="1A50293B">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备注</w:t>
                  </w:r>
                </w:p>
              </w:tc>
            </w:tr>
            <w:tr w14:paraId="64634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96" w:type="pct"/>
                  <w:noWrap w:val="0"/>
                  <w:vAlign w:val="center"/>
                </w:tcPr>
                <w:p w14:paraId="1F02D3D9">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w:t>
                  </w:r>
                </w:p>
              </w:tc>
              <w:tc>
                <w:tcPr>
                  <w:tcW w:w="1178" w:type="pct"/>
                  <w:noWrap w:val="0"/>
                  <w:vAlign w:val="center"/>
                </w:tcPr>
                <w:p w14:paraId="097F54E0">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220kV气体绝缘金属封闭开关设备</w:t>
                  </w:r>
                </w:p>
              </w:tc>
              <w:tc>
                <w:tcPr>
                  <w:tcW w:w="3028" w:type="pct"/>
                  <w:noWrap w:val="0"/>
                  <w:vAlign w:val="center"/>
                </w:tcPr>
                <w:p w14:paraId="1429101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252kV 4000A 50kA</w:t>
                  </w:r>
                </w:p>
              </w:tc>
              <w:tc>
                <w:tcPr>
                  <w:tcW w:w="396" w:type="pct"/>
                  <w:noWrap w:val="0"/>
                  <w:vAlign w:val="center"/>
                </w:tcPr>
                <w:p w14:paraId="475670E8">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w:t>
                  </w:r>
                </w:p>
              </w:tc>
            </w:tr>
            <w:tr w14:paraId="5FA26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96" w:type="pct"/>
                  <w:noWrap w:val="0"/>
                  <w:vAlign w:val="center"/>
                </w:tcPr>
                <w:p w14:paraId="430EB809">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w:t>
                  </w:r>
                </w:p>
              </w:tc>
              <w:tc>
                <w:tcPr>
                  <w:tcW w:w="1178" w:type="pct"/>
                  <w:noWrap w:val="0"/>
                  <w:vAlign w:val="center"/>
                </w:tcPr>
                <w:p w14:paraId="19269B99">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220kV隔离开关</w:t>
                  </w:r>
                </w:p>
              </w:tc>
              <w:tc>
                <w:tcPr>
                  <w:tcW w:w="3028" w:type="pct"/>
                  <w:noWrap w:val="0"/>
                  <w:vAlign w:val="center"/>
                </w:tcPr>
                <w:p w14:paraId="22121F9D">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三柱水平旋转式，252kV，4000A，Ik=50kA，iy=125kA</w:t>
                  </w:r>
                </w:p>
              </w:tc>
              <w:tc>
                <w:tcPr>
                  <w:tcW w:w="396" w:type="pct"/>
                  <w:noWrap w:val="0"/>
                  <w:vAlign w:val="center"/>
                </w:tcPr>
                <w:p w14:paraId="13F87FC1">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w:t>
                  </w:r>
                </w:p>
              </w:tc>
            </w:tr>
            <w:tr w14:paraId="6BEBB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96" w:type="pct"/>
                  <w:noWrap w:val="0"/>
                  <w:vAlign w:val="center"/>
                </w:tcPr>
                <w:p w14:paraId="22C6EFEF">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3</w:t>
                  </w:r>
                </w:p>
              </w:tc>
              <w:tc>
                <w:tcPr>
                  <w:tcW w:w="1178" w:type="pct"/>
                  <w:noWrap w:val="0"/>
                  <w:vAlign w:val="center"/>
                </w:tcPr>
                <w:p w14:paraId="34DB3B07">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220kV接地开关</w:t>
                  </w:r>
                </w:p>
              </w:tc>
              <w:tc>
                <w:tcPr>
                  <w:tcW w:w="3028" w:type="pct"/>
                  <w:noWrap w:val="0"/>
                  <w:vAlign w:val="center"/>
                </w:tcPr>
                <w:p w14:paraId="51461529">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252kV，Ik=50kA</w:t>
                  </w:r>
                </w:p>
              </w:tc>
              <w:tc>
                <w:tcPr>
                  <w:tcW w:w="396" w:type="pct"/>
                  <w:noWrap w:val="0"/>
                  <w:vAlign w:val="center"/>
                </w:tcPr>
                <w:p w14:paraId="00FDFB5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51AA7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96" w:type="pct"/>
                  <w:noWrap w:val="0"/>
                  <w:vAlign w:val="center"/>
                </w:tcPr>
                <w:p w14:paraId="2190F229">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4</w:t>
                  </w:r>
                </w:p>
              </w:tc>
              <w:tc>
                <w:tcPr>
                  <w:tcW w:w="1178" w:type="pct"/>
                  <w:noWrap w:val="0"/>
                  <w:vAlign w:val="center"/>
                </w:tcPr>
                <w:p w14:paraId="40A6D777">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220kV电压互感器</w:t>
                  </w:r>
                </w:p>
              </w:tc>
              <w:tc>
                <w:tcPr>
                  <w:tcW w:w="3028" w:type="pct"/>
                  <w:noWrap w:val="0"/>
                  <w:vAlign w:val="center"/>
                </w:tcPr>
                <w:p w14:paraId="17728E06">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default"/>
                    </w:rPr>
                    <w:drawing>
                      <wp:inline distT="0" distB="0" distL="114300" distR="114300">
                        <wp:extent cx="1140460" cy="313055"/>
                        <wp:effectExtent l="0" t="0" r="2540" b="10795"/>
                        <wp:docPr id="1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
                                <pic:cNvPicPr>
                                  <a:picLocks noChangeAspect="1"/>
                                </pic:cNvPicPr>
                              </pic:nvPicPr>
                              <pic:blipFill>
                                <a:blip r:embed="rId12"/>
                                <a:stretch>
                                  <a:fillRect/>
                                </a:stretch>
                              </pic:blipFill>
                              <pic:spPr>
                                <a:xfrm>
                                  <a:off x="0" y="0"/>
                                  <a:ext cx="1140460" cy="313055"/>
                                </a:xfrm>
                                <a:prstGeom prst="rect">
                                  <a:avLst/>
                                </a:prstGeom>
                                <a:noFill/>
                                <a:ln>
                                  <a:noFill/>
                                </a:ln>
                              </pic:spPr>
                            </pic:pic>
                          </a:graphicData>
                        </a:graphic>
                      </wp:inline>
                    </w:drawing>
                  </w:r>
                </w:p>
              </w:tc>
              <w:tc>
                <w:tcPr>
                  <w:tcW w:w="396" w:type="pct"/>
                  <w:noWrap w:val="0"/>
                  <w:vAlign w:val="center"/>
                </w:tcPr>
                <w:p w14:paraId="49D89060">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w:t>
                  </w:r>
                </w:p>
              </w:tc>
            </w:tr>
            <w:tr w14:paraId="42381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96" w:type="pct"/>
                  <w:noWrap w:val="0"/>
                  <w:vAlign w:val="center"/>
                </w:tcPr>
                <w:p w14:paraId="349A989D">
                  <w:pPr>
                    <w:keepNext w:val="0"/>
                    <w:keepLines w:val="0"/>
                    <w:suppressLineNumbers w:val="0"/>
                    <w:spacing w:before="0" w:beforeAutospacing="0" w:after="0" w:afterAutospacing="0"/>
                    <w:ind w:left="0" w:right="0"/>
                    <w:jc w:val="center"/>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w:t>
                  </w:r>
                </w:p>
              </w:tc>
              <w:tc>
                <w:tcPr>
                  <w:tcW w:w="1178" w:type="pct"/>
                  <w:noWrap w:val="0"/>
                  <w:vAlign w:val="center"/>
                </w:tcPr>
                <w:p w14:paraId="685E4CDC">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220kV避雷器</w:t>
                  </w:r>
                </w:p>
              </w:tc>
              <w:tc>
                <w:tcPr>
                  <w:tcW w:w="3028" w:type="pct"/>
                  <w:noWrap w:val="0"/>
                  <w:vAlign w:val="center"/>
                </w:tcPr>
                <w:p w14:paraId="79A55979">
                  <w:pPr>
                    <w:keepNext w:val="0"/>
                    <w:keepLines w:val="0"/>
                    <w:suppressLineNumbers w:val="0"/>
                    <w:spacing w:before="0" w:beforeAutospacing="0" w:after="0" w:afterAutospacing="0"/>
                    <w:ind w:left="0" w:right="0"/>
                    <w:jc w:val="center"/>
                    <w:rPr>
                      <w:rFonts w:hint="default"/>
                    </w:rPr>
                  </w:pPr>
                  <w:r>
                    <w:rPr>
                      <w:rFonts w:hint="eastAsia"/>
                    </w:rPr>
                    <w:t>204/532</w:t>
                  </w:r>
                </w:p>
              </w:tc>
              <w:tc>
                <w:tcPr>
                  <w:tcW w:w="396" w:type="pct"/>
                  <w:noWrap w:val="0"/>
                  <w:vAlign w:val="center"/>
                </w:tcPr>
                <w:p w14:paraId="7B91CACE">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w:t>
                  </w:r>
                </w:p>
              </w:tc>
            </w:tr>
            <w:tr w14:paraId="7D3CA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96" w:type="pct"/>
                  <w:noWrap w:val="0"/>
                  <w:vAlign w:val="center"/>
                </w:tcPr>
                <w:p w14:paraId="13741D67">
                  <w:pPr>
                    <w:keepNext w:val="0"/>
                    <w:keepLines w:val="0"/>
                    <w:suppressLineNumbers w:val="0"/>
                    <w:spacing w:before="0" w:beforeAutospacing="0" w:after="0" w:afterAutospacing="0"/>
                    <w:ind w:left="0" w:right="0"/>
                    <w:jc w:val="center"/>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6</w:t>
                  </w:r>
                </w:p>
              </w:tc>
              <w:tc>
                <w:tcPr>
                  <w:tcW w:w="1178" w:type="pct"/>
                  <w:noWrap w:val="0"/>
                  <w:vAlign w:val="center"/>
                </w:tcPr>
                <w:p w14:paraId="1F156E99">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22kV支柱绝缘子</w:t>
                  </w:r>
                </w:p>
              </w:tc>
              <w:tc>
                <w:tcPr>
                  <w:tcW w:w="3028" w:type="pct"/>
                  <w:noWrap w:val="0"/>
                  <w:vAlign w:val="center"/>
                </w:tcPr>
                <w:p w14:paraId="703D2EA6">
                  <w:pPr>
                    <w:keepNext w:val="0"/>
                    <w:keepLines w:val="0"/>
                    <w:suppressLineNumbers w:val="0"/>
                    <w:spacing w:before="0" w:beforeAutospacing="0" w:after="0" w:afterAutospacing="0"/>
                    <w:ind w:left="0" w:right="0"/>
                    <w:jc w:val="center"/>
                    <w:rPr>
                      <w:rFonts w:hint="eastAsia"/>
                    </w:rPr>
                  </w:pPr>
                  <w:r>
                    <w:rPr>
                      <w:rFonts w:hint="eastAsia"/>
                    </w:rPr>
                    <w:t>252kV，8kN，非磁性，户外</w:t>
                  </w:r>
                </w:p>
                <w:p w14:paraId="29C2FDCA">
                  <w:pPr>
                    <w:keepNext w:val="0"/>
                    <w:keepLines w:val="0"/>
                    <w:suppressLineNumbers w:val="0"/>
                    <w:spacing w:before="0" w:beforeAutospacing="0" w:after="0" w:afterAutospacing="0"/>
                    <w:ind w:left="0" w:right="0"/>
                    <w:jc w:val="center"/>
                    <w:rPr>
                      <w:rFonts w:hint="default"/>
                    </w:rPr>
                  </w:pPr>
                  <w:r>
                    <w:rPr>
                      <w:rFonts w:hint="eastAsia"/>
                    </w:rPr>
                    <w:t>252kV，16kN，非磁性，户外</w:t>
                  </w:r>
                </w:p>
              </w:tc>
              <w:tc>
                <w:tcPr>
                  <w:tcW w:w="396" w:type="pct"/>
                  <w:noWrap w:val="0"/>
                  <w:vAlign w:val="center"/>
                </w:tcPr>
                <w:p w14:paraId="1644C71D">
                  <w:pPr>
                    <w:keepNext w:val="0"/>
                    <w:keepLines w:val="0"/>
                    <w:suppressLineNumbers w:val="0"/>
                    <w:spacing w:before="0" w:beforeAutospacing="0" w:after="0" w:afterAutospacing="0"/>
                    <w:ind w:left="0" w:right="0"/>
                    <w:jc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w:t>
                  </w:r>
                </w:p>
              </w:tc>
            </w:tr>
          </w:tbl>
          <w:p w14:paraId="1DB405F9">
            <w:pPr>
              <w:keepNext w:val="0"/>
              <w:keepLines w:val="0"/>
              <w:suppressLineNumbers w:val="0"/>
              <w:spacing w:before="0" w:beforeAutospacing="0" w:after="0" w:afterAutospacing="0" w:line="360" w:lineRule="auto"/>
              <w:ind w:left="0" w:right="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本项目线路经济技术指标见下表。</w:t>
            </w:r>
          </w:p>
          <w:p w14:paraId="45DDC719">
            <w:pPr>
              <w:pStyle w:val="76"/>
              <w:keepNext w:val="0"/>
              <w:keepLines w:val="0"/>
              <w:widowControl w:val="0"/>
              <w:suppressLineNumbers w:val="0"/>
              <w:bidi w:val="0"/>
              <w:adjustRightInd/>
              <w:snapToGrid/>
              <w:spacing w:before="0" w:beforeLines="-2147483648" w:beforeAutospacing="0" w:after="0" w:afterLines="-2147483648" w:afterAutospacing="0" w:line="240" w:lineRule="auto"/>
              <w:ind w:left="0" w:right="0" w:firstLine="0" w:firstLineChars="0"/>
              <w:rPr>
                <w:rFonts w:hint="default" w:ascii="Times New Roman" w:hAnsi="Times New Roman" w:eastAsia="宋体" w:cstheme="minorBidi"/>
                <w:bCs/>
                <w:color w:val="000000" w:themeColor="text1"/>
                <w:kern w:val="2"/>
                <w:sz w:val="24"/>
                <w:szCs w:val="24"/>
                <w:lang w:val="en-US" w:eastAsia="zh-CN"/>
                <w14:textFill>
                  <w14:solidFill>
                    <w14:schemeClr w14:val="tx1"/>
                  </w14:solidFill>
                </w14:textFill>
              </w:rPr>
            </w:pPr>
            <w:r>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t>表 2-</w:t>
            </w:r>
            <w:r>
              <w:rPr>
                <w:rFonts w:hint="eastAsia" w:ascii="Times New Roman" w:cstheme="minorBidi"/>
                <w:bCs/>
                <w:color w:val="000000" w:themeColor="text1"/>
                <w:kern w:val="2"/>
                <w:sz w:val="24"/>
                <w:szCs w:val="24"/>
                <w:lang w:val="en-US" w:eastAsia="zh-CN"/>
                <w14:textFill>
                  <w14:solidFill>
                    <w14:schemeClr w14:val="tx1"/>
                  </w14:solidFill>
                </w14:textFill>
              </w:rPr>
              <w:t>3</w:t>
            </w:r>
            <w:r>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t xml:space="preserve"> </w:t>
            </w:r>
            <w:r>
              <w:rPr>
                <w:rFonts w:hint="eastAsia" w:ascii="Times New Roman" w:cstheme="minorBidi"/>
                <w:bCs/>
                <w:color w:val="000000" w:themeColor="text1"/>
                <w:kern w:val="2"/>
                <w:sz w:val="24"/>
                <w:szCs w:val="24"/>
                <w:lang w:val="en-US" w:eastAsia="zh-CN"/>
                <w14:textFill>
                  <w14:solidFill>
                    <w14:schemeClr w14:val="tx1"/>
                  </w14:solidFill>
                </w14:textFill>
              </w:rPr>
              <w:t>线路</w:t>
            </w:r>
            <w:r>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t>工程经济技术指标</w:t>
            </w:r>
          </w:p>
          <w:tbl>
            <w:tblPr>
              <w:tblStyle w:val="30"/>
              <w:tblW w:w="49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4"/>
              <w:gridCol w:w="1750"/>
              <w:gridCol w:w="1865"/>
              <w:gridCol w:w="3380"/>
            </w:tblGrid>
            <w:tr w14:paraId="5906E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00B34E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线路</w:t>
                  </w:r>
                  <w:r>
                    <w:rPr>
                      <w:rFonts w:hint="default" w:ascii="Times New Roman" w:hAnsi="Times New Roman" w:eastAsia="宋体" w:cs="Times New Roman"/>
                      <w:color w:val="000000" w:themeColor="text1"/>
                      <w:lang w:val="en-US" w:eastAsia="zh-CN"/>
                      <w14:textFill>
                        <w14:solidFill>
                          <w14:schemeClr w14:val="tx1"/>
                        </w14:solidFill>
                      </w14:textFill>
                    </w:rPr>
                    <w:t>名称</w:t>
                  </w:r>
                </w:p>
              </w:tc>
              <w:tc>
                <w:tcPr>
                  <w:tcW w:w="6842" w:type="dxa"/>
                  <w:gridSpan w:val="3"/>
                  <w:noWrap w:val="0"/>
                  <w:vAlign w:val="center"/>
                </w:tcPr>
                <w:p w14:paraId="259BA2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黑龙江鸡西鸡西~恒山220kV线路工程</w:t>
                  </w:r>
                </w:p>
              </w:tc>
            </w:tr>
            <w:tr w14:paraId="62A2E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6C0C6F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电压等级</w:t>
                  </w:r>
                </w:p>
              </w:tc>
              <w:tc>
                <w:tcPr>
                  <w:tcW w:w="6842" w:type="dxa"/>
                  <w:gridSpan w:val="3"/>
                  <w:noWrap w:val="0"/>
                  <w:vAlign w:val="center"/>
                </w:tcPr>
                <w:p w14:paraId="5D14633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220kV</w:t>
                  </w:r>
                </w:p>
              </w:tc>
            </w:tr>
            <w:tr w14:paraId="329AC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15F72C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线路长度</w:t>
                  </w:r>
                </w:p>
              </w:tc>
              <w:tc>
                <w:tcPr>
                  <w:tcW w:w="6842" w:type="dxa"/>
                  <w:gridSpan w:val="3"/>
                  <w:noWrap w:val="0"/>
                  <w:vAlign w:val="center"/>
                </w:tcPr>
                <w:p w14:paraId="08A4B7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新建鸡西~恒山220kV线路</w:t>
                  </w:r>
                  <w:r>
                    <w:rPr>
                      <w:rFonts w:hint="default" w:ascii="Times New Roman" w:hAnsi="Times New Roman" w:eastAsia="宋体" w:cs="Times New Roman"/>
                      <w:color w:val="000000" w:themeColor="text1"/>
                      <w:lang w:val="en-US" w:eastAsia="zh-CN"/>
                      <w14:textFill>
                        <w14:solidFill>
                          <w14:schemeClr w14:val="tx1"/>
                        </w14:solidFill>
                      </w14:textFill>
                    </w:rPr>
                    <w:t>长</w:t>
                  </w:r>
                  <w:r>
                    <w:rPr>
                      <w:rFonts w:hint="eastAsia" w:ascii="Times New Roman" w:hAnsi="Times New Roman" w:eastAsia="宋体" w:cs="Times New Roman"/>
                      <w:color w:val="000000" w:themeColor="text1"/>
                      <w:lang w:val="en-US" w:eastAsia="zh-CN"/>
                      <w14:textFill>
                        <w14:solidFill>
                          <w14:schemeClr w14:val="tx1"/>
                        </w14:solidFill>
                      </w14:textFill>
                    </w:rPr>
                    <w:t>2×66</w:t>
                  </w:r>
                  <w:r>
                    <w:rPr>
                      <w:rFonts w:hint="default" w:ascii="Times New Roman" w:hAnsi="Times New Roman" w:eastAsia="宋体" w:cs="Times New Roman"/>
                      <w:color w:val="000000" w:themeColor="text1"/>
                      <w:lang w:val="en-US" w:eastAsia="zh-CN"/>
                      <w14:textFill>
                        <w14:solidFill>
                          <w14:schemeClr w14:val="tx1"/>
                        </w14:solidFill>
                      </w14:textFill>
                    </w:rPr>
                    <w:t>km</w:t>
                  </w:r>
                </w:p>
                <w:p w14:paraId="76022A8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改造220kV鸡联变-恒山变甲、乙线2×0.2km，恢复架线长度约2×0.3km</w:t>
                  </w:r>
                </w:p>
              </w:tc>
            </w:tr>
            <w:tr w14:paraId="20191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3EFC265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起迄点</w:t>
                  </w:r>
                </w:p>
              </w:tc>
              <w:tc>
                <w:tcPr>
                  <w:tcW w:w="6842" w:type="dxa"/>
                  <w:gridSpan w:val="3"/>
                  <w:noWrap w:val="0"/>
                  <w:vAlign w:val="center"/>
                </w:tcPr>
                <w:p w14:paraId="5169414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新建线路：始于500kV鸡西变220kV构架，止于220kV恒山变。</w:t>
                  </w:r>
                </w:p>
                <w:p w14:paraId="6C65191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改造线路：恒山变涉及间隔调整，需</w:t>
                  </w:r>
                  <w:r>
                    <w:rPr>
                      <w:rFonts w:hint="default" w:ascii="Times New Roman" w:hAnsi="Times New Roman" w:eastAsia="宋体" w:cs="Times New Roman"/>
                      <w:color w:val="000000" w:themeColor="text1"/>
                      <w:lang w:val="en-US" w:eastAsia="zh-CN"/>
                      <w14:textFill>
                        <w14:solidFill>
                          <w14:schemeClr w14:val="tx1"/>
                        </w14:solidFill>
                      </w14:textFill>
                    </w:rPr>
                    <w:t>改造220kV鸡联变-恒山变甲、乙线2×0.2km，恢复架线长度约2×0.3km</w:t>
                  </w:r>
                  <w:r>
                    <w:rPr>
                      <w:rFonts w:hint="eastAsia" w:ascii="Times New Roman" w:hAnsi="Times New Roman" w:eastAsia="宋体" w:cs="Times New Roman"/>
                      <w:color w:val="000000" w:themeColor="text1"/>
                      <w:lang w:val="en-US" w:eastAsia="zh-CN"/>
                      <w14:textFill>
                        <w14:solidFill>
                          <w14:schemeClr w14:val="tx1"/>
                        </w14:solidFill>
                      </w14:textFill>
                    </w:rPr>
                    <w:t>。</w:t>
                  </w:r>
                </w:p>
              </w:tc>
            </w:tr>
            <w:tr w14:paraId="3CA80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2B035CA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回路数</w:t>
                  </w:r>
                </w:p>
              </w:tc>
              <w:tc>
                <w:tcPr>
                  <w:tcW w:w="6842" w:type="dxa"/>
                  <w:gridSpan w:val="3"/>
                  <w:noWrap w:val="0"/>
                  <w:vAlign w:val="center"/>
                </w:tcPr>
                <w:p w14:paraId="5E626B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单回路</w:t>
                  </w:r>
                </w:p>
              </w:tc>
            </w:tr>
            <w:tr w14:paraId="4DA7D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26DE631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地线型号</w:t>
                  </w:r>
                </w:p>
              </w:tc>
              <w:tc>
                <w:tcPr>
                  <w:tcW w:w="6842" w:type="dxa"/>
                  <w:gridSpan w:val="3"/>
                  <w:noWrap w:val="0"/>
                  <w:vAlign w:val="center"/>
                </w:tcPr>
                <w:p w14:paraId="358AE6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新建线路：一根72芯OPGW复合光缆和一根JLB40-120铝包钢绞线</w:t>
                  </w:r>
                </w:p>
                <w:p w14:paraId="3D10E15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改造线路：一根24芯OPGW光缆和一根JLB40-120铝包钢绞线</w:t>
                  </w:r>
                </w:p>
              </w:tc>
            </w:tr>
            <w:tr w14:paraId="400F4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6C8D293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导线型号</w:t>
                  </w:r>
                </w:p>
              </w:tc>
              <w:tc>
                <w:tcPr>
                  <w:tcW w:w="6842" w:type="dxa"/>
                  <w:gridSpan w:val="3"/>
                  <w:noWrap w:val="0"/>
                  <w:vAlign w:val="center"/>
                </w:tcPr>
                <w:p w14:paraId="60E8A7E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新建线路：2×JL3/G1A-300/40钢芯高导电率铝绞线</w:t>
                  </w:r>
                </w:p>
                <w:p w14:paraId="17A966C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改造线路：1×JL3/G1A-300/40钢芯铝绞线</w:t>
                  </w:r>
                </w:p>
              </w:tc>
            </w:tr>
            <w:tr w14:paraId="32A2A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56F572C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绝缘配合</w:t>
                  </w:r>
                </w:p>
              </w:tc>
              <w:tc>
                <w:tcPr>
                  <w:tcW w:w="6842" w:type="dxa"/>
                  <w:gridSpan w:val="3"/>
                  <w:noWrap w:val="0"/>
                  <w:vAlign w:val="center"/>
                </w:tcPr>
                <w:p w14:paraId="1744515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本工程导线悬垂绝缘子和耐张绝缘子暂按棒形悬式复合绝缘子设计，跳线绝缘子暂按防风偏复合绝缘子设计，门构耐张绝缘子暂按盘形悬式瓷绝缘子设计。</w:t>
                  </w:r>
                </w:p>
              </w:tc>
            </w:tr>
            <w:tr w14:paraId="57AB0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5DC990E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沿线地形</w:t>
                  </w:r>
                </w:p>
              </w:tc>
              <w:tc>
                <w:tcPr>
                  <w:tcW w:w="6842" w:type="dxa"/>
                  <w:gridSpan w:val="3"/>
                  <w:noWrap w:val="0"/>
                  <w:vAlign w:val="center"/>
                </w:tcPr>
                <w:p w14:paraId="3205BB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平地占25.76%、丘陵30.3%、山地40.91%、河网3.03%</w:t>
                  </w:r>
                </w:p>
              </w:tc>
            </w:tr>
            <w:tr w14:paraId="1DCAD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56ED660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沿线植被</w:t>
                  </w:r>
                </w:p>
              </w:tc>
              <w:tc>
                <w:tcPr>
                  <w:tcW w:w="6842" w:type="dxa"/>
                  <w:gridSpan w:val="3"/>
                  <w:noWrap w:val="0"/>
                  <w:vAlign w:val="center"/>
                </w:tcPr>
                <w:p w14:paraId="7E09BD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旱田（46.97%）、人工林（43.94%）、水田（5.3%）、其他（3.79%）</w:t>
                  </w:r>
                </w:p>
              </w:tc>
            </w:tr>
            <w:tr w14:paraId="38A70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restart"/>
                  <w:noWrap w:val="0"/>
                  <w:vAlign w:val="center"/>
                </w:tcPr>
                <w:p w14:paraId="41764BA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交叉跨越</w:t>
                  </w:r>
                </w:p>
              </w:tc>
              <w:tc>
                <w:tcPr>
                  <w:tcW w:w="1712" w:type="dxa"/>
                  <w:noWrap w:val="0"/>
                  <w:vAlign w:val="center"/>
                </w:tcPr>
                <w:p w14:paraId="481AFD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县、乡道</w:t>
                  </w:r>
                </w:p>
              </w:tc>
              <w:tc>
                <w:tcPr>
                  <w:tcW w:w="1824" w:type="dxa"/>
                  <w:noWrap w:val="0"/>
                  <w:vAlign w:val="center"/>
                </w:tcPr>
                <w:p w14:paraId="2E4BE4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18</w:t>
                  </w:r>
                </w:p>
              </w:tc>
              <w:tc>
                <w:tcPr>
                  <w:tcW w:w="3306" w:type="dxa"/>
                  <w:vMerge w:val="restart"/>
                  <w:noWrap w:val="0"/>
                  <w:vAlign w:val="center"/>
                </w:tcPr>
                <w:p w14:paraId="79B6C0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本项目输电线路交叉跨越满足《110kV～750kV架空输电线路设计规范》（GB 50545-2010）中距离要求。</w:t>
                  </w:r>
                </w:p>
              </w:tc>
            </w:tr>
            <w:tr w14:paraId="25205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71A8969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17C520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220kV电力线</w:t>
                  </w:r>
                </w:p>
              </w:tc>
              <w:tc>
                <w:tcPr>
                  <w:tcW w:w="1824" w:type="dxa"/>
                  <w:noWrap w:val="0"/>
                  <w:vAlign w:val="center"/>
                </w:tcPr>
                <w:p w14:paraId="3AA07FE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6</w:t>
                  </w:r>
                </w:p>
              </w:tc>
              <w:tc>
                <w:tcPr>
                  <w:tcW w:w="3306" w:type="dxa"/>
                  <w:vMerge w:val="continue"/>
                  <w:noWrap w:val="0"/>
                  <w:vAlign w:val="center"/>
                </w:tcPr>
                <w:p w14:paraId="6BB9C8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r>
            <w:tr w14:paraId="0A6B5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169B01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06F4FB5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66kV电力线</w:t>
                  </w:r>
                </w:p>
              </w:tc>
              <w:tc>
                <w:tcPr>
                  <w:tcW w:w="1824" w:type="dxa"/>
                  <w:noWrap w:val="0"/>
                  <w:vAlign w:val="center"/>
                </w:tcPr>
                <w:p w14:paraId="466671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9</w:t>
                  </w:r>
                </w:p>
              </w:tc>
              <w:tc>
                <w:tcPr>
                  <w:tcW w:w="3306" w:type="dxa"/>
                  <w:vMerge w:val="continue"/>
                  <w:noWrap w:val="0"/>
                  <w:vAlign w:val="center"/>
                </w:tcPr>
                <w:p w14:paraId="45F5736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r>
            <w:tr w14:paraId="03D2F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7A29DB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7FD073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35kV电力线</w:t>
                  </w:r>
                </w:p>
              </w:tc>
              <w:tc>
                <w:tcPr>
                  <w:tcW w:w="1824" w:type="dxa"/>
                  <w:noWrap w:val="0"/>
                  <w:vAlign w:val="center"/>
                </w:tcPr>
                <w:p w14:paraId="1C42A8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4</w:t>
                  </w:r>
                </w:p>
              </w:tc>
              <w:tc>
                <w:tcPr>
                  <w:tcW w:w="3306" w:type="dxa"/>
                  <w:vMerge w:val="continue"/>
                  <w:noWrap w:val="0"/>
                  <w:vAlign w:val="center"/>
                </w:tcPr>
                <w:p w14:paraId="611374B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r>
            <w:tr w14:paraId="25815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120BCB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67B8D8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10kV及以下电力线</w:t>
                  </w:r>
                </w:p>
              </w:tc>
              <w:tc>
                <w:tcPr>
                  <w:tcW w:w="1824" w:type="dxa"/>
                  <w:noWrap w:val="0"/>
                  <w:vAlign w:val="center"/>
                </w:tcPr>
                <w:p w14:paraId="65304B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70</w:t>
                  </w:r>
                </w:p>
              </w:tc>
              <w:tc>
                <w:tcPr>
                  <w:tcW w:w="3306" w:type="dxa"/>
                  <w:vMerge w:val="continue"/>
                  <w:noWrap w:val="0"/>
                  <w:vAlign w:val="center"/>
                </w:tcPr>
                <w:p w14:paraId="26389A6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r>
            <w:tr w14:paraId="25BC6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6E85DB4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2940B3D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通信线</w:t>
                  </w:r>
                </w:p>
              </w:tc>
              <w:tc>
                <w:tcPr>
                  <w:tcW w:w="1824" w:type="dxa"/>
                  <w:noWrap w:val="0"/>
                  <w:vAlign w:val="center"/>
                </w:tcPr>
                <w:p w14:paraId="6A3EB32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66</w:t>
                  </w:r>
                </w:p>
              </w:tc>
              <w:tc>
                <w:tcPr>
                  <w:tcW w:w="3306" w:type="dxa"/>
                  <w:vMerge w:val="continue"/>
                  <w:noWrap w:val="0"/>
                  <w:vAlign w:val="center"/>
                </w:tcPr>
                <w:p w14:paraId="6DB55E8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r>
            <w:tr w14:paraId="6CA88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7F039A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7F47C4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不通航河流</w:t>
                  </w:r>
                </w:p>
              </w:tc>
              <w:tc>
                <w:tcPr>
                  <w:tcW w:w="1824" w:type="dxa"/>
                  <w:noWrap w:val="0"/>
                  <w:vAlign w:val="center"/>
                </w:tcPr>
                <w:p w14:paraId="0740E8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10</w:t>
                  </w:r>
                </w:p>
              </w:tc>
              <w:tc>
                <w:tcPr>
                  <w:tcW w:w="3306" w:type="dxa"/>
                  <w:vMerge w:val="continue"/>
                  <w:noWrap w:val="0"/>
                  <w:vAlign w:val="center"/>
                </w:tcPr>
                <w:p w14:paraId="4EFC59C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r>
            <w:tr w14:paraId="0226A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274A19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02E5328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坟地</w:t>
                  </w:r>
                </w:p>
              </w:tc>
              <w:tc>
                <w:tcPr>
                  <w:tcW w:w="1824" w:type="dxa"/>
                  <w:noWrap w:val="0"/>
                  <w:vAlign w:val="center"/>
                </w:tcPr>
                <w:p w14:paraId="3689DD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5</w:t>
                  </w:r>
                </w:p>
              </w:tc>
              <w:tc>
                <w:tcPr>
                  <w:tcW w:w="3306" w:type="dxa"/>
                  <w:vMerge w:val="continue"/>
                  <w:noWrap w:val="0"/>
                  <w:vAlign w:val="center"/>
                </w:tcPr>
                <w:p w14:paraId="3D40FEC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r>
            <w:tr w14:paraId="245D2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59BBA28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5E7BBA7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大棚</w:t>
                  </w:r>
                </w:p>
              </w:tc>
              <w:tc>
                <w:tcPr>
                  <w:tcW w:w="1824" w:type="dxa"/>
                  <w:noWrap w:val="0"/>
                  <w:vAlign w:val="center"/>
                </w:tcPr>
                <w:p w14:paraId="4BAED48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10</w:t>
                  </w:r>
                </w:p>
              </w:tc>
              <w:tc>
                <w:tcPr>
                  <w:tcW w:w="3306" w:type="dxa"/>
                  <w:vMerge w:val="continue"/>
                  <w:noWrap w:val="0"/>
                  <w:vAlign w:val="center"/>
                </w:tcPr>
                <w:p w14:paraId="032B438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r>
            <w:tr w14:paraId="543B0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vMerge w:val="continue"/>
                  <w:noWrap w:val="0"/>
                  <w:vAlign w:val="center"/>
                </w:tcPr>
                <w:p w14:paraId="7FE1B6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p>
              </w:tc>
              <w:tc>
                <w:tcPr>
                  <w:tcW w:w="1712" w:type="dxa"/>
                  <w:noWrap w:val="0"/>
                  <w:vAlign w:val="center"/>
                </w:tcPr>
                <w:p w14:paraId="41A320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鱼池</w:t>
                  </w:r>
                </w:p>
              </w:tc>
              <w:tc>
                <w:tcPr>
                  <w:tcW w:w="1824" w:type="dxa"/>
                  <w:noWrap w:val="0"/>
                  <w:vAlign w:val="center"/>
                </w:tcPr>
                <w:p w14:paraId="0F100E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2</w:t>
                  </w:r>
                </w:p>
              </w:tc>
              <w:tc>
                <w:tcPr>
                  <w:tcW w:w="3306" w:type="dxa"/>
                  <w:vMerge w:val="continue"/>
                  <w:noWrap w:val="0"/>
                  <w:vAlign w:val="center"/>
                </w:tcPr>
                <w:p w14:paraId="68DFE39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p>
              </w:tc>
            </w:tr>
            <w:tr w14:paraId="2E634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416AECC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曲折系数</w:t>
                  </w:r>
                </w:p>
              </w:tc>
              <w:tc>
                <w:tcPr>
                  <w:tcW w:w="6842" w:type="dxa"/>
                  <w:gridSpan w:val="3"/>
                  <w:noWrap w:val="0"/>
                  <w:vAlign w:val="center"/>
                </w:tcPr>
                <w:p w14:paraId="4CFE08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1.37</w:t>
                  </w:r>
                </w:p>
              </w:tc>
            </w:tr>
            <w:tr w14:paraId="6E756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37" w:type="dxa"/>
                  <w:noWrap w:val="0"/>
                  <w:vAlign w:val="center"/>
                </w:tcPr>
                <w:p w14:paraId="64B968E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转角次数</w:t>
                  </w:r>
                </w:p>
              </w:tc>
              <w:tc>
                <w:tcPr>
                  <w:tcW w:w="6842" w:type="dxa"/>
                  <w:gridSpan w:val="3"/>
                  <w:noWrap w:val="0"/>
                  <w:vAlign w:val="center"/>
                </w:tcPr>
                <w:p w14:paraId="391B1DF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46</w:t>
                  </w:r>
                </w:p>
              </w:tc>
            </w:tr>
          </w:tbl>
          <w:p w14:paraId="3B0B863B">
            <w:pPr>
              <w:keepNext w:val="0"/>
              <w:keepLines w:val="0"/>
              <w:widowControl/>
              <w:suppressLineNumbers w:val="0"/>
              <w:spacing w:before="0" w:beforeAutospacing="0" w:after="0" w:afterAutospacing="0" w:line="360" w:lineRule="auto"/>
              <w:ind w:left="0" w:right="0" w:firstLine="480" w:firstLineChars="200"/>
              <w:jc w:val="left"/>
              <w:rPr>
                <w:rFonts w:hint="default"/>
                <w:color w:val="000000" w:themeColor="text1"/>
                <w:kern w:val="0"/>
                <w:sz w:val="24"/>
                <w:lang w:bidi="ar"/>
                <w14:textFill>
                  <w14:solidFill>
                    <w14:schemeClr w14:val="tx1"/>
                  </w14:solidFill>
                </w14:textFill>
              </w:rPr>
            </w:pPr>
            <w:r>
              <w:rPr>
                <w:rFonts w:hint="eastAsia"/>
                <w:color w:val="000000" w:themeColor="text1"/>
                <w:sz w:val="24"/>
                <w14:textFill>
                  <w14:solidFill>
                    <w14:schemeClr w14:val="tx1"/>
                  </w14:solidFill>
                </w14:textFill>
              </w:rPr>
              <w:t>本项目</w:t>
            </w:r>
            <w:r>
              <w:rPr>
                <w:rFonts w:hint="eastAsia"/>
                <w:color w:val="000000" w:themeColor="text1"/>
                <w:sz w:val="24"/>
                <w:lang w:val="en-US" w:eastAsia="zh-CN"/>
                <w14:textFill>
                  <w14:solidFill>
                    <w14:schemeClr w14:val="tx1"/>
                  </w14:solidFill>
                </w14:textFill>
              </w:rPr>
              <w:t>线路拐点杆塔</w:t>
            </w:r>
            <w:r>
              <w:rPr>
                <w:rFonts w:hint="eastAsia"/>
                <w:color w:val="000000" w:themeColor="text1"/>
                <w:kern w:val="0"/>
                <w:sz w:val="24"/>
                <w:lang w:val="en-US" w:eastAsia="zh-CN" w:bidi="ar"/>
                <w14:textFill>
                  <w14:solidFill>
                    <w14:schemeClr w14:val="tx1"/>
                  </w14:solidFill>
                </w14:textFill>
              </w:rPr>
              <w:t>坐标</w:t>
            </w:r>
            <w:r>
              <w:rPr>
                <w:rFonts w:hint="default"/>
                <w:color w:val="000000" w:themeColor="text1"/>
                <w:kern w:val="0"/>
                <w:sz w:val="24"/>
                <w:lang w:bidi="ar"/>
                <w14:textFill>
                  <w14:solidFill>
                    <w14:schemeClr w14:val="tx1"/>
                  </w14:solidFill>
                </w14:textFill>
              </w:rPr>
              <w:t>表见</w:t>
            </w:r>
            <w:r>
              <w:rPr>
                <w:rFonts w:hint="eastAsia"/>
                <w:bCs/>
                <w:color w:val="000000" w:themeColor="text1"/>
                <w:sz w:val="24"/>
                <w14:textFill>
                  <w14:solidFill>
                    <w14:schemeClr w14:val="tx1"/>
                  </w14:solidFill>
                </w14:textFill>
              </w:rPr>
              <w:t>下表</w:t>
            </w:r>
            <w:r>
              <w:rPr>
                <w:rFonts w:hint="default"/>
                <w:color w:val="000000" w:themeColor="text1"/>
                <w:kern w:val="0"/>
                <w:sz w:val="24"/>
                <w:lang w:bidi="ar"/>
                <w14:textFill>
                  <w14:solidFill>
                    <w14:schemeClr w14:val="tx1"/>
                  </w14:solidFill>
                </w14:textFill>
              </w:rPr>
              <w:t>。</w:t>
            </w:r>
          </w:p>
          <w:p w14:paraId="48F88B3E">
            <w:pPr>
              <w:pStyle w:val="76"/>
              <w:keepNext w:val="0"/>
              <w:keepLines w:val="0"/>
              <w:widowControl w:val="0"/>
              <w:suppressLineNumbers w:val="0"/>
              <w:bidi w:val="0"/>
              <w:adjustRightInd/>
              <w:snapToGrid/>
              <w:spacing w:before="0" w:beforeLines="-2147483648" w:beforeAutospacing="0" w:after="0" w:afterLines="-2147483648" w:afterAutospacing="0" w:line="240" w:lineRule="auto"/>
              <w:ind w:left="0" w:right="0" w:firstLine="0" w:firstLineChars="0"/>
              <w:rPr>
                <w:rFonts w:hint="eastAsia" w:ascii="Times New Roman" w:hAnsi="Times New Roman" w:eastAsia="宋体" w:cstheme="minorBidi"/>
                <w:bCs/>
                <w:color w:val="000000" w:themeColor="text1"/>
                <w:kern w:val="2"/>
                <w:sz w:val="24"/>
                <w:szCs w:val="24"/>
                <w:highlight w:val="none"/>
                <w:lang w:val="en-US" w:eastAsia="zh-CN"/>
                <w14:textFill>
                  <w14:solidFill>
                    <w14:schemeClr w14:val="tx1"/>
                  </w14:solidFill>
                </w14:textFill>
              </w:rPr>
            </w:pPr>
            <w:r>
              <w:rPr>
                <w:rFonts w:hint="eastAsia" w:ascii="Times New Roman" w:hAnsi="Times New Roman" w:eastAsia="宋体" w:cstheme="minorBidi"/>
                <w:bCs/>
                <w:color w:val="000000" w:themeColor="text1"/>
                <w:kern w:val="2"/>
                <w:sz w:val="24"/>
                <w:szCs w:val="24"/>
                <w:highlight w:val="none"/>
                <w:lang w:val="en-US" w:eastAsia="zh-CN"/>
                <w14:textFill>
                  <w14:solidFill>
                    <w14:schemeClr w14:val="tx1"/>
                  </w14:solidFill>
                </w14:textFill>
              </w:rPr>
              <w:t>表 2-</w:t>
            </w:r>
            <w:r>
              <w:rPr>
                <w:rFonts w:hint="eastAsia" w:ascii="Times New Roman" w:cstheme="minorBidi"/>
                <w:bCs/>
                <w:color w:val="000000" w:themeColor="text1"/>
                <w:kern w:val="2"/>
                <w:sz w:val="24"/>
                <w:szCs w:val="24"/>
                <w:highlight w:val="none"/>
                <w:lang w:val="en-US" w:eastAsia="zh-CN"/>
                <w14:textFill>
                  <w14:solidFill>
                    <w14:schemeClr w14:val="tx1"/>
                  </w14:solidFill>
                </w14:textFill>
              </w:rPr>
              <w:t>4</w:t>
            </w:r>
            <w:r>
              <w:rPr>
                <w:rFonts w:hint="eastAsia" w:ascii="Times New Roman" w:hAnsi="Times New Roman" w:eastAsia="宋体" w:cstheme="minorBidi"/>
                <w:bCs/>
                <w:color w:val="000000" w:themeColor="text1"/>
                <w:kern w:val="2"/>
                <w:sz w:val="24"/>
                <w:szCs w:val="24"/>
                <w:highlight w:val="none"/>
                <w:lang w:val="en-US" w:eastAsia="zh-CN"/>
                <w14:textFill>
                  <w14:solidFill>
                    <w14:schemeClr w14:val="tx1"/>
                  </w14:solidFill>
                </w14:textFill>
              </w:rPr>
              <w:t xml:space="preserve"> </w:t>
            </w:r>
            <w:r>
              <w:rPr>
                <w:rFonts w:hint="eastAsia" w:ascii="Times New Roman" w:cstheme="minorBidi"/>
                <w:bCs/>
                <w:color w:val="000000" w:themeColor="text1"/>
                <w:kern w:val="2"/>
                <w:sz w:val="24"/>
                <w:szCs w:val="24"/>
                <w:highlight w:val="none"/>
                <w:lang w:val="en-US" w:eastAsia="zh-CN"/>
                <w14:textFill>
                  <w14:solidFill>
                    <w14:schemeClr w14:val="tx1"/>
                  </w14:solidFill>
                </w14:textFill>
              </w:rPr>
              <w:t>线路</w:t>
            </w:r>
            <w:r>
              <w:rPr>
                <w:rFonts w:hint="eastAsia" w:ascii="Times New Roman" w:hAnsi="Times New Roman" w:eastAsia="宋体" w:cstheme="minorBidi"/>
                <w:bCs/>
                <w:color w:val="000000" w:themeColor="text1"/>
                <w:kern w:val="2"/>
                <w:sz w:val="24"/>
                <w:szCs w:val="24"/>
                <w:highlight w:val="none"/>
                <w:lang w:val="en-US" w:eastAsia="zh-CN"/>
                <w14:textFill>
                  <w14:solidFill>
                    <w14:schemeClr w14:val="tx1"/>
                  </w14:solidFill>
                </w14:textFill>
              </w:rPr>
              <w:t>杆塔拐点坐标一览表</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1442"/>
              <w:gridCol w:w="1446"/>
              <w:gridCol w:w="1420"/>
              <w:gridCol w:w="1428"/>
              <w:gridCol w:w="1433"/>
            </w:tblGrid>
            <w:tr w14:paraId="05405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5A0419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位置</w:t>
                  </w:r>
                </w:p>
              </w:tc>
              <w:tc>
                <w:tcPr>
                  <w:tcW w:w="866" w:type="pct"/>
                  <w:noWrap w:val="0"/>
                  <w:vAlign w:val="center"/>
                </w:tcPr>
                <w:p w14:paraId="003835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X</w:t>
                  </w:r>
                </w:p>
              </w:tc>
              <w:tc>
                <w:tcPr>
                  <w:tcW w:w="868" w:type="pct"/>
                  <w:noWrap w:val="0"/>
                  <w:vAlign w:val="center"/>
                </w:tcPr>
                <w:p w14:paraId="475B5A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w:t>
                  </w:r>
                </w:p>
              </w:tc>
              <w:tc>
                <w:tcPr>
                  <w:tcW w:w="852" w:type="pct"/>
                  <w:noWrap w:val="0"/>
                  <w:vAlign w:val="center"/>
                </w:tcPr>
                <w:p w14:paraId="7BB0E9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位置</w:t>
                  </w:r>
                </w:p>
              </w:tc>
              <w:tc>
                <w:tcPr>
                  <w:tcW w:w="857" w:type="pct"/>
                  <w:noWrap w:val="0"/>
                  <w:vAlign w:val="center"/>
                </w:tcPr>
                <w:p w14:paraId="325539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X</w:t>
                  </w:r>
                </w:p>
              </w:tc>
              <w:tc>
                <w:tcPr>
                  <w:tcW w:w="858" w:type="pct"/>
                  <w:noWrap w:val="0"/>
                  <w:vAlign w:val="center"/>
                </w:tcPr>
                <w:p w14:paraId="3887F6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w:t>
                  </w:r>
                </w:p>
              </w:tc>
            </w:tr>
            <w:tr w14:paraId="34236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000" w:type="pct"/>
                  <w:gridSpan w:val="6"/>
                  <w:noWrap w:val="0"/>
                  <w:vAlign w:val="center"/>
                </w:tcPr>
                <w:p w14:paraId="6E8F7C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新建鸡西~恒山220kV线路</w:t>
                  </w:r>
                </w:p>
              </w:tc>
            </w:tr>
            <w:tr w14:paraId="70842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0B7E37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JYXJ1</w:t>
                  </w:r>
                </w:p>
              </w:tc>
              <w:tc>
                <w:tcPr>
                  <w:tcW w:w="866" w:type="pct"/>
                  <w:noWrap w:val="0"/>
                  <w:vAlign w:val="center"/>
                </w:tcPr>
                <w:p w14:paraId="39778D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131.4723245</w:t>
                  </w:r>
                </w:p>
              </w:tc>
              <w:tc>
                <w:tcPr>
                  <w:tcW w:w="868" w:type="pct"/>
                  <w:noWrap w:val="0"/>
                  <w:vAlign w:val="center"/>
                </w:tcPr>
                <w:p w14:paraId="1C893C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45.16243607</w:t>
                  </w:r>
                </w:p>
              </w:tc>
              <w:tc>
                <w:tcPr>
                  <w:tcW w:w="852" w:type="pct"/>
                  <w:noWrap w:val="0"/>
                  <w:vAlign w:val="center"/>
                </w:tcPr>
                <w:p w14:paraId="760DEA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YXJ2</w:t>
                  </w:r>
                </w:p>
              </w:tc>
              <w:tc>
                <w:tcPr>
                  <w:tcW w:w="857" w:type="pct"/>
                  <w:noWrap w:val="0"/>
                  <w:vAlign w:val="center"/>
                </w:tcPr>
                <w:p w14:paraId="557F32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131.4706835</w:t>
                  </w:r>
                </w:p>
              </w:tc>
              <w:tc>
                <w:tcPr>
                  <w:tcW w:w="858" w:type="pct"/>
                  <w:noWrap w:val="0"/>
                  <w:vAlign w:val="center"/>
                </w:tcPr>
                <w:p w14:paraId="3DC64B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45.16059326</w:t>
                  </w:r>
                </w:p>
              </w:tc>
            </w:tr>
            <w:tr w14:paraId="134DC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77ED83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JXJ2</w:t>
                  </w:r>
                </w:p>
              </w:tc>
              <w:tc>
                <w:tcPr>
                  <w:tcW w:w="866" w:type="pct"/>
                  <w:noWrap w:val="0"/>
                  <w:vAlign w:val="center"/>
                </w:tcPr>
                <w:p w14:paraId="06E9B1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131.4703649</w:t>
                  </w:r>
                </w:p>
              </w:tc>
              <w:tc>
                <w:tcPr>
                  <w:tcW w:w="868" w:type="pct"/>
                  <w:noWrap w:val="0"/>
                  <w:vAlign w:val="center"/>
                </w:tcPr>
                <w:p w14:paraId="57FE7B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45.16099277</w:t>
                  </w:r>
                </w:p>
              </w:tc>
              <w:tc>
                <w:tcPr>
                  <w:tcW w:w="852" w:type="pct"/>
                  <w:noWrap w:val="0"/>
                  <w:vAlign w:val="center"/>
                </w:tcPr>
                <w:p w14:paraId="432871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YXJ3</w:t>
                  </w:r>
                </w:p>
              </w:tc>
              <w:tc>
                <w:tcPr>
                  <w:tcW w:w="857" w:type="pct"/>
                  <w:noWrap w:val="0"/>
                  <w:vAlign w:val="center"/>
                </w:tcPr>
                <w:p w14:paraId="447D11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131.456028</w:t>
                  </w:r>
                </w:p>
              </w:tc>
              <w:tc>
                <w:tcPr>
                  <w:tcW w:w="858" w:type="pct"/>
                  <w:noWrap w:val="0"/>
                  <w:vAlign w:val="center"/>
                </w:tcPr>
                <w:p w14:paraId="5BB1F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45.15444788</w:t>
                  </w:r>
                </w:p>
              </w:tc>
            </w:tr>
            <w:tr w14:paraId="208B1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450C07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JXJ3</w:t>
                  </w:r>
                </w:p>
              </w:tc>
              <w:tc>
                <w:tcPr>
                  <w:tcW w:w="866" w:type="pct"/>
                  <w:noWrap w:val="0"/>
                  <w:vAlign w:val="center"/>
                </w:tcPr>
                <w:p w14:paraId="63EB4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131.4558329</w:t>
                  </w:r>
                </w:p>
              </w:tc>
              <w:tc>
                <w:tcPr>
                  <w:tcW w:w="868" w:type="pct"/>
                  <w:noWrap w:val="0"/>
                  <w:vAlign w:val="center"/>
                </w:tcPr>
                <w:p w14:paraId="673EEF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45.15484431</w:t>
                  </w:r>
                </w:p>
              </w:tc>
              <w:tc>
                <w:tcPr>
                  <w:tcW w:w="852" w:type="pct"/>
                  <w:noWrap w:val="0"/>
                  <w:vAlign w:val="center"/>
                </w:tcPr>
                <w:p w14:paraId="1C812C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YXJ4</w:t>
                  </w:r>
                </w:p>
              </w:tc>
              <w:tc>
                <w:tcPr>
                  <w:tcW w:w="857" w:type="pct"/>
                  <w:noWrap w:val="0"/>
                  <w:vAlign w:val="center"/>
                </w:tcPr>
                <w:p w14:paraId="357612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131.4142969</w:t>
                  </w:r>
                </w:p>
              </w:tc>
              <w:tc>
                <w:tcPr>
                  <w:tcW w:w="858" w:type="pct"/>
                  <w:noWrap w:val="0"/>
                  <w:vAlign w:val="center"/>
                </w:tcPr>
                <w:p w14:paraId="741496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45.15430854</w:t>
                  </w:r>
                </w:p>
              </w:tc>
            </w:tr>
            <w:tr w14:paraId="4190F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741E1C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JXJ4</w:t>
                  </w:r>
                </w:p>
              </w:tc>
              <w:tc>
                <w:tcPr>
                  <w:tcW w:w="866" w:type="pct"/>
                  <w:noWrap w:val="0"/>
                  <w:vAlign w:val="center"/>
                </w:tcPr>
                <w:p w14:paraId="7433BA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131.4143377</w:t>
                  </w:r>
                </w:p>
              </w:tc>
              <w:tc>
                <w:tcPr>
                  <w:tcW w:w="868" w:type="pct"/>
                  <w:noWrap w:val="0"/>
                  <w:vAlign w:val="center"/>
                </w:tcPr>
                <w:p w14:paraId="46D057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45.15470779</w:t>
                  </w:r>
                </w:p>
              </w:tc>
              <w:tc>
                <w:tcPr>
                  <w:tcW w:w="852" w:type="pct"/>
                  <w:noWrap w:val="0"/>
                  <w:vAlign w:val="center"/>
                </w:tcPr>
                <w:p w14:paraId="0480D6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YXJ5</w:t>
                  </w:r>
                </w:p>
              </w:tc>
              <w:tc>
                <w:tcPr>
                  <w:tcW w:w="857" w:type="pct"/>
                  <w:noWrap w:val="0"/>
                  <w:vAlign w:val="center"/>
                </w:tcPr>
                <w:p w14:paraId="4A5361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131.3276302</w:t>
                  </w:r>
                </w:p>
              </w:tc>
              <w:tc>
                <w:tcPr>
                  <w:tcW w:w="858" w:type="pct"/>
                  <w:noWrap w:val="0"/>
                  <w:vAlign w:val="center"/>
                </w:tcPr>
                <w:p w14:paraId="7D4B20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45.1564077</w:t>
                  </w:r>
                </w:p>
              </w:tc>
            </w:tr>
            <w:tr w14:paraId="11955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3B0DDC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JXJ5</w:t>
                  </w:r>
                </w:p>
              </w:tc>
              <w:tc>
                <w:tcPr>
                  <w:tcW w:w="866" w:type="pct"/>
                  <w:noWrap w:val="0"/>
                  <w:vAlign w:val="center"/>
                </w:tcPr>
                <w:p w14:paraId="328AB1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131.3273919</w:t>
                  </w:r>
                </w:p>
              </w:tc>
              <w:tc>
                <w:tcPr>
                  <w:tcW w:w="868" w:type="pct"/>
                  <w:noWrap w:val="0"/>
                  <w:vAlign w:val="center"/>
                </w:tcPr>
                <w:p w14:paraId="3E9795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45.15682221</w:t>
                  </w:r>
                </w:p>
              </w:tc>
              <w:tc>
                <w:tcPr>
                  <w:tcW w:w="852" w:type="pct"/>
                  <w:noWrap w:val="0"/>
                  <w:vAlign w:val="center"/>
                </w:tcPr>
                <w:p w14:paraId="240F39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YXJ6</w:t>
                  </w:r>
                </w:p>
              </w:tc>
              <w:tc>
                <w:tcPr>
                  <w:tcW w:w="857" w:type="pct"/>
                  <w:noWrap w:val="0"/>
                  <w:vAlign w:val="center"/>
                </w:tcPr>
                <w:p w14:paraId="10A2BB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131.2566231</w:t>
                  </w:r>
                </w:p>
              </w:tc>
              <w:tc>
                <w:tcPr>
                  <w:tcW w:w="858" w:type="pct"/>
                  <w:noWrap w:val="0"/>
                  <w:vAlign w:val="center"/>
                </w:tcPr>
                <w:p w14:paraId="517F76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45.11336595</w:t>
                  </w:r>
                </w:p>
              </w:tc>
            </w:tr>
            <w:tr w14:paraId="48B01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73178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JXJ6</w:t>
                  </w:r>
                </w:p>
              </w:tc>
              <w:tc>
                <w:tcPr>
                  <w:tcW w:w="866" w:type="pct"/>
                  <w:noWrap w:val="0"/>
                  <w:vAlign w:val="center"/>
                </w:tcPr>
                <w:p w14:paraId="388AE4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131.2563452</w:t>
                  </w:r>
                </w:p>
              </w:tc>
              <w:tc>
                <w:tcPr>
                  <w:tcW w:w="868" w:type="pct"/>
                  <w:noWrap w:val="0"/>
                  <w:vAlign w:val="center"/>
                </w:tcPr>
                <w:p w14:paraId="5A9707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45.11372565</w:t>
                  </w:r>
                </w:p>
              </w:tc>
              <w:tc>
                <w:tcPr>
                  <w:tcW w:w="852" w:type="pct"/>
                  <w:noWrap w:val="0"/>
                  <w:vAlign w:val="center"/>
                </w:tcPr>
                <w:p w14:paraId="7C317A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YXJ7</w:t>
                  </w:r>
                </w:p>
              </w:tc>
              <w:tc>
                <w:tcPr>
                  <w:tcW w:w="857" w:type="pct"/>
                  <w:noWrap w:val="0"/>
                  <w:vAlign w:val="center"/>
                </w:tcPr>
                <w:p w14:paraId="7214DE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131.2193068</w:t>
                  </w:r>
                </w:p>
              </w:tc>
              <w:tc>
                <w:tcPr>
                  <w:tcW w:w="858" w:type="pct"/>
                  <w:noWrap w:val="0"/>
                  <w:vAlign w:val="center"/>
                </w:tcPr>
                <w:p w14:paraId="3331ED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45.10042047</w:t>
                  </w:r>
                </w:p>
              </w:tc>
            </w:tr>
            <w:tr w14:paraId="64C5D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69B5CB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JXJ7</w:t>
                  </w:r>
                </w:p>
              </w:tc>
              <w:tc>
                <w:tcPr>
                  <w:tcW w:w="866" w:type="pct"/>
                  <w:noWrap w:val="0"/>
                  <w:vAlign w:val="center"/>
                </w:tcPr>
                <w:p w14:paraId="0FE753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131.2192929</w:t>
                  </w:r>
                </w:p>
              </w:tc>
              <w:tc>
                <w:tcPr>
                  <w:tcW w:w="868" w:type="pct"/>
                  <w:noWrap w:val="0"/>
                  <w:vAlign w:val="center"/>
                </w:tcPr>
                <w:p w14:paraId="219623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45.1008609</w:t>
                  </w:r>
                </w:p>
              </w:tc>
              <w:tc>
                <w:tcPr>
                  <w:tcW w:w="852" w:type="pct"/>
                  <w:noWrap w:val="0"/>
                  <w:vAlign w:val="center"/>
                </w:tcPr>
                <w:p w14:paraId="4BD9CA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YXJ8</w:t>
                  </w:r>
                </w:p>
              </w:tc>
              <w:tc>
                <w:tcPr>
                  <w:tcW w:w="857" w:type="pct"/>
                  <w:noWrap w:val="0"/>
                  <w:vAlign w:val="center"/>
                </w:tcPr>
                <w:p w14:paraId="15D6F1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131.1897295</w:t>
                  </w:r>
                </w:p>
              </w:tc>
              <w:tc>
                <w:tcPr>
                  <w:tcW w:w="858" w:type="pct"/>
                  <w:noWrap w:val="0"/>
                  <w:vAlign w:val="center"/>
                </w:tcPr>
                <w:p w14:paraId="3DE39A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45.108623</w:t>
                  </w:r>
                </w:p>
              </w:tc>
            </w:tr>
            <w:tr w14:paraId="45C8A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51CB0E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JXJ8</w:t>
                  </w:r>
                </w:p>
              </w:tc>
              <w:tc>
                <w:tcPr>
                  <w:tcW w:w="866" w:type="pct"/>
                  <w:noWrap w:val="0"/>
                  <w:vAlign w:val="center"/>
                </w:tcPr>
                <w:p w14:paraId="10447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131.1897006</w:t>
                  </w:r>
                </w:p>
              </w:tc>
              <w:tc>
                <w:tcPr>
                  <w:tcW w:w="868" w:type="pct"/>
                  <w:noWrap w:val="0"/>
                  <w:vAlign w:val="center"/>
                </w:tcPr>
                <w:p w14:paraId="3FFD37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45.10908253</w:t>
                  </w:r>
                </w:p>
              </w:tc>
              <w:tc>
                <w:tcPr>
                  <w:tcW w:w="852" w:type="pct"/>
                  <w:noWrap w:val="0"/>
                  <w:vAlign w:val="center"/>
                </w:tcPr>
                <w:p w14:paraId="4E71BD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YXJ9</w:t>
                  </w:r>
                </w:p>
              </w:tc>
              <w:tc>
                <w:tcPr>
                  <w:tcW w:w="857" w:type="pct"/>
                  <w:noWrap w:val="0"/>
                  <w:vAlign w:val="center"/>
                </w:tcPr>
                <w:p w14:paraId="144B8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131.1147476</w:t>
                  </w:r>
                </w:p>
              </w:tc>
              <w:tc>
                <w:tcPr>
                  <w:tcW w:w="858" w:type="pct"/>
                  <w:noWrap w:val="0"/>
                  <w:vAlign w:val="center"/>
                </w:tcPr>
                <w:p w14:paraId="3E8A99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45.09145221</w:t>
                  </w:r>
                </w:p>
              </w:tc>
            </w:tr>
            <w:tr w14:paraId="6CF4F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14DA92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JXJ9</w:t>
                  </w:r>
                </w:p>
              </w:tc>
              <w:tc>
                <w:tcPr>
                  <w:tcW w:w="866" w:type="pct"/>
                  <w:noWrap w:val="0"/>
                  <w:vAlign w:val="center"/>
                </w:tcPr>
                <w:p w14:paraId="3A133B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131.1148393</w:t>
                  </w:r>
                </w:p>
              </w:tc>
              <w:tc>
                <w:tcPr>
                  <w:tcW w:w="868" w:type="pct"/>
                  <w:noWrap w:val="0"/>
                  <w:vAlign w:val="center"/>
                </w:tcPr>
                <w:p w14:paraId="1C1EE0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45.09195844</w:t>
                  </w:r>
                </w:p>
              </w:tc>
              <w:tc>
                <w:tcPr>
                  <w:tcW w:w="852" w:type="pct"/>
                  <w:noWrap w:val="0"/>
                  <w:vAlign w:val="center"/>
                </w:tcPr>
                <w:p w14:paraId="383959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YXJ10</w:t>
                  </w:r>
                </w:p>
              </w:tc>
              <w:tc>
                <w:tcPr>
                  <w:tcW w:w="857" w:type="pct"/>
                  <w:noWrap w:val="0"/>
                  <w:vAlign w:val="center"/>
                </w:tcPr>
                <w:p w14:paraId="4EBBBF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131.0620813</w:t>
                  </w:r>
                </w:p>
              </w:tc>
              <w:tc>
                <w:tcPr>
                  <w:tcW w:w="858" w:type="pct"/>
                  <w:noWrap w:val="0"/>
                  <w:vAlign w:val="center"/>
                </w:tcPr>
                <w:p w14:paraId="618509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45.12146157</w:t>
                  </w:r>
                </w:p>
              </w:tc>
            </w:tr>
            <w:tr w14:paraId="7EE89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4C09DD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JXJ10</w:t>
                  </w:r>
                </w:p>
              </w:tc>
              <w:tc>
                <w:tcPr>
                  <w:tcW w:w="866" w:type="pct"/>
                  <w:noWrap w:val="0"/>
                  <w:vAlign w:val="center"/>
                </w:tcPr>
                <w:p w14:paraId="6F8657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131.0623293</w:t>
                  </w:r>
                </w:p>
              </w:tc>
              <w:tc>
                <w:tcPr>
                  <w:tcW w:w="868" w:type="pct"/>
                  <w:noWrap w:val="0"/>
                  <w:vAlign w:val="center"/>
                </w:tcPr>
                <w:p w14:paraId="24239B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45.12184578</w:t>
                  </w:r>
                </w:p>
              </w:tc>
              <w:tc>
                <w:tcPr>
                  <w:tcW w:w="852" w:type="pct"/>
                  <w:noWrap w:val="0"/>
                  <w:vAlign w:val="center"/>
                </w:tcPr>
                <w:p w14:paraId="548A64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YXJ11</w:t>
                  </w:r>
                </w:p>
              </w:tc>
              <w:tc>
                <w:tcPr>
                  <w:tcW w:w="857" w:type="pct"/>
                  <w:noWrap w:val="0"/>
                  <w:vAlign w:val="center"/>
                </w:tcPr>
                <w:p w14:paraId="5F118C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130.9228553</w:t>
                  </w:r>
                </w:p>
              </w:tc>
              <w:tc>
                <w:tcPr>
                  <w:tcW w:w="858" w:type="pct"/>
                  <w:noWrap w:val="0"/>
                  <w:vAlign w:val="center"/>
                </w:tcPr>
                <w:p w14:paraId="46A1A3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45.14051848</w:t>
                  </w:r>
                </w:p>
              </w:tc>
            </w:tr>
            <w:tr w14:paraId="5D534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7FC773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JXJ11</w:t>
                  </w:r>
                </w:p>
              </w:tc>
              <w:tc>
                <w:tcPr>
                  <w:tcW w:w="866" w:type="pct"/>
                  <w:noWrap w:val="0"/>
                  <w:vAlign w:val="center"/>
                </w:tcPr>
                <w:p w14:paraId="066DC1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130.9227827</w:t>
                  </w:r>
                </w:p>
              </w:tc>
              <w:tc>
                <w:tcPr>
                  <w:tcW w:w="868" w:type="pct"/>
                  <w:noWrap w:val="0"/>
                  <w:vAlign w:val="center"/>
                </w:tcPr>
                <w:p w14:paraId="680A6C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45.14103217</w:t>
                  </w:r>
                </w:p>
              </w:tc>
              <w:tc>
                <w:tcPr>
                  <w:tcW w:w="852" w:type="pct"/>
                  <w:noWrap w:val="0"/>
                  <w:vAlign w:val="center"/>
                </w:tcPr>
                <w:p w14:paraId="6A9F35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YXJ12</w:t>
                  </w:r>
                </w:p>
              </w:tc>
              <w:tc>
                <w:tcPr>
                  <w:tcW w:w="857" w:type="pct"/>
                  <w:noWrap w:val="0"/>
                  <w:vAlign w:val="center"/>
                </w:tcPr>
                <w:p w14:paraId="31C9F3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130.910463</w:t>
                  </w:r>
                </w:p>
              </w:tc>
              <w:tc>
                <w:tcPr>
                  <w:tcW w:w="858" w:type="pct"/>
                  <w:noWrap w:val="0"/>
                  <w:vAlign w:val="center"/>
                </w:tcPr>
                <w:p w14:paraId="23400B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45.13660986</w:t>
                  </w:r>
                </w:p>
              </w:tc>
            </w:tr>
            <w:tr w14:paraId="654C4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13722B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JXJ12</w:t>
                  </w:r>
                </w:p>
              </w:tc>
              <w:tc>
                <w:tcPr>
                  <w:tcW w:w="866" w:type="pct"/>
                  <w:noWrap w:val="0"/>
                  <w:vAlign w:val="center"/>
                </w:tcPr>
                <w:p w14:paraId="40CEA5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130.9105662</w:t>
                  </w:r>
                </w:p>
              </w:tc>
              <w:tc>
                <w:tcPr>
                  <w:tcW w:w="868" w:type="pct"/>
                  <w:noWrap w:val="0"/>
                  <w:vAlign w:val="center"/>
                </w:tcPr>
                <w:p w14:paraId="42B960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45.13714466</w:t>
                  </w:r>
                </w:p>
              </w:tc>
              <w:tc>
                <w:tcPr>
                  <w:tcW w:w="852" w:type="pct"/>
                  <w:noWrap w:val="0"/>
                  <w:vAlign w:val="center"/>
                </w:tcPr>
                <w:p w14:paraId="740E12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YXJ13</w:t>
                  </w:r>
                </w:p>
              </w:tc>
              <w:tc>
                <w:tcPr>
                  <w:tcW w:w="857" w:type="pct"/>
                  <w:noWrap w:val="0"/>
                  <w:vAlign w:val="center"/>
                </w:tcPr>
                <w:p w14:paraId="1FB7A6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130.869773</w:t>
                  </w:r>
                </w:p>
              </w:tc>
              <w:tc>
                <w:tcPr>
                  <w:tcW w:w="858" w:type="pct"/>
                  <w:noWrap w:val="0"/>
                  <w:vAlign w:val="center"/>
                </w:tcPr>
                <w:p w14:paraId="67D21F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45.13901262</w:t>
                  </w:r>
                </w:p>
              </w:tc>
            </w:tr>
            <w:tr w14:paraId="0F397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6BF2A0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JXJ13</w:t>
                  </w:r>
                </w:p>
              </w:tc>
              <w:tc>
                <w:tcPr>
                  <w:tcW w:w="866" w:type="pct"/>
                  <w:noWrap w:val="0"/>
                  <w:vAlign w:val="center"/>
                </w:tcPr>
                <w:p w14:paraId="1E08DB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130.8697029</w:t>
                  </w:r>
                </w:p>
              </w:tc>
              <w:tc>
                <w:tcPr>
                  <w:tcW w:w="868" w:type="pct"/>
                  <w:noWrap w:val="0"/>
                  <w:vAlign w:val="center"/>
                </w:tcPr>
                <w:p w14:paraId="035666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45.13944973</w:t>
                  </w:r>
                </w:p>
              </w:tc>
              <w:tc>
                <w:tcPr>
                  <w:tcW w:w="852" w:type="pct"/>
                  <w:noWrap w:val="0"/>
                  <w:vAlign w:val="center"/>
                </w:tcPr>
                <w:p w14:paraId="4041B4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YXJ14</w:t>
                  </w:r>
                </w:p>
              </w:tc>
              <w:tc>
                <w:tcPr>
                  <w:tcW w:w="857" w:type="pct"/>
                  <w:noWrap w:val="0"/>
                  <w:vAlign w:val="center"/>
                </w:tcPr>
                <w:p w14:paraId="376C5F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130.847114</w:t>
                  </w:r>
                </w:p>
              </w:tc>
              <w:tc>
                <w:tcPr>
                  <w:tcW w:w="858" w:type="pct"/>
                  <w:noWrap w:val="0"/>
                  <w:vAlign w:val="center"/>
                </w:tcPr>
                <w:p w14:paraId="159502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45.13562008</w:t>
                  </w:r>
                </w:p>
              </w:tc>
            </w:tr>
            <w:tr w14:paraId="6F3ED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2C3944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JXJ14</w:t>
                  </w:r>
                </w:p>
              </w:tc>
              <w:tc>
                <w:tcPr>
                  <w:tcW w:w="866" w:type="pct"/>
                  <w:noWrap w:val="0"/>
                  <w:vAlign w:val="center"/>
                </w:tcPr>
                <w:p w14:paraId="40A86F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130.8475078</w:t>
                  </w:r>
                </w:p>
              </w:tc>
              <w:tc>
                <w:tcPr>
                  <w:tcW w:w="868" w:type="pct"/>
                  <w:noWrap w:val="0"/>
                  <w:vAlign w:val="center"/>
                </w:tcPr>
                <w:p w14:paraId="0EC0E5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45.13613631</w:t>
                  </w:r>
                </w:p>
              </w:tc>
              <w:tc>
                <w:tcPr>
                  <w:tcW w:w="852" w:type="pct"/>
                  <w:noWrap w:val="0"/>
                  <w:vAlign w:val="center"/>
                </w:tcPr>
                <w:p w14:paraId="1A1D4A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YXJ15</w:t>
                  </w:r>
                </w:p>
              </w:tc>
              <w:tc>
                <w:tcPr>
                  <w:tcW w:w="857" w:type="pct"/>
                  <w:noWrap w:val="0"/>
                  <w:vAlign w:val="center"/>
                </w:tcPr>
                <w:p w14:paraId="3FC7A7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130.8311729</w:t>
                  </w:r>
                </w:p>
              </w:tc>
              <w:tc>
                <w:tcPr>
                  <w:tcW w:w="858" w:type="pct"/>
                  <w:noWrap w:val="0"/>
                  <w:vAlign w:val="center"/>
                </w:tcPr>
                <w:p w14:paraId="039914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45.15598488</w:t>
                  </w:r>
                </w:p>
              </w:tc>
            </w:tr>
            <w:tr w14:paraId="58A68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3E8589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JXJ15</w:t>
                  </w:r>
                </w:p>
              </w:tc>
              <w:tc>
                <w:tcPr>
                  <w:tcW w:w="866" w:type="pct"/>
                  <w:noWrap w:val="0"/>
                  <w:vAlign w:val="center"/>
                </w:tcPr>
                <w:p w14:paraId="41EE0D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130.8318852</w:t>
                  </w:r>
                </w:p>
              </w:tc>
              <w:tc>
                <w:tcPr>
                  <w:tcW w:w="868" w:type="pct"/>
                  <w:noWrap w:val="0"/>
                  <w:vAlign w:val="center"/>
                </w:tcPr>
                <w:p w14:paraId="3550D8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45.15599155</w:t>
                  </w:r>
                </w:p>
              </w:tc>
              <w:tc>
                <w:tcPr>
                  <w:tcW w:w="852" w:type="pct"/>
                  <w:noWrap w:val="0"/>
                  <w:vAlign w:val="center"/>
                </w:tcPr>
                <w:p w14:paraId="3208DE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YXJ16</w:t>
                  </w:r>
                </w:p>
              </w:tc>
              <w:tc>
                <w:tcPr>
                  <w:tcW w:w="857" w:type="pct"/>
                  <w:noWrap w:val="0"/>
                  <w:vAlign w:val="center"/>
                </w:tcPr>
                <w:p w14:paraId="531191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130.8373188</w:t>
                  </w:r>
                </w:p>
              </w:tc>
              <w:tc>
                <w:tcPr>
                  <w:tcW w:w="858" w:type="pct"/>
                  <w:noWrap w:val="0"/>
                  <w:vAlign w:val="center"/>
                </w:tcPr>
                <w:p w14:paraId="25B953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45.17526596</w:t>
                  </w:r>
                </w:p>
              </w:tc>
            </w:tr>
            <w:tr w14:paraId="1B205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0DE975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JXJ16</w:t>
                  </w:r>
                </w:p>
              </w:tc>
              <w:tc>
                <w:tcPr>
                  <w:tcW w:w="866" w:type="pct"/>
                  <w:noWrap w:val="0"/>
                  <w:vAlign w:val="center"/>
                </w:tcPr>
                <w:p w14:paraId="4E7F73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130.8378418</w:t>
                  </w:r>
                </w:p>
              </w:tc>
              <w:tc>
                <w:tcPr>
                  <w:tcW w:w="868" w:type="pct"/>
                  <w:noWrap w:val="0"/>
                  <w:vAlign w:val="center"/>
                </w:tcPr>
                <w:p w14:paraId="0B7346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45.17505318</w:t>
                  </w:r>
                </w:p>
              </w:tc>
              <w:tc>
                <w:tcPr>
                  <w:tcW w:w="852" w:type="pct"/>
                  <w:noWrap w:val="0"/>
                  <w:vAlign w:val="center"/>
                </w:tcPr>
                <w:p w14:paraId="25F28E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YXJ17</w:t>
                  </w:r>
                </w:p>
              </w:tc>
              <w:tc>
                <w:tcPr>
                  <w:tcW w:w="857" w:type="pct"/>
                  <w:noWrap w:val="0"/>
                  <w:vAlign w:val="center"/>
                </w:tcPr>
                <w:p w14:paraId="74FE8D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130.8478054</w:t>
                  </w:r>
                </w:p>
              </w:tc>
              <w:tc>
                <w:tcPr>
                  <w:tcW w:w="858" w:type="pct"/>
                  <w:noWrap w:val="0"/>
                  <w:vAlign w:val="center"/>
                </w:tcPr>
                <w:p w14:paraId="29DFFF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45.18780955</w:t>
                  </w:r>
                </w:p>
              </w:tc>
            </w:tr>
            <w:tr w14:paraId="7D73D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3D3459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JXJ17</w:t>
                  </w:r>
                </w:p>
              </w:tc>
              <w:tc>
                <w:tcPr>
                  <w:tcW w:w="866" w:type="pct"/>
                  <w:noWrap w:val="0"/>
                  <w:vAlign w:val="center"/>
                </w:tcPr>
                <w:p w14:paraId="53DD97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130.8484065</w:t>
                  </w:r>
                </w:p>
              </w:tc>
              <w:tc>
                <w:tcPr>
                  <w:tcW w:w="868" w:type="pct"/>
                  <w:noWrap w:val="0"/>
                  <w:vAlign w:val="center"/>
                </w:tcPr>
                <w:p w14:paraId="23EF6B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45.18778844</w:t>
                  </w:r>
                </w:p>
              </w:tc>
              <w:tc>
                <w:tcPr>
                  <w:tcW w:w="852" w:type="pct"/>
                  <w:noWrap w:val="0"/>
                  <w:vAlign w:val="center"/>
                </w:tcPr>
                <w:p w14:paraId="60354D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YXJ18</w:t>
                  </w:r>
                </w:p>
              </w:tc>
              <w:tc>
                <w:tcPr>
                  <w:tcW w:w="857" w:type="pct"/>
                  <w:noWrap w:val="0"/>
                  <w:vAlign w:val="center"/>
                </w:tcPr>
                <w:p w14:paraId="60D98C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130.8467347</w:t>
                  </w:r>
                </w:p>
              </w:tc>
              <w:tc>
                <w:tcPr>
                  <w:tcW w:w="858" w:type="pct"/>
                  <w:noWrap w:val="0"/>
                  <w:vAlign w:val="center"/>
                </w:tcPr>
                <w:p w14:paraId="3AF75D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45.19105172</w:t>
                  </w:r>
                </w:p>
              </w:tc>
            </w:tr>
            <w:tr w14:paraId="17C51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0694B7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JXJ18</w:t>
                  </w:r>
                </w:p>
              </w:tc>
              <w:tc>
                <w:tcPr>
                  <w:tcW w:w="866" w:type="pct"/>
                  <w:noWrap w:val="0"/>
                  <w:vAlign w:val="center"/>
                </w:tcPr>
                <w:p w14:paraId="25DD47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130.8473634</w:t>
                  </w:r>
                </w:p>
              </w:tc>
              <w:tc>
                <w:tcPr>
                  <w:tcW w:w="868" w:type="pct"/>
                  <w:noWrap w:val="0"/>
                  <w:vAlign w:val="center"/>
                </w:tcPr>
                <w:p w14:paraId="74E764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45.19093634</w:t>
                  </w:r>
                </w:p>
              </w:tc>
              <w:tc>
                <w:tcPr>
                  <w:tcW w:w="852" w:type="pct"/>
                  <w:noWrap w:val="0"/>
                  <w:vAlign w:val="center"/>
                </w:tcPr>
                <w:p w14:paraId="695C4F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YXJ19</w:t>
                  </w:r>
                </w:p>
              </w:tc>
              <w:tc>
                <w:tcPr>
                  <w:tcW w:w="857" w:type="pct"/>
                  <w:noWrap w:val="0"/>
                  <w:vAlign w:val="center"/>
                </w:tcPr>
                <w:p w14:paraId="363E65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130.8530728</w:t>
                  </w:r>
                </w:p>
              </w:tc>
              <w:tc>
                <w:tcPr>
                  <w:tcW w:w="858" w:type="pct"/>
                  <w:noWrap w:val="0"/>
                  <w:vAlign w:val="center"/>
                </w:tcPr>
                <w:p w14:paraId="1A49C4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45.19484976</w:t>
                  </w:r>
                </w:p>
              </w:tc>
            </w:tr>
            <w:tr w14:paraId="0E20D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12B1EF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JXJ19</w:t>
                  </w:r>
                </w:p>
              </w:tc>
              <w:tc>
                <w:tcPr>
                  <w:tcW w:w="866" w:type="pct"/>
                  <w:noWrap w:val="0"/>
                  <w:vAlign w:val="center"/>
                </w:tcPr>
                <w:p w14:paraId="396C5F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130.853486</w:t>
                  </w:r>
                </w:p>
              </w:tc>
              <w:tc>
                <w:tcPr>
                  <w:tcW w:w="868" w:type="pct"/>
                  <w:noWrap w:val="0"/>
                  <w:vAlign w:val="center"/>
                </w:tcPr>
                <w:p w14:paraId="7AFA80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45.1945412</w:t>
                  </w:r>
                </w:p>
              </w:tc>
              <w:tc>
                <w:tcPr>
                  <w:tcW w:w="852" w:type="pct"/>
                  <w:noWrap w:val="0"/>
                  <w:vAlign w:val="center"/>
                </w:tcPr>
                <w:p w14:paraId="62EAAC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YXJ20</w:t>
                  </w:r>
                </w:p>
              </w:tc>
              <w:tc>
                <w:tcPr>
                  <w:tcW w:w="857" w:type="pct"/>
                  <w:noWrap w:val="0"/>
                  <w:vAlign w:val="center"/>
                </w:tcPr>
                <w:p w14:paraId="062F91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130.8592429</w:t>
                  </w:r>
                </w:p>
              </w:tc>
              <w:tc>
                <w:tcPr>
                  <w:tcW w:w="858" w:type="pct"/>
                  <w:noWrap w:val="0"/>
                  <w:vAlign w:val="center"/>
                </w:tcPr>
                <w:p w14:paraId="5EFB71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45.20029553</w:t>
                  </w:r>
                </w:p>
              </w:tc>
            </w:tr>
            <w:tr w14:paraId="1E9F5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747DB7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JXJ20</w:t>
                  </w:r>
                </w:p>
              </w:tc>
              <w:tc>
                <w:tcPr>
                  <w:tcW w:w="866" w:type="pct"/>
                  <w:noWrap w:val="0"/>
                  <w:vAlign w:val="center"/>
                </w:tcPr>
                <w:p w14:paraId="72BDC7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130.8598955</w:t>
                  </w:r>
                </w:p>
              </w:tc>
              <w:tc>
                <w:tcPr>
                  <w:tcW w:w="868" w:type="pct"/>
                  <w:noWrap w:val="0"/>
                  <w:vAlign w:val="center"/>
                </w:tcPr>
                <w:p w14:paraId="5C3E88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45.20023152</w:t>
                  </w:r>
                </w:p>
              </w:tc>
              <w:tc>
                <w:tcPr>
                  <w:tcW w:w="852" w:type="pct"/>
                  <w:noWrap w:val="0"/>
                  <w:vAlign w:val="center"/>
                </w:tcPr>
                <w:p w14:paraId="1E1DE0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YXJ21</w:t>
                  </w:r>
                </w:p>
              </w:tc>
              <w:tc>
                <w:tcPr>
                  <w:tcW w:w="857" w:type="pct"/>
                  <w:noWrap w:val="0"/>
                  <w:vAlign w:val="center"/>
                </w:tcPr>
                <w:p w14:paraId="39C2C5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130.859304</w:t>
                  </w:r>
                </w:p>
              </w:tc>
              <w:tc>
                <w:tcPr>
                  <w:tcW w:w="858" w:type="pct"/>
                  <w:noWrap w:val="0"/>
                  <w:vAlign w:val="center"/>
                </w:tcPr>
                <w:p w14:paraId="3306C1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45.20257943</w:t>
                  </w:r>
                </w:p>
              </w:tc>
            </w:tr>
            <w:tr w14:paraId="390CA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17F28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JXJ21</w:t>
                  </w:r>
                </w:p>
              </w:tc>
              <w:tc>
                <w:tcPr>
                  <w:tcW w:w="866" w:type="pct"/>
                  <w:noWrap w:val="0"/>
                  <w:vAlign w:val="center"/>
                </w:tcPr>
                <w:p w14:paraId="19108A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130.8607641</w:t>
                  </w:r>
                </w:p>
              </w:tc>
              <w:tc>
                <w:tcPr>
                  <w:tcW w:w="868" w:type="pct"/>
                  <w:noWrap w:val="0"/>
                  <w:vAlign w:val="center"/>
                </w:tcPr>
                <w:p w14:paraId="583D8F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45.20278437</w:t>
                  </w:r>
                </w:p>
              </w:tc>
              <w:tc>
                <w:tcPr>
                  <w:tcW w:w="852" w:type="pct"/>
                  <w:noWrap w:val="0"/>
                  <w:vAlign w:val="center"/>
                </w:tcPr>
                <w:p w14:paraId="289A42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YXJ22</w:t>
                  </w:r>
                </w:p>
              </w:tc>
              <w:tc>
                <w:tcPr>
                  <w:tcW w:w="857" w:type="pct"/>
                  <w:noWrap w:val="0"/>
                  <w:vAlign w:val="center"/>
                </w:tcPr>
                <w:p w14:paraId="4F7114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130.8601211</w:t>
                  </w:r>
                </w:p>
              </w:tc>
              <w:tc>
                <w:tcPr>
                  <w:tcW w:w="858" w:type="pct"/>
                  <w:noWrap w:val="0"/>
                  <w:vAlign w:val="center"/>
                </w:tcPr>
                <w:p w14:paraId="4E8F11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45.20367142</w:t>
                  </w:r>
                </w:p>
              </w:tc>
            </w:tr>
            <w:tr w14:paraId="153E5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0DFA9A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JYXJ22/23</w:t>
                  </w:r>
                </w:p>
              </w:tc>
              <w:tc>
                <w:tcPr>
                  <w:tcW w:w="866" w:type="pct"/>
                  <w:noWrap w:val="0"/>
                  <w:vAlign w:val="center"/>
                </w:tcPr>
                <w:p w14:paraId="51FEF0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130.8635015</w:t>
                  </w:r>
                </w:p>
              </w:tc>
              <w:tc>
                <w:tcPr>
                  <w:tcW w:w="868" w:type="pct"/>
                  <w:noWrap w:val="0"/>
                  <w:vAlign w:val="center"/>
                </w:tcPr>
                <w:p w14:paraId="6BFFE9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45.20418452</w:t>
                  </w:r>
                </w:p>
              </w:tc>
              <w:tc>
                <w:tcPr>
                  <w:tcW w:w="852" w:type="pct"/>
                  <w:noWrap w:val="0"/>
                  <w:vAlign w:val="center"/>
                </w:tcPr>
                <w:p w14:paraId="1C71D6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JYXJ24/25</w:t>
                  </w:r>
                </w:p>
              </w:tc>
              <w:tc>
                <w:tcPr>
                  <w:tcW w:w="857" w:type="pct"/>
                  <w:noWrap w:val="0"/>
                  <w:vAlign w:val="center"/>
                </w:tcPr>
                <w:p w14:paraId="1E5B7F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130.8651857</w:t>
                  </w:r>
                </w:p>
              </w:tc>
              <w:tc>
                <w:tcPr>
                  <w:tcW w:w="858" w:type="pct"/>
                  <w:noWrap w:val="0"/>
                  <w:vAlign w:val="center"/>
                </w:tcPr>
                <w:p w14:paraId="763059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45.20514376</w:t>
                  </w:r>
                </w:p>
              </w:tc>
            </w:tr>
            <w:tr w14:paraId="33225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13A0B4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JYXJ23/24</w:t>
                  </w:r>
                </w:p>
              </w:tc>
              <w:tc>
                <w:tcPr>
                  <w:tcW w:w="866" w:type="pct"/>
                  <w:noWrap w:val="0"/>
                  <w:vAlign w:val="center"/>
                </w:tcPr>
                <w:p w14:paraId="1708E1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130.8640338</w:t>
                  </w:r>
                </w:p>
              </w:tc>
              <w:tc>
                <w:tcPr>
                  <w:tcW w:w="868" w:type="pct"/>
                  <w:noWrap w:val="0"/>
                  <w:vAlign w:val="center"/>
                </w:tcPr>
                <w:p w14:paraId="2C9A54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45.20504266</w:t>
                  </w:r>
                </w:p>
              </w:tc>
              <w:tc>
                <w:tcPr>
                  <w:tcW w:w="852" w:type="pct"/>
                  <w:noWrap w:val="0"/>
                  <w:vAlign w:val="center"/>
                </w:tcPr>
                <w:p w14:paraId="13B3AE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JYXJ25/26</w:t>
                  </w:r>
                </w:p>
              </w:tc>
              <w:tc>
                <w:tcPr>
                  <w:tcW w:w="857" w:type="pct"/>
                  <w:noWrap w:val="0"/>
                  <w:vAlign w:val="center"/>
                </w:tcPr>
                <w:p w14:paraId="622A7F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130.8653731</w:t>
                  </w:r>
                </w:p>
              </w:tc>
              <w:tc>
                <w:tcPr>
                  <w:tcW w:w="858" w:type="pct"/>
                  <w:noWrap w:val="0"/>
                  <w:vAlign w:val="center"/>
                </w:tcPr>
                <w:p w14:paraId="6E71F4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45.20469143</w:t>
                  </w:r>
                </w:p>
              </w:tc>
            </w:tr>
            <w:tr w14:paraId="755F8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000" w:type="pct"/>
                  <w:gridSpan w:val="6"/>
                  <w:noWrap w:val="0"/>
                  <w:vAlign w:val="center"/>
                </w:tcPr>
                <w:p w14:paraId="564663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改造220kV鸡联变-恒山变甲、乙线</w:t>
                  </w:r>
                </w:p>
              </w:tc>
            </w:tr>
            <w:tr w14:paraId="50F70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1F6633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GZ1</w:t>
                  </w:r>
                </w:p>
              </w:tc>
              <w:tc>
                <w:tcPr>
                  <w:tcW w:w="866" w:type="pct"/>
                  <w:noWrap w:val="0"/>
                  <w:vAlign w:val="center"/>
                </w:tcPr>
                <w:p w14:paraId="4C541D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130.8661693</w:t>
                  </w:r>
                </w:p>
              </w:tc>
              <w:tc>
                <w:tcPr>
                  <w:tcW w:w="868" w:type="pct"/>
                  <w:noWrap w:val="0"/>
                  <w:vAlign w:val="center"/>
                </w:tcPr>
                <w:p w14:paraId="6BAD4E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45.20554896</w:t>
                  </w:r>
                </w:p>
              </w:tc>
              <w:tc>
                <w:tcPr>
                  <w:tcW w:w="852" w:type="pct"/>
                  <w:noWrap w:val="0"/>
                  <w:vAlign w:val="center"/>
                </w:tcPr>
                <w:p w14:paraId="1E2EB5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GZ3</w:t>
                  </w:r>
                </w:p>
              </w:tc>
              <w:tc>
                <w:tcPr>
                  <w:tcW w:w="857" w:type="pct"/>
                  <w:noWrap w:val="0"/>
                  <w:vAlign w:val="center"/>
                </w:tcPr>
                <w:p w14:paraId="1162C4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130.8658116</w:t>
                  </w:r>
                </w:p>
              </w:tc>
              <w:tc>
                <w:tcPr>
                  <w:tcW w:w="858" w:type="pct"/>
                  <w:noWrap w:val="0"/>
                  <w:vAlign w:val="center"/>
                </w:tcPr>
                <w:p w14:paraId="5EC9CF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45.20455883</w:t>
                  </w:r>
                </w:p>
              </w:tc>
            </w:tr>
            <w:tr w14:paraId="39DA8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noWrap w:val="0"/>
                  <w:vAlign w:val="center"/>
                </w:tcPr>
                <w:p w14:paraId="7FA8C1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GZ2</w:t>
                  </w:r>
                </w:p>
              </w:tc>
              <w:tc>
                <w:tcPr>
                  <w:tcW w:w="866" w:type="pct"/>
                  <w:noWrap w:val="0"/>
                  <w:vAlign w:val="center"/>
                </w:tcPr>
                <w:p w14:paraId="450450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130.8666077</w:t>
                  </w:r>
                </w:p>
              </w:tc>
              <w:tc>
                <w:tcPr>
                  <w:tcW w:w="868" w:type="pct"/>
                  <w:noWrap w:val="0"/>
                  <w:vAlign w:val="center"/>
                </w:tcPr>
                <w:p w14:paraId="449B55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45.20546023</w:t>
                  </w:r>
                </w:p>
              </w:tc>
              <w:tc>
                <w:tcPr>
                  <w:tcW w:w="852" w:type="pct"/>
                  <w:noWrap w:val="0"/>
                  <w:vAlign w:val="center"/>
                </w:tcPr>
                <w:p w14:paraId="1491D5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GZ4</w:t>
                  </w:r>
                </w:p>
              </w:tc>
              <w:tc>
                <w:tcPr>
                  <w:tcW w:w="857" w:type="pct"/>
                  <w:noWrap w:val="0"/>
                  <w:vAlign w:val="center"/>
                </w:tcPr>
                <w:p w14:paraId="7A487D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130.8662434</w:t>
                  </w:r>
                </w:p>
              </w:tc>
              <w:tc>
                <w:tcPr>
                  <w:tcW w:w="858" w:type="pct"/>
                  <w:noWrap w:val="0"/>
                  <w:vAlign w:val="center"/>
                </w:tcPr>
                <w:p w14:paraId="64DA13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45.20448638</w:t>
                  </w:r>
                </w:p>
              </w:tc>
            </w:tr>
          </w:tbl>
          <w:p w14:paraId="19CA162B">
            <w:pPr>
              <w:pStyle w:val="76"/>
              <w:keepNext w:val="0"/>
              <w:keepLines w:val="0"/>
              <w:widowControl w:val="0"/>
              <w:suppressLineNumbers w:val="0"/>
              <w:bidi w:val="0"/>
              <w:adjustRightInd/>
              <w:snapToGrid/>
              <w:spacing w:before="0" w:beforeLines="-2147483648" w:beforeAutospacing="0" w:after="0" w:afterLines="-2147483648" w:afterAutospacing="0" w:line="240" w:lineRule="auto"/>
              <w:ind w:left="0" w:right="0" w:firstLine="0" w:firstLineChars="0"/>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pPr>
            <w:r>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t>表 2-</w:t>
            </w:r>
            <w:r>
              <w:rPr>
                <w:rFonts w:hint="eastAsia" w:ascii="Times New Roman" w:cstheme="minorBidi"/>
                <w:bCs/>
                <w:color w:val="000000" w:themeColor="text1"/>
                <w:kern w:val="2"/>
                <w:sz w:val="24"/>
                <w:szCs w:val="24"/>
                <w:lang w:val="en-US" w:eastAsia="zh-CN"/>
                <w14:textFill>
                  <w14:solidFill>
                    <w14:schemeClr w14:val="tx1"/>
                  </w14:solidFill>
                </w14:textFill>
              </w:rPr>
              <w:t>5</w:t>
            </w:r>
            <w:r>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t xml:space="preserve"> 新建鸡西~恒山220kV线路杆塔一览表</w:t>
            </w:r>
          </w:p>
          <w:tbl>
            <w:tblPr>
              <w:tblStyle w:val="92"/>
              <w:tblW w:w="83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81"/>
              <w:gridCol w:w="1324"/>
              <w:gridCol w:w="630"/>
              <w:gridCol w:w="1757"/>
              <w:gridCol w:w="1806"/>
              <w:gridCol w:w="889"/>
              <w:gridCol w:w="1447"/>
            </w:tblGrid>
            <w:tr w14:paraId="01227A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5819E1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序号</w:t>
                  </w:r>
                </w:p>
              </w:tc>
              <w:tc>
                <w:tcPr>
                  <w:tcW w:w="3711" w:type="dxa"/>
                  <w:gridSpan w:val="3"/>
                  <w:vAlign w:val="center"/>
                </w:tcPr>
                <w:p w14:paraId="602C27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铁塔</w:t>
                  </w:r>
                </w:p>
              </w:tc>
              <w:tc>
                <w:tcPr>
                  <w:tcW w:w="1806" w:type="dxa"/>
                  <w:vMerge w:val="restart"/>
                  <w:tcBorders>
                    <w:bottom w:val="nil"/>
                  </w:tcBorders>
                  <w:vAlign w:val="center"/>
                </w:tcPr>
                <w:p w14:paraId="543DF1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铁塔呼称高（m)</w:t>
                  </w:r>
                </w:p>
              </w:tc>
              <w:tc>
                <w:tcPr>
                  <w:tcW w:w="889" w:type="dxa"/>
                  <w:vMerge w:val="restart"/>
                  <w:tcBorders>
                    <w:bottom w:val="nil"/>
                  </w:tcBorders>
                  <w:vAlign w:val="center"/>
                </w:tcPr>
                <w:p w14:paraId="5CB4C2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基数</w:t>
                  </w:r>
                </w:p>
              </w:tc>
              <w:tc>
                <w:tcPr>
                  <w:tcW w:w="1447" w:type="dxa"/>
                  <w:vMerge w:val="restart"/>
                  <w:tcBorders>
                    <w:bottom w:val="nil"/>
                  </w:tcBorders>
                  <w:vAlign w:val="center"/>
                </w:tcPr>
                <w:p w14:paraId="0B5A56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转角度数</w:t>
                  </w:r>
                </w:p>
              </w:tc>
            </w:tr>
            <w:tr w14:paraId="2E00A2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textDirection w:val="tbRlV"/>
                  <w:vAlign w:val="center"/>
                </w:tcPr>
                <w:p w14:paraId="4F1FB1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Align w:val="center"/>
                </w:tcPr>
                <w:p w14:paraId="1785F9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模块</w:t>
                  </w:r>
                </w:p>
              </w:tc>
              <w:tc>
                <w:tcPr>
                  <w:tcW w:w="630" w:type="dxa"/>
                  <w:vAlign w:val="center"/>
                </w:tcPr>
                <w:p w14:paraId="5394F9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名称</w:t>
                  </w:r>
                </w:p>
              </w:tc>
              <w:tc>
                <w:tcPr>
                  <w:tcW w:w="1757" w:type="dxa"/>
                  <w:vAlign w:val="center"/>
                </w:tcPr>
                <w:p w14:paraId="0D4D90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类别</w:t>
                  </w:r>
                </w:p>
              </w:tc>
              <w:tc>
                <w:tcPr>
                  <w:tcW w:w="1806" w:type="dxa"/>
                  <w:vMerge w:val="continue"/>
                  <w:tcBorders>
                    <w:top w:val="nil"/>
                  </w:tcBorders>
                  <w:vAlign w:val="center"/>
                </w:tcPr>
                <w:p w14:paraId="10CD55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889" w:type="dxa"/>
                  <w:vMerge w:val="continue"/>
                  <w:tcBorders>
                    <w:top w:val="nil"/>
                  </w:tcBorders>
                  <w:vAlign w:val="center"/>
                </w:tcPr>
                <w:p w14:paraId="5C09F1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447" w:type="dxa"/>
                  <w:vMerge w:val="continue"/>
                  <w:tcBorders>
                    <w:top w:val="nil"/>
                  </w:tcBorders>
                  <w:vAlign w:val="center"/>
                </w:tcPr>
                <w:p w14:paraId="2DF2FE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r>
            <w:tr w14:paraId="460E57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19BB8D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w:t>
                  </w:r>
                </w:p>
              </w:tc>
              <w:tc>
                <w:tcPr>
                  <w:tcW w:w="1324" w:type="dxa"/>
                  <w:vMerge w:val="restart"/>
                  <w:tcBorders>
                    <w:bottom w:val="nil"/>
                  </w:tcBorders>
                  <w:vAlign w:val="center"/>
                </w:tcPr>
                <w:p w14:paraId="4339A3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220-FD</w:t>
                  </w:r>
                  <w:r>
                    <w:rPr>
                      <w:rFonts w:hint="eastAsia" w:cs="Times New Roman"/>
                      <w:color w:val="000000" w:themeColor="text1"/>
                      <w:lang w:val="en-US" w:eastAsia="zh-CN"/>
                      <w14:textFill>
                        <w14:solidFill>
                          <w14:schemeClr w14:val="tx1"/>
                        </w14:solidFill>
                      </w14:textFill>
                    </w:rPr>
                    <w:t>21</w:t>
                  </w:r>
                  <w:r>
                    <w:rPr>
                      <w:rFonts w:hint="eastAsia" w:ascii="Times New Roman" w:hAnsi="Times New Roman" w:cs="Times New Roman"/>
                      <w:color w:val="000000" w:themeColor="text1"/>
                      <w:lang w:val="en-US" w:eastAsia="zh-CN"/>
                      <w14:textFill>
                        <w14:solidFill>
                          <w14:schemeClr w14:val="tx1"/>
                        </w14:solidFill>
                      </w14:textFill>
                    </w:rPr>
                    <w:t>S</w:t>
                  </w:r>
                </w:p>
              </w:tc>
              <w:tc>
                <w:tcPr>
                  <w:tcW w:w="630" w:type="dxa"/>
                  <w:vMerge w:val="restart"/>
                  <w:tcBorders>
                    <w:bottom w:val="nil"/>
                  </w:tcBorders>
                  <w:vAlign w:val="center"/>
                </w:tcPr>
                <w:p w14:paraId="4A67F4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S</w:t>
                  </w:r>
                  <w:r>
                    <w:rPr>
                      <w:rFonts w:hint="eastAsia" w:ascii="Times New Roman" w:hAnsi="Times New Roman" w:cs="Times New Roman"/>
                      <w:color w:val="000000" w:themeColor="text1"/>
                      <w:lang w:val="en-US" w:eastAsia="zh-CN"/>
                      <w14:textFill>
                        <w14:solidFill>
                          <w14:schemeClr w14:val="tx1"/>
                        </w14:solidFill>
                      </w14:textFill>
                    </w:rPr>
                    <w:t>DJ</w:t>
                  </w:r>
                </w:p>
              </w:tc>
              <w:tc>
                <w:tcPr>
                  <w:tcW w:w="1757" w:type="dxa"/>
                  <w:vMerge w:val="restart"/>
                  <w:tcBorders>
                    <w:bottom w:val="nil"/>
                  </w:tcBorders>
                  <w:vAlign w:val="center"/>
                </w:tcPr>
                <w:p w14:paraId="093891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双回路耐张塔</w:t>
                  </w:r>
                </w:p>
              </w:tc>
              <w:tc>
                <w:tcPr>
                  <w:tcW w:w="1806" w:type="dxa"/>
                  <w:vAlign w:val="center"/>
                </w:tcPr>
                <w:p w14:paraId="775C2C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24</w:t>
                  </w:r>
                </w:p>
              </w:tc>
              <w:tc>
                <w:tcPr>
                  <w:tcW w:w="889" w:type="dxa"/>
                  <w:vAlign w:val="center"/>
                </w:tcPr>
                <w:p w14:paraId="6F1495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w:t>
                  </w:r>
                </w:p>
              </w:tc>
              <w:tc>
                <w:tcPr>
                  <w:tcW w:w="1447" w:type="dxa"/>
                  <w:vMerge w:val="restart"/>
                  <w:tcBorders>
                    <w:bottom w:val="nil"/>
                  </w:tcBorders>
                  <w:vAlign w:val="center"/>
                </w:tcPr>
                <w:p w14:paraId="178106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0°~90°</w:t>
                  </w:r>
                </w:p>
              </w:tc>
            </w:tr>
            <w:tr w14:paraId="49DF43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21DF68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w:t>
                  </w:r>
                </w:p>
              </w:tc>
              <w:tc>
                <w:tcPr>
                  <w:tcW w:w="1324" w:type="dxa"/>
                  <w:vMerge w:val="continue"/>
                  <w:tcBorders>
                    <w:top w:val="nil"/>
                  </w:tcBorders>
                  <w:vAlign w:val="center"/>
                </w:tcPr>
                <w:p w14:paraId="70226F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5E2C7F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tcBorders>
                  <w:vAlign w:val="center"/>
                </w:tcPr>
                <w:p w14:paraId="66F7B3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38843C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889" w:type="dxa"/>
                  <w:vAlign w:val="center"/>
                </w:tcPr>
                <w:p w14:paraId="544EB3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w:t>
                  </w:r>
                </w:p>
              </w:tc>
              <w:tc>
                <w:tcPr>
                  <w:tcW w:w="1447" w:type="dxa"/>
                  <w:vMerge w:val="continue"/>
                  <w:tcBorders>
                    <w:top w:val="nil"/>
                  </w:tcBorders>
                  <w:vAlign w:val="center"/>
                </w:tcPr>
                <w:p w14:paraId="65BAFB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r>
            <w:tr w14:paraId="5A86B8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2C84C8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w:t>
                  </w:r>
                </w:p>
              </w:tc>
              <w:tc>
                <w:tcPr>
                  <w:tcW w:w="1324" w:type="dxa"/>
                  <w:vMerge w:val="restart"/>
                  <w:tcBorders>
                    <w:bottom w:val="nil"/>
                  </w:tcBorders>
                  <w:vAlign w:val="center"/>
                </w:tcPr>
                <w:p w14:paraId="428A6E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220-FD21D</w:t>
                  </w:r>
                </w:p>
              </w:tc>
              <w:tc>
                <w:tcPr>
                  <w:tcW w:w="630" w:type="dxa"/>
                  <w:vMerge w:val="restart"/>
                  <w:tcBorders>
                    <w:bottom w:val="nil"/>
                  </w:tcBorders>
                  <w:vAlign w:val="center"/>
                </w:tcPr>
                <w:p w14:paraId="70107A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J1</w:t>
                  </w:r>
                </w:p>
              </w:tc>
              <w:tc>
                <w:tcPr>
                  <w:tcW w:w="1757" w:type="dxa"/>
                  <w:vMerge w:val="restart"/>
                  <w:tcBorders>
                    <w:bottom w:val="nil"/>
                  </w:tcBorders>
                  <w:vAlign w:val="center"/>
                </w:tcPr>
                <w:p w14:paraId="0EC764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单回路耐张塔</w:t>
                  </w:r>
                </w:p>
              </w:tc>
              <w:tc>
                <w:tcPr>
                  <w:tcW w:w="1806" w:type="dxa"/>
                  <w:vAlign w:val="center"/>
                </w:tcPr>
                <w:p w14:paraId="773652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27</w:t>
                  </w:r>
                </w:p>
              </w:tc>
              <w:tc>
                <w:tcPr>
                  <w:tcW w:w="889" w:type="dxa"/>
                  <w:vAlign w:val="center"/>
                </w:tcPr>
                <w:p w14:paraId="60D089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w:t>
                  </w:r>
                </w:p>
              </w:tc>
              <w:tc>
                <w:tcPr>
                  <w:tcW w:w="1447" w:type="dxa"/>
                  <w:vMerge w:val="restart"/>
                  <w:tcBorders>
                    <w:bottom w:val="nil"/>
                  </w:tcBorders>
                  <w:vAlign w:val="center"/>
                </w:tcPr>
                <w:p w14:paraId="2B7B33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0°~20°</w:t>
                  </w:r>
                </w:p>
              </w:tc>
            </w:tr>
            <w:tr w14:paraId="24A1E6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61CAC5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bottom w:val="nil"/>
                  </w:tcBorders>
                  <w:vAlign w:val="center"/>
                </w:tcPr>
                <w:p w14:paraId="0F460F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540689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bottom w:val="nil"/>
                  </w:tcBorders>
                  <w:vAlign w:val="center"/>
                </w:tcPr>
                <w:p w14:paraId="2812F2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7DACB2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889" w:type="dxa"/>
                  <w:vAlign w:val="center"/>
                </w:tcPr>
                <w:p w14:paraId="4C8F94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w:t>
                  </w:r>
                </w:p>
              </w:tc>
              <w:tc>
                <w:tcPr>
                  <w:tcW w:w="1447" w:type="dxa"/>
                  <w:vMerge w:val="continue"/>
                  <w:tcBorders>
                    <w:top w:val="nil"/>
                  </w:tcBorders>
                  <w:vAlign w:val="center"/>
                </w:tcPr>
                <w:p w14:paraId="4355E9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r>
            <w:tr w14:paraId="60AA2C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1469C2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p>
              </w:tc>
              <w:tc>
                <w:tcPr>
                  <w:tcW w:w="1324" w:type="dxa"/>
                  <w:vMerge w:val="continue"/>
                  <w:tcBorders>
                    <w:top w:val="nil"/>
                    <w:bottom w:val="nil"/>
                  </w:tcBorders>
                  <w:vAlign w:val="center"/>
                </w:tcPr>
                <w:p w14:paraId="239F96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restart"/>
                  <w:tcBorders>
                    <w:bottom w:val="nil"/>
                  </w:tcBorders>
                  <w:vAlign w:val="center"/>
                </w:tcPr>
                <w:p w14:paraId="642A1D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J2</w:t>
                  </w:r>
                </w:p>
              </w:tc>
              <w:tc>
                <w:tcPr>
                  <w:tcW w:w="1757" w:type="dxa"/>
                  <w:vMerge w:val="continue"/>
                  <w:tcBorders>
                    <w:top w:val="nil"/>
                    <w:bottom w:val="nil"/>
                  </w:tcBorders>
                  <w:vAlign w:val="center"/>
                </w:tcPr>
                <w:p w14:paraId="6AC3E9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0251D8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27</w:t>
                  </w:r>
                </w:p>
              </w:tc>
              <w:tc>
                <w:tcPr>
                  <w:tcW w:w="889" w:type="dxa"/>
                  <w:vAlign w:val="center"/>
                </w:tcPr>
                <w:p w14:paraId="4BDBF5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p>
              </w:tc>
              <w:tc>
                <w:tcPr>
                  <w:tcW w:w="1447" w:type="dxa"/>
                  <w:vMerge w:val="restart"/>
                  <w:tcBorders>
                    <w:bottom w:val="nil"/>
                  </w:tcBorders>
                  <w:vAlign w:val="center"/>
                </w:tcPr>
                <w:p w14:paraId="7A5A4E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20°~40°</w:t>
                  </w:r>
                </w:p>
              </w:tc>
            </w:tr>
            <w:tr w14:paraId="3DC47E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67EAF6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bottom w:val="nil"/>
                  </w:tcBorders>
                  <w:vAlign w:val="center"/>
                </w:tcPr>
                <w:p w14:paraId="217D77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5ABD56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bottom w:val="nil"/>
                  </w:tcBorders>
                  <w:vAlign w:val="center"/>
                </w:tcPr>
                <w:p w14:paraId="776C33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780F93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889" w:type="dxa"/>
                  <w:vAlign w:val="center"/>
                </w:tcPr>
                <w:p w14:paraId="2745DE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p>
              </w:tc>
              <w:tc>
                <w:tcPr>
                  <w:tcW w:w="1447" w:type="dxa"/>
                  <w:vMerge w:val="continue"/>
                  <w:tcBorders>
                    <w:top w:val="nil"/>
                  </w:tcBorders>
                  <w:vAlign w:val="center"/>
                </w:tcPr>
                <w:p w14:paraId="4142DA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r>
            <w:tr w14:paraId="258EAB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59BD39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w:t>
                  </w:r>
                </w:p>
              </w:tc>
              <w:tc>
                <w:tcPr>
                  <w:tcW w:w="1324" w:type="dxa"/>
                  <w:vMerge w:val="continue"/>
                  <w:tcBorders>
                    <w:top w:val="nil"/>
                    <w:bottom w:val="nil"/>
                  </w:tcBorders>
                  <w:vAlign w:val="center"/>
                </w:tcPr>
                <w:p w14:paraId="004DA9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restart"/>
                  <w:tcBorders>
                    <w:bottom w:val="nil"/>
                  </w:tcBorders>
                  <w:vAlign w:val="center"/>
                </w:tcPr>
                <w:p w14:paraId="1BC083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J3</w:t>
                  </w:r>
                </w:p>
              </w:tc>
              <w:tc>
                <w:tcPr>
                  <w:tcW w:w="1757" w:type="dxa"/>
                  <w:vMerge w:val="continue"/>
                  <w:tcBorders>
                    <w:top w:val="nil"/>
                    <w:bottom w:val="nil"/>
                  </w:tcBorders>
                  <w:vAlign w:val="center"/>
                </w:tcPr>
                <w:p w14:paraId="725925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7F43B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27</w:t>
                  </w:r>
                </w:p>
              </w:tc>
              <w:tc>
                <w:tcPr>
                  <w:tcW w:w="889" w:type="dxa"/>
                  <w:vAlign w:val="center"/>
                </w:tcPr>
                <w:p w14:paraId="642FB3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w:t>
                  </w:r>
                </w:p>
              </w:tc>
              <w:tc>
                <w:tcPr>
                  <w:tcW w:w="1447" w:type="dxa"/>
                  <w:vMerge w:val="restart"/>
                  <w:tcBorders>
                    <w:bottom w:val="nil"/>
                  </w:tcBorders>
                  <w:vAlign w:val="center"/>
                </w:tcPr>
                <w:p w14:paraId="4310D8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40°~60°</w:t>
                  </w:r>
                </w:p>
              </w:tc>
            </w:tr>
            <w:tr w14:paraId="65B8AA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1B3403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bottom w:val="nil"/>
                  </w:tcBorders>
                  <w:vAlign w:val="center"/>
                </w:tcPr>
                <w:p w14:paraId="76DACE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31ED8C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bottom w:val="nil"/>
                  </w:tcBorders>
                  <w:vAlign w:val="center"/>
                </w:tcPr>
                <w:p w14:paraId="68F73D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2DE295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889" w:type="dxa"/>
                  <w:vAlign w:val="center"/>
                </w:tcPr>
                <w:p w14:paraId="10EC98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p>
              </w:tc>
              <w:tc>
                <w:tcPr>
                  <w:tcW w:w="1447" w:type="dxa"/>
                  <w:vMerge w:val="continue"/>
                  <w:tcBorders>
                    <w:top w:val="nil"/>
                  </w:tcBorders>
                  <w:vAlign w:val="center"/>
                </w:tcPr>
                <w:p w14:paraId="6228CC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r>
            <w:tr w14:paraId="319661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271585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w:t>
                  </w:r>
                </w:p>
              </w:tc>
              <w:tc>
                <w:tcPr>
                  <w:tcW w:w="1324" w:type="dxa"/>
                  <w:vMerge w:val="continue"/>
                  <w:tcBorders>
                    <w:top w:val="nil"/>
                    <w:bottom w:val="nil"/>
                  </w:tcBorders>
                  <w:vAlign w:val="center"/>
                </w:tcPr>
                <w:p w14:paraId="09873E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Align w:val="center"/>
                </w:tcPr>
                <w:p w14:paraId="3B1FB7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J4</w:t>
                  </w:r>
                </w:p>
              </w:tc>
              <w:tc>
                <w:tcPr>
                  <w:tcW w:w="1757" w:type="dxa"/>
                  <w:vMerge w:val="continue"/>
                  <w:tcBorders>
                    <w:top w:val="nil"/>
                    <w:bottom w:val="nil"/>
                  </w:tcBorders>
                  <w:vAlign w:val="center"/>
                </w:tcPr>
                <w:p w14:paraId="2195DA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63A51F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889" w:type="dxa"/>
                  <w:vAlign w:val="center"/>
                </w:tcPr>
                <w:p w14:paraId="5D1992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w:t>
                  </w:r>
                </w:p>
              </w:tc>
              <w:tc>
                <w:tcPr>
                  <w:tcW w:w="1447" w:type="dxa"/>
                  <w:vAlign w:val="center"/>
                </w:tcPr>
                <w:p w14:paraId="7564FD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60°~90°</w:t>
                  </w:r>
                </w:p>
              </w:tc>
            </w:tr>
            <w:tr w14:paraId="523D66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47B46A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7</w:t>
                  </w:r>
                </w:p>
              </w:tc>
              <w:tc>
                <w:tcPr>
                  <w:tcW w:w="1324" w:type="dxa"/>
                  <w:vMerge w:val="continue"/>
                  <w:tcBorders>
                    <w:top w:val="nil"/>
                    <w:bottom w:val="nil"/>
                  </w:tcBorders>
                  <w:vAlign w:val="center"/>
                </w:tcPr>
                <w:p w14:paraId="659B92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Align w:val="center"/>
                </w:tcPr>
                <w:p w14:paraId="3E32E7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JC1</w:t>
                  </w:r>
                </w:p>
              </w:tc>
              <w:tc>
                <w:tcPr>
                  <w:tcW w:w="1757" w:type="dxa"/>
                  <w:vMerge w:val="continue"/>
                  <w:tcBorders>
                    <w:top w:val="nil"/>
                    <w:bottom w:val="nil"/>
                  </w:tcBorders>
                  <w:vAlign w:val="center"/>
                </w:tcPr>
                <w:p w14:paraId="66414E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0B74D9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36</w:t>
                  </w:r>
                </w:p>
              </w:tc>
              <w:tc>
                <w:tcPr>
                  <w:tcW w:w="889" w:type="dxa"/>
                  <w:vAlign w:val="center"/>
                </w:tcPr>
                <w:p w14:paraId="6D5933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p>
              </w:tc>
              <w:tc>
                <w:tcPr>
                  <w:tcW w:w="1447" w:type="dxa"/>
                  <w:vAlign w:val="center"/>
                </w:tcPr>
                <w:p w14:paraId="51B51B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0°~20°</w:t>
                  </w:r>
                </w:p>
              </w:tc>
            </w:tr>
            <w:tr w14:paraId="76AA8E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00B6E3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8</w:t>
                  </w:r>
                </w:p>
              </w:tc>
              <w:tc>
                <w:tcPr>
                  <w:tcW w:w="1324" w:type="dxa"/>
                  <w:vMerge w:val="continue"/>
                  <w:tcBorders>
                    <w:top w:val="nil"/>
                    <w:bottom w:val="nil"/>
                  </w:tcBorders>
                  <w:vAlign w:val="center"/>
                </w:tcPr>
                <w:p w14:paraId="5BDDAE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Align w:val="center"/>
                </w:tcPr>
                <w:p w14:paraId="477993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JC2</w:t>
                  </w:r>
                </w:p>
              </w:tc>
              <w:tc>
                <w:tcPr>
                  <w:tcW w:w="1757" w:type="dxa"/>
                  <w:vMerge w:val="continue"/>
                  <w:tcBorders>
                    <w:top w:val="nil"/>
                    <w:bottom w:val="nil"/>
                  </w:tcBorders>
                  <w:vAlign w:val="center"/>
                </w:tcPr>
                <w:p w14:paraId="7E338E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2F13F9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36</w:t>
                  </w:r>
                </w:p>
              </w:tc>
              <w:tc>
                <w:tcPr>
                  <w:tcW w:w="889" w:type="dxa"/>
                  <w:vAlign w:val="center"/>
                </w:tcPr>
                <w:p w14:paraId="3B2BEB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p>
              </w:tc>
              <w:tc>
                <w:tcPr>
                  <w:tcW w:w="1447" w:type="dxa"/>
                  <w:vAlign w:val="center"/>
                </w:tcPr>
                <w:p w14:paraId="63C07A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20°~40°</w:t>
                  </w:r>
                </w:p>
              </w:tc>
            </w:tr>
            <w:tr w14:paraId="532961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585509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9</w:t>
                  </w:r>
                </w:p>
              </w:tc>
              <w:tc>
                <w:tcPr>
                  <w:tcW w:w="1324" w:type="dxa"/>
                  <w:vMerge w:val="continue"/>
                  <w:tcBorders>
                    <w:top w:val="nil"/>
                    <w:bottom w:val="nil"/>
                  </w:tcBorders>
                  <w:vAlign w:val="center"/>
                </w:tcPr>
                <w:p w14:paraId="0C13D7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Align w:val="center"/>
                </w:tcPr>
                <w:p w14:paraId="21D931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JC3</w:t>
                  </w:r>
                </w:p>
              </w:tc>
              <w:tc>
                <w:tcPr>
                  <w:tcW w:w="1757" w:type="dxa"/>
                  <w:vMerge w:val="continue"/>
                  <w:tcBorders>
                    <w:top w:val="nil"/>
                    <w:bottom w:val="nil"/>
                  </w:tcBorders>
                  <w:vAlign w:val="center"/>
                </w:tcPr>
                <w:p w14:paraId="1844D9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0B79D4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36</w:t>
                  </w:r>
                </w:p>
              </w:tc>
              <w:tc>
                <w:tcPr>
                  <w:tcW w:w="889" w:type="dxa"/>
                  <w:vAlign w:val="center"/>
                </w:tcPr>
                <w:p w14:paraId="160C25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w:t>
                  </w:r>
                </w:p>
              </w:tc>
              <w:tc>
                <w:tcPr>
                  <w:tcW w:w="1447" w:type="dxa"/>
                  <w:vAlign w:val="center"/>
                </w:tcPr>
                <w:p w14:paraId="24533C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40°~60°</w:t>
                  </w:r>
                </w:p>
              </w:tc>
            </w:tr>
            <w:tr w14:paraId="7597E1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3AEEF0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10</w:t>
                  </w:r>
                </w:p>
              </w:tc>
              <w:tc>
                <w:tcPr>
                  <w:tcW w:w="1324" w:type="dxa"/>
                  <w:vMerge w:val="continue"/>
                  <w:tcBorders>
                    <w:top w:val="nil"/>
                    <w:bottom w:val="nil"/>
                  </w:tcBorders>
                  <w:vAlign w:val="center"/>
                </w:tcPr>
                <w:p w14:paraId="745E2F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Align w:val="center"/>
                </w:tcPr>
                <w:p w14:paraId="7A98EF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JC4</w:t>
                  </w:r>
                </w:p>
              </w:tc>
              <w:tc>
                <w:tcPr>
                  <w:tcW w:w="1757" w:type="dxa"/>
                  <w:vMerge w:val="continue"/>
                  <w:tcBorders>
                    <w:top w:val="nil"/>
                  </w:tcBorders>
                  <w:vAlign w:val="center"/>
                </w:tcPr>
                <w:p w14:paraId="0673A1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1A6AC1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36</w:t>
                  </w:r>
                </w:p>
              </w:tc>
              <w:tc>
                <w:tcPr>
                  <w:tcW w:w="889" w:type="dxa"/>
                  <w:vAlign w:val="center"/>
                </w:tcPr>
                <w:p w14:paraId="7213F0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w:t>
                  </w:r>
                </w:p>
              </w:tc>
              <w:tc>
                <w:tcPr>
                  <w:tcW w:w="1447" w:type="dxa"/>
                  <w:vAlign w:val="center"/>
                </w:tcPr>
                <w:p w14:paraId="08CC64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60°~90°</w:t>
                  </w:r>
                </w:p>
              </w:tc>
            </w:tr>
            <w:tr w14:paraId="28AE59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213D78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11</w:t>
                  </w:r>
                </w:p>
              </w:tc>
              <w:tc>
                <w:tcPr>
                  <w:tcW w:w="1324" w:type="dxa"/>
                  <w:vMerge w:val="continue"/>
                  <w:tcBorders>
                    <w:top w:val="nil"/>
                    <w:bottom w:val="nil"/>
                  </w:tcBorders>
                  <w:vAlign w:val="center"/>
                </w:tcPr>
                <w:p w14:paraId="7D77C2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restart"/>
                  <w:tcBorders>
                    <w:bottom w:val="nil"/>
                  </w:tcBorders>
                  <w:vAlign w:val="center"/>
                </w:tcPr>
                <w:p w14:paraId="3FCAFD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ZB1</w:t>
                  </w:r>
                </w:p>
              </w:tc>
              <w:tc>
                <w:tcPr>
                  <w:tcW w:w="1757" w:type="dxa"/>
                  <w:vMerge w:val="restart"/>
                  <w:tcBorders>
                    <w:bottom w:val="nil"/>
                  </w:tcBorders>
                  <w:vAlign w:val="center"/>
                </w:tcPr>
                <w:p w14:paraId="1BBABB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直线塔</w:t>
                  </w:r>
                </w:p>
              </w:tc>
              <w:tc>
                <w:tcPr>
                  <w:tcW w:w="1806" w:type="dxa"/>
                  <w:vAlign w:val="center"/>
                </w:tcPr>
                <w:p w14:paraId="735EC0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889" w:type="dxa"/>
                  <w:vAlign w:val="center"/>
                </w:tcPr>
                <w:p w14:paraId="1B5CFB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1447" w:type="dxa"/>
                  <w:vAlign w:val="center"/>
                </w:tcPr>
                <w:p w14:paraId="2323B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0A7181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28570D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bottom w:val="nil"/>
                  </w:tcBorders>
                  <w:vAlign w:val="center"/>
                </w:tcPr>
                <w:p w14:paraId="1341E6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0905F2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bottom w:val="nil"/>
                  </w:tcBorders>
                  <w:vAlign w:val="center"/>
                </w:tcPr>
                <w:p w14:paraId="619352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7F6CA8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33</w:t>
                  </w:r>
                </w:p>
              </w:tc>
              <w:tc>
                <w:tcPr>
                  <w:tcW w:w="889" w:type="dxa"/>
                  <w:vAlign w:val="center"/>
                </w:tcPr>
                <w:p w14:paraId="172EBF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26</w:t>
                  </w:r>
                </w:p>
              </w:tc>
              <w:tc>
                <w:tcPr>
                  <w:tcW w:w="1447" w:type="dxa"/>
                  <w:vAlign w:val="center"/>
                </w:tcPr>
                <w:p w14:paraId="629CF7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6A35D5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030DB2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12</w:t>
                  </w:r>
                </w:p>
              </w:tc>
              <w:tc>
                <w:tcPr>
                  <w:tcW w:w="1324" w:type="dxa"/>
                  <w:vMerge w:val="continue"/>
                  <w:tcBorders>
                    <w:top w:val="nil"/>
                    <w:bottom w:val="nil"/>
                  </w:tcBorders>
                  <w:vAlign w:val="center"/>
                </w:tcPr>
                <w:p w14:paraId="49A6DB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restart"/>
                  <w:tcBorders>
                    <w:bottom w:val="nil"/>
                  </w:tcBorders>
                  <w:vAlign w:val="center"/>
                </w:tcPr>
                <w:p w14:paraId="2A1FBE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ZB2</w:t>
                  </w:r>
                </w:p>
              </w:tc>
              <w:tc>
                <w:tcPr>
                  <w:tcW w:w="1757" w:type="dxa"/>
                  <w:vMerge w:val="continue"/>
                  <w:tcBorders>
                    <w:top w:val="nil"/>
                    <w:bottom w:val="nil"/>
                  </w:tcBorders>
                  <w:vAlign w:val="center"/>
                </w:tcPr>
                <w:p w14:paraId="047404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69A8EE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36</w:t>
                  </w:r>
                </w:p>
              </w:tc>
              <w:tc>
                <w:tcPr>
                  <w:tcW w:w="889" w:type="dxa"/>
                  <w:vAlign w:val="center"/>
                </w:tcPr>
                <w:p w14:paraId="08400C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24</w:t>
                  </w:r>
                </w:p>
              </w:tc>
              <w:tc>
                <w:tcPr>
                  <w:tcW w:w="1447" w:type="dxa"/>
                  <w:vAlign w:val="center"/>
                </w:tcPr>
                <w:p w14:paraId="4113D7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7E9DA1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27E05B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bottom w:val="nil"/>
                  </w:tcBorders>
                  <w:vAlign w:val="center"/>
                </w:tcPr>
                <w:p w14:paraId="5B075D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4255E6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bottom w:val="nil"/>
                  </w:tcBorders>
                  <w:vAlign w:val="center"/>
                </w:tcPr>
                <w:p w14:paraId="5C4FC8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0BE8E2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39</w:t>
                  </w:r>
                </w:p>
              </w:tc>
              <w:tc>
                <w:tcPr>
                  <w:tcW w:w="889" w:type="dxa"/>
                  <w:vAlign w:val="center"/>
                </w:tcPr>
                <w:p w14:paraId="7DB897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w:t>
                  </w:r>
                </w:p>
              </w:tc>
              <w:tc>
                <w:tcPr>
                  <w:tcW w:w="1447" w:type="dxa"/>
                  <w:vAlign w:val="center"/>
                </w:tcPr>
                <w:p w14:paraId="0C4662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1083A6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68383C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w:t>
                  </w:r>
                </w:p>
              </w:tc>
              <w:tc>
                <w:tcPr>
                  <w:tcW w:w="1324" w:type="dxa"/>
                  <w:vMerge w:val="continue"/>
                  <w:tcBorders>
                    <w:top w:val="nil"/>
                    <w:bottom w:val="nil"/>
                  </w:tcBorders>
                  <w:vAlign w:val="center"/>
                </w:tcPr>
                <w:p w14:paraId="758BBA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restart"/>
                  <w:tcBorders>
                    <w:bottom w:val="nil"/>
                  </w:tcBorders>
                  <w:vAlign w:val="center"/>
                </w:tcPr>
                <w:p w14:paraId="7AB17A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ZB3</w:t>
                  </w:r>
                </w:p>
              </w:tc>
              <w:tc>
                <w:tcPr>
                  <w:tcW w:w="1757" w:type="dxa"/>
                  <w:vMerge w:val="continue"/>
                  <w:tcBorders>
                    <w:top w:val="nil"/>
                    <w:bottom w:val="nil"/>
                  </w:tcBorders>
                  <w:vAlign w:val="center"/>
                </w:tcPr>
                <w:p w14:paraId="08A8F5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57B051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42</w:t>
                  </w:r>
                </w:p>
              </w:tc>
              <w:tc>
                <w:tcPr>
                  <w:tcW w:w="889" w:type="dxa"/>
                  <w:vAlign w:val="center"/>
                </w:tcPr>
                <w:p w14:paraId="56CBBA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20</w:t>
                  </w:r>
                </w:p>
              </w:tc>
              <w:tc>
                <w:tcPr>
                  <w:tcW w:w="1447" w:type="dxa"/>
                  <w:vAlign w:val="center"/>
                </w:tcPr>
                <w:p w14:paraId="3CA2C1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76119C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5CAFAB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bottom w:val="nil"/>
                  </w:tcBorders>
                  <w:vAlign w:val="center"/>
                </w:tcPr>
                <w:p w14:paraId="6A80F4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753F78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bottom w:val="nil"/>
                  </w:tcBorders>
                  <w:vAlign w:val="center"/>
                </w:tcPr>
                <w:p w14:paraId="7C166B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07348A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w:t>
                  </w:r>
                </w:p>
              </w:tc>
              <w:tc>
                <w:tcPr>
                  <w:tcW w:w="889" w:type="dxa"/>
                  <w:vAlign w:val="center"/>
                </w:tcPr>
                <w:p w14:paraId="5B1D30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18</w:t>
                  </w:r>
                </w:p>
              </w:tc>
              <w:tc>
                <w:tcPr>
                  <w:tcW w:w="1447" w:type="dxa"/>
                  <w:vAlign w:val="center"/>
                </w:tcPr>
                <w:p w14:paraId="7F2108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7C3DAC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652DD7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14</w:t>
                  </w:r>
                </w:p>
              </w:tc>
              <w:tc>
                <w:tcPr>
                  <w:tcW w:w="1324" w:type="dxa"/>
                  <w:vMerge w:val="continue"/>
                  <w:tcBorders>
                    <w:top w:val="nil"/>
                    <w:bottom w:val="nil"/>
                  </w:tcBorders>
                  <w:vAlign w:val="center"/>
                </w:tcPr>
                <w:p w14:paraId="557742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restart"/>
                  <w:tcBorders>
                    <w:bottom w:val="nil"/>
                  </w:tcBorders>
                  <w:vAlign w:val="center"/>
                </w:tcPr>
                <w:p w14:paraId="509936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ZBK</w:t>
                  </w:r>
                </w:p>
              </w:tc>
              <w:tc>
                <w:tcPr>
                  <w:tcW w:w="1757" w:type="dxa"/>
                  <w:vMerge w:val="continue"/>
                  <w:tcBorders>
                    <w:top w:val="nil"/>
                    <w:bottom w:val="nil"/>
                  </w:tcBorders>
                  <w:vAlign w:val="center"/>
                </w:tcPr>
                <w:p w14:paraId="75F31B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0DEB5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51</w:t>
                  </w:r>
                </w:p>
              </w:tc>
              <w:tc>
                <w:tcPr>
                  <w:tcW w:w="889" w:type="dxa"/>
                  <w:vAlign w:val="center"/>
                </w:tcPr>
                <w:p w14:paraId="313DB3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16</w:t>
                  </w:r>
                </w:p>
              </w:tc>
              <w:tc>
                <w:tcPr>
                  <w:tcW w:w="1447" w:type="dxa"/>
                  <w:vAlign w:val="center"/>
                </w:tcPr>
                <w:p w14:paraId="03C65E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13D08A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2B9ADF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bottom w:val="nil"/>
                  </w:tcBorders>
                  <w:vAlign w:val="center"/>
                </w:tcPr>
                <w:p w14:paraId="1B2F74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37FBCD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bottom w:val="nil"/>
                  </w:tcBorders>
                  <w:vAlign w:val="center"/>
                </w:tcPr>
                <w:p w14:paraId="1AB814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11136E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54</w:t>
                  </w:r>
                </w:p>
              </w:tc>
              <w:tc>
                <w:tcPr>
                  <w:tcW w:w="889" w:type="dxa"/>
                  <w:vAlign w:val="center"/>
                </w:tcPr>
                <w:p w14:paraId="478944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14</w:t>
                  </w:r>
                </w:p>
              </w:tc>
              <w:tc>
                <w:tcPr>
                  <w:tcW w:w="1447" w:type="dxa"/>
                  <w:vAlign w:val="center"/>
                </w:tcPr>
                <w:p w14:paraId="770AC4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7251AA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33E232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15</w:t>
                  </w:r>
                </w:p>
              </w:tc>
              <w:tc>
                <w:tcPr>
                  <w:tcW w:w="1324" w:type="dxa"/>
                  <w:vMerge w:val="continue"/>
                  <w:tcBorders>
                    <w:top w:val="nil"/>
                    <w:bottom w:val="nil"/>
                  </w:tcBorders>
                  <w:vAlign w:val="center"/>
                </w:tcPr>
                <w:p w14:paraId="2BD594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restart"/>
                  <w:tcBorders>
                    <w:bottom w:val="nil"/>
                  </w:tcBorders>
                  <w:vAlign w:val="center"/>
                </w:tcPr>
                <w:p w14:paraId="44DFC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ZMC2</w:t>
                  </w:r>
                </w:p>
              </w:tc>
              <w:tc>
                <w:tcPr>
                  <w:tcW w:w="1757" w:type="dxa"/>
                  <w:vMerge w:val="continue"/>
                  <w:tcBorders>
                    <w:top w:val="nil"/>
                    <w:bottom w:val="nil"/>
                  </w:tcBorders>
                  <w:vAlign w:val="center"/>
                </w:tcPr>
                <w:p w14:paraId="733C24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638221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w:t>
                  </w:r>
                </w:p>
              </w:tc>
              <w:tc>
                <w:tcPr>
                  <w:tcW w:w="889" w:type="dxa"/>
                  <w:vAlign w:val="center"/>
                </w:tcPr>
                <w:p w14:paraId="59366C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32</w:t>
                  </w:r>
                </w:p>
              </w:tc>
              <w:tc>
                <w:tcPr>
                  <w:tcW w:w="1447" w:type="dxa"/>
                  <w:vAlign w:val="center"/>
                </w:tcPr>
                <w:p w14:paraId="1736A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65E070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590D85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bottom w:val="nil"/>
                  </w:tcBorders>
                  <w:vAlign w:val="center"/>
                </w:tcPr>
                <w:p w14:paraId="419453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5AD382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bottom w:val="nil"/>
                  </w:tcBorders>
                  <w:vAlign w:val="center"/>
                </w:tcPr>
                <w:p w14:paraId="14643E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0F5A42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48</w:t>
                  </w:r>
                </w:p>
              </w:tc>
              <w:tc>
                <w:tcPr>
                  <w:tcW w:w="889" w:type="dxa"/>
                  <w:vAlign w:val="center"/>
                </w:tcPr>
                <w:p w14:paraId="0565F2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1447" w:type="dxa"/>
                  <w:vAlign w:val="center"/>
                </w:tcPr>
                <w:p w14:paraId="045892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4985A8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0C7DD5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16</w:t>
                  </w:r>
                </w:p>
              </w:tc>
              <w:tc>
                <w:tcPr>
                  <w:tcW w:w="1324" w:type="dxa"/>
                  <w:vMerge w:val="continue"/>
                  <w:tcBorders>
                    <w:top w:val="nil"/>
                    <w:bottom w:val="nil"/>
                  </w:tcBorders>
                  <w:vAlign w:val="center"/>
                </w:tcPr>
                <w:p w14:paraId="398E1B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Align w:val="center"/>
                </w:tcPr>
                <w:p w14:paraId="3D9566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ZMC3</w:t>
                  </w:r>
                </w:p>
              </w:tc>
              <w:tc>
                <w:tcPr>
                  <w:tcW w:w="1757" w:type="dxa"/>
                  <w:vMerge w:val="continue"/>
                  <w:tcBorders>
                    <w:top w:val="nil"/>
                    <w:bottom w:val="nil"/>
                  </w:tcBorders>
                  <w:vAlign w:val="center"/>
                </w:tcPr>
                <w:p w14:paraId="515B8E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35D194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45</w:t>
                  </w:r>
                </w:p>
              </w:tc>
              <w:tc>
                <w:tcPr>
                  <w:tcW w:w="889" w:type="dxa"/>
                  <w:vAlign w:val="center"/>
                </w:tcPr>
                <w:p w14:paraId="0532E4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28</w:t>
                  </w:r>
                </w:p>
              </w:tc>
              <w:tc>
                <w:tcPr>
                  <w:tcW w:w="1447" w:type="dxa"/>
                  <w:vAlign w:val="center"/>
                </w:tcPr>
                <w:p w14:paraId="6FD5F0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5384BB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54F768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17</w:t>
                  </w:r>
                </w:p>
              </w:tc>
              <w:tc>
                <w:tcPr>
                  <w:tcW w:w="1324" w:type="dxa"/>
                  <w:vMerge w:val="continue"/>
                  <w:tcBorders>
                    <w:top w:val="nil"/>
                    <w:bottom w:val="nil"/>
                  </w:tcBorders>
                  <w:vAlign w:val="center"/>
                </w:tcPr>
                <w:p w14:paraId="5B4F99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Align w:val="center"/>
                </w:tcPr>
                <w:p w14:paraId="49CC24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ZMC4</w:t>
                  </w:r>
                </w:p>
              </w:tc>
              <w:tc>
                <w:tcPr>
                  <w:tcW w:w="1757" w:type="dxa"/>
                  <w:vMerge w:val="continue"/>
                  <w:tcBorders>
                    <w:top w:val="nil"/>
                    <w:bottom w:val="nil"/>
                  </w:tcBorders>
                  <w:vAlign w:val="center"/>
                </w:tcPr>
                <w:p w14:paraId="01AA20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7CE345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51</w:t>
                  </w:r>
                </w:p>
              </w:tc>
              <w:tc>
                <w:tcPr>
                  <w:tcW w:w="889" w:type="dxa"/>
                  <w:vAlign w:val="center"/>
                </w:tcPr>
                <w:p w14:paraId="24FE96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26</w:t>
                  </w:r>
                </w:p>
              </w:tc>
              <w:tc>
                <w:tcPr>
                  <w:tcW w:w="1447" w:type="dxa"/>
                  <w:vAlign w:val="center"/>
                </w:tcPr>
                <w:p w14:paraId="79950B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48EE5C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restart"/>
                  <w:tcBorders>
                    <w:bottom w:val="nil"/>
                  </w:tcBorders>
                  <w:vAlign w:val="center"/>
                </w:tcPr>
                <w:p w14:paraId="4E1DC8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18</w:t>
                  </w:r>
                </w:p>
              </w:tc>
              <w:tc>
                <w:tcPr>
                  <w:tcW w:w="1324" w:type="dxa"/>
                  <w:vMerge w:val="continue"/>
                  <w:tcBorders>
                    <w:top w:val="nil"/>
                    <w:bottom w:val="nil"/>
                  </w:tcBorders>
                  <w:vAlign w:val="center"/>
                </w:tcPr>
                <w:p w14:paraId="2928D5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restart"/>
                  <w:tcBorders>
                    <w:bottom w:val="nil"/>
                  </w:tcBorders>
                  <w:vAlign w:val="center"/>
                </w:tcPr>
                <w:p w14:paraId="12E18E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ZMCK</w:t>
                  </w:r>
                </w:p>
              </w:tc>
              <w:tc>
                <w:tcPr>
                  <w:tcW w:w="1757" w:type="dxa"/>
                  <w:vMerge w:val="continue"/>
                  <w:tcBorders>
                    <w:top w:val="nil"/>
                    <w:bottom w:val="nil"/>
                  </w:tcBorders>
                  <w:vAlign w:val="center"/>
                </w:tcPr>
                <w:p w14:paraId="533BAB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3FAAF3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51</w:t>
                  </w:r>
                </w:p>
              </w:tc>
              <w:tc>
                <w:tcPr>
                  <w:tcW w:w="889" w:type="dxa"/>
                  <w:vAlign w:val="center"/>
                </w:tcPr>
                <w:p w14:paraId="0F9618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w:t>
                  </w:r>
                </w:p>
              </w:tc>
              <w:tc>
                <w:tcPr>
                  <w:tcW w:w="1447" w:type="dxa"/>
                  <w:vAlign w:val="center"/>
                </w:tcPr>
                <w:p w14:paraId="2CC3D9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76815F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Merge w:val="continue"/>
                  <w:tcBorders>
                    <w:top w:val="nil"/>
                  </w:tcBorders>
                  <w:vAlign w:val="center"/>
                </w:tcPr>
                <w:p w14:paraId="575129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324" w:type="dxa"/>
                  <w:vMerge w:val="continue"/>
                  <w:tcBorders>
                    <w:top w:val="nil"/>
                  </w:tcBorders>
                  <w:vAlign w:val="center"/>
                </w:tcPr>
                <w:p w14:paraId="7BB738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630" w:type="dxa"/>
                  <w:vMerge w:val="continue"/>
                  <w:tcBorders>
                    <w:top w:val="nil"/>
                  </w:tcBorders>
                  <w:vAlign w:val="center"/>
                </w:tcPr>
                <w:p w14:paraId="6B3B9A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757" w:type="dxa"/>
                  <w:vMerge w:val="continue"/>
                  <w:tcBorders>
                    <w:top w:val="nil"/>
                  </w:tcBorders>
                  <w:vAlign w:val="center"/>
                </w:tcPr>
                <w:p w14:paraId="27ABC1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p>
              </w:tc>
              <w:tc>
                <w:tcPr>
                  <w:tcW w:w="1806" w:type="dxa"/>
                  <w:vAlign w:val="center"/>
                </w:tcPr>
                <w:p w14:paraId="034384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54</w:t>
                  </w:r>
                </w:p>
              </w:tc>
              <w:tc>
                <w:tcPr>
                  <w:tcW w:w="889" w:type="dxa"/>
                  <w:vAlign w:val="center"/>
                </w:tcPr>
                <w:p w14:paraId="55458C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24</w:t>
                  </w:r>
                </w:p>
              </w:tc>
              <w:tc>
                <w:tcPr>
                  <w:tcW w:w="1447" w:type="dxa"/>
                  <w:vAlign w:val="center"/>
                </w:tcPr>
                <w:p w14:paraId="1B5BC5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2414DF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481" w:type="dxa"/>
                  <w:vAlign w:val="center"/>
                </w:tcPr>
                <w:p w14:paraId="22800C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合计</w:t>
                  </w:r>
                </w:p>
              </w:tc>
              <w:tc>
                <w:tcPr>
                  <w:tcW w:w="7853" w:type="dxa"/>
                  <w:gridSpan w:val="6"/>
                  <w:vAlign w:val="center"/>
                </w:tcPr>
                <w:p w14:paraId="71C71A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双回路耐张塔5基，单回路耐张塔51基，单回路直线塔340基，共计396基。</w:t>
                  </w:r>
                </w:p>
              </w:tc>
            </w:tr>
          </w:tbl>
          <w:p w14:paraId="057EACDE">
            <w:pPr>
              <w:pStyle w:val="76"/>
              <w:keepNext w:val="0"/>
              <w:keepLines w:val="0"/>
              <w:widowControl w:val="0"/>
              <w:suppressLineNumbers w:val="0"/>
              <w:bidi w:val="0"/>
              <w:adjustRightInd/>
              <w:snapToGrid/>
              <w:spacing w:before="0" w:beforeLines="-2147483648" w:beforeAutospacing="0" w:after="0" w:afterLines="-2147483648" w:afterAutospacing="0" w:line="240" w:lineRule="auto"/>
              <w:ind w:left="0" w:right="0" w:firstLine="0" w:firstLineChars="0"/>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pPr>
            <w:r>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t>表 2-</w:t>
            </w:r>
            <w:r>
              <w:rPr>
                <w:rFonts w:hint="eastAsia" w:ascii="Times New Roman" w:cstheme="minorBidi"/>
                <w:bCs/>
                <w:color w:val="000000" w:themeColor="text1"/>
                <w:kern w:val="2"/>
                <w:sz w:val="24"/>
                <w:szCs w:val="24"/>
                <w:lang w:val="en-US" w:eastAsia="zh-CN"/>
                <w14:textFill>
                  <w14:solidFill>
                    <w14:schemeClr w14:val="tx1"/>
                  </w14:solidFill>
                </w14:textFill>
              </w:rPr>
              <w:t>6</w:t>
            </w:r>
            <w:r>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t xml:space="preserve"> </w:t>
            </w:r>
            <w:r>
              <w:rPr>
                <w:rFonts w:hint="eastAsia" w:ascii="Times New Roman" w:cstheme="minorBidi"/>
                <w:bCs/>
                <w:color w:val="000000" w:themeColor="text1"/>
                <w:kern w:val="2"/>
                <w:sz w:val="24"/>
                <w:szCs w:val="24"/>
                <w:lang w:val="en-US" w:eastAsia="zh-CN"/>
                <w14:textFill>
                  <w14:solidFill>
                    <w14:schemeClr w14:val="tx1"/>
                  </w14:solidFill>
                </w14:textFill>
              </w:rPr>
              <w:t>改造</w:t>
            </w:r>
            <w:r>
              <w:rPr>
                <w:rFonts w:hint="eastAsia" w:ascii="Times New Roman" w:hAnsi="Times New Roman" w:eastAsia="宋体" w:cstheme="minorBidi"/>
                <w:bCs/>
                <w:color w:val="000000" w:themeColor="text1"/>
                <w:kern w:val="2"/>
                <w:sz w:val="24"/>
                <w:szCs w:val="24"/>
                <w:lang w:val="en-US" w:eastAsia="zh-CN"/>
                <w14:textFill>
                  <w14:solidFill>
                    <w14:schemeClr w14:val="tx1"/>
                  </w14:solidFill>
                </w14:textFill>
              </w:rPr>
              <w:t>线路杆塔一览表</w:t>
            </w:r>
          </w:p>
          <w:tbl>
            <w:tblPr>
              <w:tblStyle w:val="92"/>
              <w:tblW w:w="833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165"/>
              <w:gridCol w:w="1193"/>
              <w:gridCol w:w="517"/>
              <w:gridCol w:w="1598"/>
              <w:gridCol w:w="2233"/>
              <w:gridCol w:w="632"/>
              <w:gridCol w:w="993"/>
            </w:tblGrid>
            <w:tr w14:paraId="3729ED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7" w:hRule="atLeast"/>
              </w:trPr>
              <w:tc>
                <w:tcPr>
                  <w:tcW w:w="1165" w:type="dxa"/>
                  <w:vMerge w:val="restart"/>
                  <w:tcBorders>
                    <w:bottom w:val="nil"/>
                  </w:tcBorders>
                  <w:vAlign w:val="center"/>
                </w:tcPr>
                <w:p w14:paraId="4DF2BA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序号</w:t>
                  </w:r>
                </w:p>
              </w:tc>
              <w:tc>
                <w:tcPr>
                  <w:tcW w:w="3308" w:type="dxa"/>
                  <w:gridSpan w:val="3"/>
                  <w:vAlign w:val="center"/>
                </w:tcPr>
                <w:p w14:paraId="49A186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铁塔</w:t>
                  </w:r>
                </w:p>
              </w:tc>
              <w:tc>
                <w:tcPr>
                  <w:tcW w:w="2233" w:type="dxa"/>
                  <w:vMerge w:val="restart"/>
                  <w:tcBorders>
                    <w:bottom w:val="nil"/>
                  </w:tcBorders>
                  <w:vAlign w:val="center"/>
                </w:tcPr>
                <w:p w14:paraId="102D45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铁塔呼称高（m)</w:t>
                  </w:r>
                </w:p>
              </w:tc>
              <w:tc>
                <w:tcPr>
                  <w:tcW w:w="632" w:type="dxa"/>
                  <w:vMerge w:val="restart"/>
                  <w:tcBorders>
                    <w:bottom w:val="nil"/>
                  </w:tcBorders>
                  <w:vAlign w:val="center"/>
                </w:tcPr>
                <w:p w14:paraId="6317F9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基数</w:t>
                  </w:r>
                </w:p>
              </w:tc>
              <w:tc>
                <w:tcPr>
                  <w:tcW w:w="993" w:type="dxa"/>
                  <w:vMerge w:val="restart"/>
                  <w:tcBorders>
                    <w:bottom w:val="nil"/>
                  </w:tcBorders>
                  <w:vAlign w:val="center"/>
                </w:tcPr>
                <w:p w14:paraId="16AD6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转角度数</w:t>
                  </w:r>
                </w:p>
              </w:tc>
            </w:tr>
            <w:tr w14:paraId="4815C2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7" w:hRule="atLeast"/>
              </w:trPr>
              <w:tc>
                <w:tcPr>
                  <w:tcW w:w="1165" w:type="dxa"/>
                  <w:vMerge w:val="continue"/>
                  <w:tcBorders>
                    <w:top w:val="nil"/>
                  </w:tcBorders>
                  <w:vAlign w:val="center"/>
                </w:tcPr>
                <w:p w14:paraId="32DB0D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p>
              </w:tc>
              <w:tc>
                <w:tcPr>
                  <w:tcW w:w="1193" w:type="dxa"/>
                  <w:vAlign w:val="center"/>
                </w:tcPr>
                <w:p w14:paraId="55D9B2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模块</w:t>
                  </w:r>
                </w:p>
              </w:tc>
              <w:tc>
                <w:tcPr>
                  <w:tcW w:w="517" w:type="dxa"/>
                  <w:vAlign w:val="center"/>
                </w:tcPr>
                <w:p w14:paraId="21FAF8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名称</w:t>
                  </w:r>
                </w:p>
              </w:tc>
              <w:tc>
                <w:tcPr>
                  <w:tcW w:w="1598" w:type="dxa"/>
                  <w:vAlign w:val="center"/>
                </w:tcPr>
                <w:p w14:paraId="5581C3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类别</w:t>
                  </w:r>
                </w:p>
              </w:tc>
              <w:tc>
                <w:tcPr>
                  <w:tcW w:w="2233" w:type="dxa"/>
                  <w:vMerge w:val="continue"/>
                  <w:tcBorders>
                    <w:top w:val="nil"/>
                  </w:tcBorders>
                  <w:vAlign w:val="center"/>
                </w:tcPr>
                <w:p w14:paraId="6333CB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p>
              </w:tc>
              <w:tc>
                <w:tcPr>
                  <w:tcW w:w="632" w:type="dxa"/>
                  <w:vMerge w:val="continue"/>
                  <w:tcBorders>
                    <w:top w:val="nil"/>
                  </w:tcBorders>
                  <w:vAlign w:val="center"/>
                </w:tcPr>
                <w:p w14:paraId="7A37A2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p>
              </w:tc>
              <w:tc>
                <w:tcPr>
                  <w:tcW w:w="993" w:type="dxa"/>
                  <w:vMerge w:val="continue"/>
                  <w:tcBorders>
                    <w:top w:val="nil"/>
                  </w:tcBorders>
                  <w:vAlign w:val="center"/>
                </w:tcPr>
                <w:p w14:paraId="413EAE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p>
              </w:tc>
            </w:tr>
            <w:tr w14:paraId="64EAAA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7" w:hRule="atLeast"/>
              </w:trPr>
              <w:tc>
                <w:tcPr>
                  <w:tcW w:w="1165" w:type="dxa"/>
                  <w:vAlign w:val="center"/>
                </w:tcPr>
                <w:p w14:paraId="3AB6CF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p>
              </w:tc>
              <w:tc>
                <w:tcPr>
                  <w:tcW w:w="1193" w:type="dxa"/>
                  <w:vMerge w:val="restart"/>
                  <w:tcBorders>
                    <w:bottom w:val="nil"/>
                  </w:tcBorders>
                  <w:vAlign w:val="center"/>
                </w:tcPr>
                <w:p w14:paraId="191AAC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220-ED21D</w:t>
                  </w:r>
                </w:p>
              </w:tc>
              <w:tc>
                <w:tcPr>
                  <w:tcW w:w="517" w:type="dxa"/>
                  <w:vMerge w:val="restart"/>
                  <w:tcBorders>
                    <w:bottom w:val="nil"/>
                  </w:tcBorders>
                  <w:vAlign w:val="center"/>
                </w:tcPr>
                <w:p w14:paraId="6FCC6B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DJ</w:t>
                  </w:r>
                </w:p>
              </w:tc>
              <w:tc>
                <w:tcPr>
                  <w:tcW w:w="1598" w:type="dxa"/>
                  <w:vMerge w:val="restart"/>
                  <w:tcBorders>
                    <w:bottom w:val="nil"/>
                  </w:tcBorders>
                  <w:vAlign w:val="center"/>
                </w:tcPr>
                <w:p w14:paraId="436516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单回路耐张塔</w:t>
                  </w:r>
                </w:p>
              </w:tc>
              <w:tc>
                <w:tcPr>
                  <w:tcW w:w="2233" w:type="dxa"/>
                  <w:vAlign w:val="center"/>
                </w:tcPr>
                <w:p w14:paraId="3F2173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24</w:t>
                  </w:r>
                </w:p>
              </w:tc>
              <w:tc>
                <w:tcPr>
                  <w:tcW w:w="632" w:type="dxa"/>
                  <w:vAlign w:val="center"/>
                </w:tcPr>
                <w:p w14:paraId="703FDB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w:t>
                  </w:r>
                </w:p>
              </w:tc>
              <w:tc>
                <w:tcPr>
                  <w:tcW w:w="993" w:type="dxa"/>
                  <w:vMerge w:val="restart"/>
                  <w:tcBorders>
                    <w:bottom w:val="nil"/>
                  </w:tcBorders>
                  <w:vAlign w:val="center"/>
                </w:tcPr>
                <w:p w14:paraId="25D5C6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0°~90°</w:t>
                  </w:r>
                </w:p>
              </w:tc>
            </w:tr>
            <w:tr w14:paraId="067E7A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7" w:hRule="atLeast"/>
              </w:trPr>
              <w:tc>
                <w:tcPr>
                  <w:tcW w:w="1165" w:type="dxa"/>
                  <w:vAlign w:val="center"/>
                </w:tcPr>
                <w:p w14:paraId="35EF68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w:t>
                  </w:r>
                </w:p>
              </w:tc>
              <w:tc>
                <w:tcPr>
                  <w:tcW w:w="1193" w:type="dxa"/>
                  <w:vMerge w:val="continue"/>
                  <w:tcBorders>
                    <w:top w:val="nil"/>
                  </w:tcBorders>
                  <w:vAlign w:val="center"/>
                </w:tcPr>
                <w:p w14:paraId="08707C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p>
              </w:tc>
              <w:tc>
                <w:tcPr>
                  <w:tcW w:w="517" w:type="dxa"/>
                  <w:vMerge w:val="continue"/>
                  <w:tcBorders>
                    <w:top w:val="nil"/>
                  </w:tcBorders>
                  <w:vAlign w:val="center"/>
                </w:tcPr>
                <w:p w14:paraId="2F0939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p>
              </w:tc>
              <w:tc>
                <w:tcPr>
                  <w:tcW w:w="1598" w:type="dxa"/>
                  <w:vMerge w:val="continue"/>
                  <w:tcBorders>
                    <w:top w:val="nil"/>
                  </w:tcBorders>
                  <w:vAlign w:val="center"/>
                </w:tcPr>
                <w:p w14:paraId="740491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p>
              </w:tc>
              <w:tc>
                <w:tcPr>
                  <w:tcW w:w="2233" w:type="dxa"/>
                  <w:vAlign w:val="center"/>
                </w:tcPr>
                <w:p w14:paraId="2703F7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30</w:t>
                  </w:r>
                </w:p>
              </w:tc>
              <w:tc>
                <w:tcPr>
                  <w:tcW w:w="632" w:type="dxa"/>
                  <w:vAlign w:val="center"/>
                </w:tcPr>
                <w:p w14:paraId="410DB6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w:t>
                  </w:r>
                </w:p>
              </w:tc>
              <w:tc>
                <w:tcPr>
                  <w:tcW w:w="993" w:type="dxa"/>
                  <w:vMerge w:val="continue"/>
                  <w:tcBorders>
                    <w:top w:val="nil"/>
                  </w:tcBorders>
                  <w:vAlign w:val="center"/>
                </w:tcPr>
                <w:p w14:paraId="78CB21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p>
              </w:tc>
            </w:tr>
            <w:tr w14:paraId="7172FA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7" w:hRule="atLeast"/>
              </w:trPr>
              <w:tc>
                <w:tcPr>
                  <w:tcW w:w="1165" w:type="dxa"/>
                  <w:vAlign w:val="center"/>
                </w:tcPr>
                <w:p w14:paraId="2A4F7F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合计</w:t>
                  </w:r>
                </w:p>
              </w:tc>
              <w:tc>
                <w:tcPr>
                  <w:tcW w:w="7166" w:type="dxa"/>
                  <w:gridSpan w:val="6"/>
                  <w:vAlign w:val="center"/>
                </w:tcPr>
                <w:p w14:paraId="4EFD13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单回路耐张塔4基。</w:t>
                  </w:r>
                </w:p>
              </w:tc>
            </w:tr>
          </w:tbl>
          <w:p w14:paraId="283B4081">
            <w:pPr>
              <w:keepNext w:val="0"/>
              <w:keepLines w:val="0"/>
              <w:suppressLineNumbers w:val="0"/>
              <w:adjustRightInd w:val="0"/>
              <w:snapToGrid w:val="0"/>
              <w:spacing w:before="0" w:beforeAutospacing="0" w:after="0" w:afterAutospacing="0" w:line="360" w:lineRule="auto"/>
              <w:ind w:left="0" w:right="0" w:firstLine="482" w:firstLineChars="200"/>
              <w:jc w:val="left"/>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b/>
                <w:bCs/>
                <w:color w:val="000000" w:themeColor="text1"/>
                <w:kern w:val="0"/>
                <w:sz w:val="24"/>
                <w:lang w:val="en-US" w:eastAsia="zh-CN"/>
                <w14:textFill>
                  <w14:solidFill>
                    <w14:schemeClr w14:val="tx1"/>
                  </w14:solidFill>
                </w14:textFill>
              </w:rPr>
              <w:t>3、</w:t>
            </w:r>
            <w:r>
              <w:rPr>
                <w:rFonts w:hint="eastAsia"/>
                <w:b/>
                <w:bCs/>
                <w:color w:val="000000" w:themeColor="text1"/>
                <w:kern w:val="0"/>
                <w:sz w:val="24"/>
                <w14:textFill>
                  <w14:solidFill>
                    <w14:schemeClr w14:val="tx1"/>
                  </w14:solidFill>
                </w14:textFill>
              </w:rPr>
              <w:t>工程占地</w:t>
            </w:r>
          </w:p>
          <w:p w14:paraId="2F23BC4D">
            <w:pPr>
              <w:pStyle w:val="7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360" w:lineRule="auto"/>
              <w:ind w:left="0" w:right="0" w:firstLine="480" w:firstLineChars="200"/>
              <w:jc w:val="both"/>
              <w:textAlignment w:val="auto"/>
              <w:rPr>
                <w:rFonts w:hint="eastAsia" w:ascii="Times New Roman" w:hAnsi="Times New Roman" w:eastAsia="宋体" w:cs="Times New Roman"/>
                <w:color w:val="FF0000"/>
                <w:kern w:val="2"/>
                <w:sz w:val="24"/>
                <w:szCs w:val="24"/>
                <w:highlight w:val="none"/>
                <w:lang w:val="en-US" w:eastAsia="zh-CN" w:bidi="ar-SA"/>
              </w:rPr>
            </w:pPr>
            <w:r>
              <w:rPr>
                <w:rFonts w:hint="eastAsia" w:ascii="Times New Roman" w:hAnsi="Times New Roman" w:eastAsia="宋体" w:cs="Times New Roman"/>
                <w:color w:val="FF0000"/>
                <w:kern w:val="2"/>
                <w:sz w:val="24"/>
                <w:szCs w:val="24"/>
                <w:highlight w:val="none"/>
                <w:lang w:val="en-US" w:eastAsia="zh-CN" w:bidi="ar-SA"/>
              </w:rPr>
              <w:t>本工程总占地面积为</w:t>
            </w:r>
            <w:r>
              <w:rPr>
                <w:rFonts w:hint="eastAsia" w:eastAsia="宋体" w:cs="Times New Roman"/>
                <w:color w:val="FF0000"/>
                <w:kern w:val="2"/>
                <w:sz w:val="24"/>
                <w:szCs w:val="24"/>
                <w:highlight w:val="none"/>
                <w:lang w:val="en-US" w:eastAsia="zh-CN" w:bidi="ar-SA"/>
              </w:rPr>
              <w:t>85.86</w:t>
            </w:r>
            <w:r>
              <w:rPr>
                <w:rFonts w:hint="eastAsia" w:ascii="Times New Roman" w:hAnsi="Times New Roman" w:eastAsia="宋体" w:cs="Times New Roman"/>
                <w:color w:val="FF0000"/>
                <w:kern w:val="2"/>
                <w:sz w:val="24"/>
                <w:szCs w:val="24"/>
                <w:highlight w:val="none"/>
                <w:lang w:val="en-US" w:eastAsia="zh-CN" w:bidi="ar-SA"/>
              </w:rPr>
              <w:t>hm</w:t>
            </w:r>
            <w:r>
              <w:rPr>
                <w:rFonts w:hint="eastAsia" w:ascii="Times New Roman" w:hAnsi="Times New Roman" w:eastAsia="宋体" w:cs="Times New Roman"/>
                <w:color w:val="FF0000"/>
                <w:kern w:val="2"/>
                <w:sz w:val="24"/>
                <w:szCs w:val="24"/>
                <w:highlight w:val="none"/>
                <w:vertAlign w:val="superscript"/>
                <w:lang w:val="en-US" w:eastAsia="zh-CN" w:bidi="ar-SA"/>
              </w:rPr>
              <w:t>2</w:t>
            </w:r>
            <w:r>
              <w:rPr>
                <w:rFonts w:hint="eastAsia" w:ascii="Times New Roman" w:hAnsi="Times New Roman" w:eastAsia="宋体" w:cs="Times New Roman"/>
                <w:color w:val="FF0000"/>
                <w:kern w:val="2"/>
                <w:sz w:val="24"/>
                <w:szCs w:val="24"/>
                <w:highlight w:val="none"/>
                <w:lang w:val="en-US" w:eastAsia="zh-CN" w:bidi="ar-SA"/>
              </w:rPr>
              <w:t>，其中永久占地面积</w:t>
            </w:r>
            <w:r>
              <w:rPr>
                <w:rFonts w:hint="eastAsia" w:eastAsia="宋体" w:cs="Times New Roman"/>
                <w:color w:val="FF0000"/>
                <w:kern w:val="2"/>
                <w:sz w:val="24"/>
                <w:szCs w:val="24"/>
                <w:highlight w:val="none"/>
                <w:lang w:val="en-US" w:eastAsia="zh-CN" w:bidi="ar-SA"/>
              </w:rPr>
              <w:t>5.32</w:t>
            </w:r>
            <w:r>
              <w:rPr>
                <w:rFonts w:hint="eastAsia" w:ascii="Times New Roman" w:hAnsi="Times New Roman" w:eastAsia="宋体" w:cs="Times New Roman"/>
                <w:color w:val="FF0000"/>
                <w:kern w:val="2"/>
                <w:sz w:val="24"/>
                <w:szCs w:val="24"/>
                <w:highlight w:val="none"/>
                <w:lang w:val="en-US" w:eastAsia="zh-CN" w:bidi="ar-SA"/>
              </w:rPr>
              <w:t>hm</w:t>
            </w:r>
            <w:r>
              <w:rPr>
                <w:rFonts w:hint="eastAsia" w:ascii="Times New Roman" w:hAnsi="Times New Roman" w:eastAsia="宋体" w:cs="Times New Roman"/>
                <w:color w:val="FF0000"/>
                <w:kern w:val="2"/>
                <w:sz w:val="24"/>
                <w:szCs w:val="24"/>
                <w:highlight w:val="none"/>
                <w:vertAlign w:val="superscript"/>
                <w:lang w:val="en-US" w:eastAsia="zh-CN" w:bidi="ar-SA"/>
              </w:rPr>
              <w:t>2</w:t>
            </w:r>
            <w:r>
              <w:rPr>
                <w:rFonts w:hint="eastAsia" w:ascii="Times New Roman" w:hAnsi="Times New Roman" w:eastAsia="宋体" w:cs="Times New Roman"/>
                <w:color w:val="FF0000"/>
                <w:kern w:val="2"/>
                <w:sz w:val="24"/>
                <w:szCs w:val="24"/>
                <w:highlight w:val="none"/>
                <w:lang w:val="en-US" w:eastAsia="zh-CN" w:bidi="ar-SA"/>
              </w:rPr>
              <w:t>，临时占地面积</w:t>
            </w:r>
            <w:r>
              <w:rPr>
                <w:rFonts w:hint="eastAsia" w:eastAsia="宋体" w:cs="Times New Roman"/>
                <w:color w:val="FF0000"/>
                <w:kern w:val="2"/>
                <w:sz w:val="24"/>
                <w:szCs w:val="24"/>
                <w:highlight w:val="none"/>
                <w:lang w:val="en-US" w:eastAsia="zh-CN" w:bidi="ar-SA"/>
              </w:rPr>
              <w:t>80.54</w:t>
            </w:r>
            <w:r>
              <w:rPr>
                <w:rFonts w:hint="eastAsia" w:ascii="Times New Roman" w:hAnsi="Times New Roman" w:eastAsia="宋体" w:cs="Times New Roman"/>
                <w:color w:val="FF0000"/>
                <w:kern w:val="2"/>
                <w:sz w:val="24"/>
                <w:szCs w:val="24"/>
                <w:highlight w:val="none"/>
                <w:lang w:val="en-US" w:eastAsia="zh-CN" w:bidi="ar-SA"/>
              </w:rPr>
              <w:t>hm</w:t>
            </w:r>
            <w:r>
              <w:rPr>
                <w:rFonts w:hint="eastAsia" w:ascii="Times New Roman" w:hAnsi="Times New Roman" w:eastAsia="宋体" w:cs="Times New Roman"/>
                <w:color w:val="FF0000"/>
                <w:kern w:val="2"/>
                <w:sz w:val="24"/>
                <w:szCs w:val="24"/>
                <w:highlight w:val="none"/>
                <w:vertAlign w:val="superscript"/>
                <w:lang w:val="en-US" w:eastAsia="zh-CN" w:bidi="ar-SA"/>
              </w:rPr>
              <w:t>2</w:t>
            </w:r>
            <w:r>
              <w:rPr>
                <w:rFonts w:hint="eastAsia" w:ascii="Times New Roman" w:hAnsi="Times New Roman" w:eastAsia="宋体" w:cs="Times New Roman"/>
                <w:color w:val="FF0000"/>
                <w:kern w:val="2"/>
                <w:sz w:val="24"/>
                <w:szCs w:val="24"/>
                <w:highlight w:val="none"/>
                <w:lang w:val="en-US" w:eastAsia="zh-CN" w:bidi="ar-SA"/>
              </w:rPr>
              <w:t>。线路工程塔基</w:t>
            </w:r>
            <w:r>
              <w:rPr>
                <w:rFonts w:hint="eastAsia" w:eastAsia="宋体" w:cs="Times New Roman"/>
                <w:color w:val="FF0000"/>
                <w:kern w:val="2"/>
                <w:sz w:val="24"/>
                <w:szCs w:val="24"/>
                <w:highlight w:val="none"/>
                <w:lang w:val="en-US" w:eastAsia="zh-CN" w:bidi="ar-SA"/>
              </w:rPr>
              <w:t>永久</w:t>
            </w:r>
            <w:r>
              <w:rPr>
                <w:rFonts w:hint="eastAsia" w:ascii="Times New Roman" w:hAnsi="Times New Roman" w:eastAsia="宋体" w:cs="Times New Roman"/>
                <w:color w:val="FF0000"/>
                <w:kern w:val="2"/>
                <w:sz w:val="24"/>
                <w:szCs w:val="24"/>
                <w:highlight w:val="none"/>
                <w:lang w:val="en-US" w:eastAsia="zh-CN" w:bidi="ar-SA"/>
              </w:rPr>
              <w:t>占地为耕地</w:t>
            </w:r>
            <w:r>
              <w:rPr>
                <w:rFonts w:hint="eastAsia" w:eastAsia="宋体" w:cs="Times New Roman"/>
                <w:color w:val="FF0000"/>
                <w:kern w:val="2"/>
                <w:sz w:val="24"/>
                <w:szCs w:val="24"/>
                <w:highlight w:val="none"/>
                <w:lang w:val="en-US" w:eastAsia="zh-CN" w:bidi="ar-SA"/>
              </w:rPr>
              <w:t>（为基本农田和一般农田）、林地（其他林地）、草地（其他草地），线路工程临时占地为耕地和林地（耕地为基本农田和一般农田，林地为其他林地）。</w:t>
            </w:r>
            <w:r>
              <w:rPr>
                <w:rFonts w:hint="default" w:ascii="Times New Roman" w:hAnsi="Times New Roman" w:eastAsia="宋体"/>
                <w:color w:val="FF0000"/>
                <w:sz w:val="24"/>
                <w:szCs w:val="24"/>
                <w:highlight w:val="none"/>
              </w:rPr>
              <w:t>本项目</w:t>
            </w:r>
            <w:r>
              <w:rPr>
                <w:rFonts w:hint="eastAsia" w:eastAsia="宋体"/>
                <w:color w:val="FF0000"/>
                <w:sz w:val="24"/>
                <w:szCs w:val="24"/>
                <w:highlight w:val="none"/>
                <w:lang w:val="en-US" w:eastAsia="zh-CN"/>
              </w:rPr>
              <w:t>恒山</w:t>
            </w:r>
            <w:r>
              <w:rPr>
                <w:rFonts w:hint="default" w:ascii="Times New Roman" w:hAnsi="Times New Roman" w:eastAsia="宋体"/>
                <w:color w:val="FF0000"/>
                <w:sz w:val="24"/>
                <w:szCs w:val="24"/>
                <w:highlight w:val="none"/>
              </w:rPr>
              <w:t>变电站间隔扩建</w:t>
            </w:r>
            <w:r>
              <w:rPr>
                <w:rFonts w:hint="eastAsia" w:eastAsia="宋体" w:cs="Times New Roman"/>
                <w:b w:val="0"/>
                <w:bCs w:val="0"/>
                <w:color w:val="FF0000"/>
                <w:kern w:val="2"/>
                <w:sz w:val="24"/>
                <w:szCs w:val="24"/>
                <w:highlight w:val="none"/>
                <w:lang w:val="en-US" w:eastAsia="zh-CN" w:bidi="ar-SA"/>
              </w:rPr>
              <w:t>需突破</w:t>
            </w:r>
            <w:r>
              <w:rPr>
                <w:rFonts w:hint="eastAsia" w:eastAsia="宋体" w:cs="Times New Roman"/>
                <w:b w:val="0"/>
                <w:bCs w:val="0"/>
                <w:color w:val="FF0000"/>
                <w:kern w:val="2"/>
                <w:sz w:val="24"/>
                <w:szCs w:val="24"/>
                <w:lang w:val="en-US" w:eastAsia="zh-CN" w:bidi="ar-SA"/>
              </w:rPr>
              <w:t>西北侧围墙，新征占地0.56hm</w:t>
            </w:r>
            <w:r>
              <w:rPr>
                <w:rFonts w:hint="eastAsia" w:eastAsia="宋体" w:cs="Times New Roman"/>
                <w:b w:val="0"/>
                <w:bCs w:val="0"/>
                <w:color w:val="FF0000"/>
                <w:kern w:val="2"/>
                <w:sz w:val="24"/>
                <w:szCs w:val="24"/>
                <w:vertAlign w:val="superscript"/>
                <w:lang w:val="en-US" w:eastAsia="zh-CN" w:bidi="ar-SA"/>
              </w:rPr>
              <w:t>2</w:t>
            </w:r>
            <w:r>
              <w:rPr>
                <w:rFonts w:hint="eastAsia" w:eastAsia="宋体" w:cs="Times New Roman"/>
                <w:b w:val="0"/>
                <w:bCs w:val="0"/>
                <w:color w:val="FF0000"/>
                <w:kern w:val="2"/>
                <w:sz w:val="24"/>
                <w:szCs w:val="24"/>
                <w:vertAlign w:val="baseline"/>
                <w:lang w:val="en-US" w:eastAsia="zh-CN" w:bidi="ar-SA"/>
              </w:rPr>
              <w:t>，</w:t>
            </w:r>
            <w:r>
              <w:rPr>
                <w:rFonts w:hint="eastAsia" w:eastAsia="宋体"/>
                <w:color w:val="FF0000"/>
                <w:sz w:val="24"/>
                <w:szCs w:val="24"/>
                <w:highlight w:val="none"/>
                <w:lang w:val="en-US" w:eastAsia="zh-CN"/>
              </w:rPr>
              <w:t>为一般农田</w:t>
            </w:r>
            <w:r>
              <w:rPr>
                <w:rFonts w:hint="eastAsia" w:eastAsia="宋体"/>
                <w:color w:val="FF0000"/>
                <w:sz w:val="24"/>
                <w:szCs w:val="24"/>
                <w:highlight w:val="none"/>
                <w:lang w:eastAsia="zh-CN"/>
              </w:rPr>
              <w:t>。</w:t>
            </w:r>
            <w:r>
              <w:rPr>
                <w:rFonts w:hint="eastAsia" w:eastAsia="宋体"/>
                <w:color w:val="FF0000"/>
                <w:sz w:val="24"/>
                <w:szCs w:val="24"/>
                <w:highlight w:val="none"/>
                <w:lang w:val="en-US" w:eastAsia="zh-CN"/>
              </w:rPr>
              <w:t>线路</w:t>
            </w:r>
            <w:r>
              <w:rPr>
                <w:rFonts w:hint="eastAsia" w:ascii="Times New Roman" w:hAnsi="Times New Roman" w:eastAsia="宋体" w:cs="Times New Roman"/>
                <w:color w:val="FF0000"/>
                <w:kern w:val="2"/>
                <w:sz w:val="24"/>
                <w:szCs w:val="24"/>
                <w:highlight w:val="none"/>
                <w:lang w:val="en-US" w:eastAsia="zh-CN" w:bidi="ar-SA"/>
              </w:rPr>
              <w:t>施工临时道路应尽可能利用现有道路，新建道路应严格控制道路宽度，以减少临时工程对生态环境的影响，无永久性巡查道路。塔基区的基坑开挖土方和剥离表土，全部回覆利用，不设置永久弃渣场。各区占地类型和性质见表2-</w:t>
            </w:r>
            <w:r>
              <w:rPr>
                <w:rFonts w:hint="eastAsia" w:eastAsia="宋体" w:cs="Times New Roman"/>
                <w:color w:val="FF0000"/>
                <w:kern w:val="2"/>
                <w:sz w:val="24"/>
                <w:szCs w:val="24"/>
                <w:highlight w:val="none"/>
                <w:lang w:val="en-US" w:eastAsia="zh-CN" w:bidi="ar-SA"/>
              </w:rPr>
              <w:t>7</w:t>
            </w:r>
            <w:r>
              <w:rPr>
                <w:rFonts w:hint="eastAsia" w:ascii="Times New Roman" w:hAnsi="Times New Roman" w:eastAsia="宋体" w:cs="Times New Roman"/>
                <w:color w:val="FF0000"/>
                <w:kern w:val="2"/>
                <w:sz w:val="24"/>
                <w:szCs w:val="24"/>
                <w:highlight w:val="none"/>
                <w:lang w:val="en-US" w:eastAsia="zh-CN" w:bidi="ar-SA"/>
              </w:rPr>
              <w:t>。</w:t>
            </w:r>
          </w:p>
          <w:p w14:paraId="64C71DEF">
            <w:pPr>
              <w:pStyle w:val="76"/>
              <w:keepNext w:val="0"/>
              <w:keepLines w:val="0"/>
              <w:widowControl w:val="0"/>
              <w:suppressLineNumbers w:val="0"/>
              <w:bidi w:val="0"/>
              <w:adjustRightInd/>
              <w:snapToGrid/>
              <w:spacing w:before="0" w:beforeLines="-2147483648" w:beforeAutospacing="0" w:after="0" w:afterLines="-2147483648" w:afterAutospacing="0" w:line="240" w:lineRule="auto"/>
              <w:ind w:left="0" w:right="0" w:firstLine="0" w:firstLineChars="0"/>
              <w:rPr>
                <w:rFonts w:hint="eastAsia" w:ascii="Times New Roman" w:hAnsi="Times New Roman" w:eastAsia="宋体" w:cstheme="minorBidi"/>
                <w:bCs/>
                <w:color w:val="000000" w:themeColor="text1"/>
                <w:kern w:val="2"/>
                <w:sz w:val="24"/>
                <w:szCs w:val="24"/>
                <w:highlight w:val="none"/>
                <w:vertAlign w:val="superscript"/>
                <w:lang w:val="en-US" w:eastAsia="zh-CN"/>
                <w14:textFill>
                  <w14:solidFill>
                    <w14:schemeClr w14:val="tx1"/>
                  </w14:solidFill>
                </w14:textFill>
              </w:rPr>
            </w:pPr>
            <w:r>
              <w:rPr>
                <w:rFonts w:hint="eastAsia" w:ascii="Times New Roman" w:hAnsi="Times New Roman" w:eastAsia="宋体" w:cstheme="minorBidi"/>
                <w:bCs/>
                <w:color w:val="000000" w:themeColor="text1"/>
                <w:kern w:val="2"/>
                <w:sz w:val="24"/>
                <w:szCs w:val="24"/>
                <w:highlight w:val="none"/>
                <w:lang w:val="en-US" w:eastAsia="zh-CN"/>
                <w14:textFill>
                  <w14:solidFill>
                    <w14:schemeClr w14:val="tx1"/>
                  </w14:solidFill>
                </w14:textFill>
              </w:rPr>
              <w:t>表 2-</w:t>
            </w:r>
            <w:r>
              <w:rPr>
                <w:rFonts w:hint="eastAsia" w:ascii="Times New Roman" w:cstheme="minorBidi"/>
                <w:bCs/>
                <w:color w:val="000000" w:themeColor="text1"/>
                <w:kern w:val="2"/>
                <w:sz w:val="24"/>
                <w:szCs w:val="24"/>
                <w:highlight w:val="none"/>
                <w:lang w:val="en-US" w:eastAsia="zh-CN"/>
                <w14:textFill>
                  <w14:solidFill>
                    <w14:schemeClr w14:val="tx1"/>
                  </w14:solidFill>
                </w14:textFill>
              </w:rPr>
              <w:t>7</w:t>
            </w:r>
            <w:r>
              <w:rPr>
                <w:rFonts w:hint="eastAsia" w:ascii="Times New Roman" w:hAnsi="Times New Roman" w:eastAsia="宋体" w:cstheme="minorBidi"/>
                <w:bCs/>
                <w:color w:val="000000" w:themeColor="text1"/>
                <w:kern w:val="2"/>
                <w:sz w:val="24"/>
                <w:szCs w:val="24"/>
                <w:highlight w:val="none"/>
                <w:lang w:val="en-US" w:eastAsia="zh-CN"/>
                <w14:textFill>
                  <w14:solidFill>
                    <w14:schemeClr w14:val="tx1"/>
                  </w14:solidFill>
                </w14:textFill>
              </w:rPr>
              <w:t xml:space="preserve"> 工程占地一览表 单位：</w:t>
            </w:r>
            <w:r>
              <w:rPr>
                <w:rFonts w:hint="eastAsia" w:ascii="Times New Roman" w:cstheme="minorBidi"/>
                <w:bCs/>
                <w:color w:val="000000" w:themeColor="text1"/>
                <w:kern w:val="2"/>
                <w:sz w:val="24"/>
                <w:szCs w:val="24"/>
                <w:highlight w:val="none"/>
                <w:lang w:val="en-US" w:eastAsia="zh-CN"/>
                <w14:textFill>
                  <w14:solidFill>
                    <w14:schemeClr w14:val="tx1"/>
                  </w14:solidFill>
                </w14:textFill>
              </w:rPr>
              <w:t>h</w:t>
            </w:r>
            <w:r>
              <w:rPr>
                <w:rFonts w:hint="eastAsia" w:ascii="Times New Roman" w:hAnsi="Times New Roman" w:eastAsia="宋体" w:cstheme="minorBidi"/>
                <w:bCs/>
                <w:color w:val="000000" w:themeColor="text1"/>
                <w:kern w:val="2"/>
                <w:sz w:val="24"/>
                <w:szCs w:val="24"/>
                <w:highlight w:val="none"/>
                <w:lang w:val="en-US" w:eastAsia="zh-CN"/>
                <w14:textFill>
                  <w14:solidFill>
                    <w14:schemeClr w14:val="tx1"/>
                  </w14:solidFill>
                </w14:textFill>
              </w:rPr>
              <w:t>m</w:t>
            </w:r>
            <w:r>
              <w:rPr>
                <w:rFonts w:hint="eastAsia" w:ascii="Times New Roman" w:hAnsi="Times New Roman" w:eastAsia="宋体" w:cstheme="minorBidi"/>
                <w:bCs/>
                <w:color w:val="000000" w:themeColor="text1"/>
                <w:kern w:val="2"/>
                <w:sz w:val="24"/>
                <w:szCs w:val="24"/>
                <w:highlight w:val="none"/>
                <w:vertAlign w:val="superscript"/>
                <w:lang w:val="en-US" w:eastAsia="zh-CN"/>
                <w14:textFill>
                  <w14:solidFill>
                    <w14:schemeClr w14:val="tx1"/>
                  </w14:solidFill>
                </w14:textFill>
              </w:rPr>
              <w:t>2</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597"/>
              <w:gridCol w:w="754"/>
              <w:gridCol w:w="804"/>
              <w:gridCol w:w="1490"/>
              <w:gridCol w:w="1450"/>
              <w:gridCol w:w="930"/>
              <w:gridCol w:w="869"/>
              <w:gridCol w:w="689"/>
            </w:tblGrid>
            <w:tr w14:paraId="43ED8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08" w:type="pct"/>
                  <w:gridSpan w:val="2"/>
                  <w:vMerge w:val="restart"/>
                  <w:tcBorders>
                    <w:bottom w:val="single" w:color="auto" w:sz="4" w:space="0"/>
                  </w:tcBorders>
                  <w:noWrap w:val="0"/>
                  <w:vAlign w:val="center"/>
                </w:tcPr>
                <w:p w14:paraId="56CAC71E">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项目组成及名称</w:t>
                  </w:r>
                </w:p>
              </w:tc>
              <w:tc>
                <w:tcPr>
                  <w:tcW w:w="934" w:type="pct"/>
                  <w:gridSpan w:val="2"/>
                  <w:tcBorders>
                    <w:bottom w:val="single" w:color="auto" w:sz="4" w:space="0"/>
                  </w:tcBorders>
                  <w:noWrap w:val="0"/>
                  <w:vAlign w:val="center"/>
                </w:tcPr>
                <w:p w14:paraId="07CA58C0">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占地性质</w:t>
                  </w:r>
                </w:p>
              </w:tc>
              <w:tc>
                <w:tcPr>
                  <w:tcW w:w="2843" w:type="pct"/>
                  <w:gridSpan w:val="4"/>
                  <w:tcBorders>
                    <w:bottom w:val="single" w:color="auto" w:sz="4" w:space="0"/>
                  </w:tcBorders>
                  <w:noWrap w:val="0"/>
                  <w:vAlign w:val="center"/>
                </w:tcPr>
                <w:p w14:paraId="64056FC0">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占地类型</w:t>
                  </w:r>
                </w:p>
              </w:tc>
              <w:tc>
                <w:tcPr>
                  <w:tcW w:w="413" w:type="pct"/>
                  <w:vMerge w:val="restart"/>
                  <w:noWrap w:val="0"/>
                  <w:vAlign w:val="center"/>
                </w:tcPr>
                <w:p w14:paraId="2DCC1EED">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合计</w:t>
                  </w:r>
                </w:p>
              </w:tc>
            </w:tr>
            <w:tr w14:paraId="029F8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08" w:type="pct"/>
                  <w:gridSpan w:val="2"/>
                  <w:vMerge w:val="continue"/>
                  <w:tcBorders>
                    <w:top w:val="single" w:color="auto" w:sz="4" w:space="0"/>
                    <w:bottom w:val="single" w:color="auto" w:sz="4" w:space="0"/>
                  </w:tcBorders>
                  <w:noWrap w:val="0"/>
                  <w:vAlign w:val="center"/>
                </w:tcPr>
                <w:p w14:paraId="2F7DFB13">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c>
                <w:tcPr>
                  <w:tcW w:w="452" w:type="pct"/>
                  <w:vMerge w:val="restart"/>
                  <w:tcBorders>
                    <w:top w:val="single" w:color="auto" w:sz="4" w:space="0"/>
                  </w:tcBorders>
                  <w:noWrap w:val="0"/>
                  <w:vAlign w:val="center"/>
                </w:tcPr>
                <w:p w14:paraId="2BE52EF6">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永久占地</w:t>
                  </w:r>
                </w:p>
              </w:tc>
              <w:tc>
                <w:tcPr>
                  <w:tcW w:w="482" w:type="pct"/>
                  <w:vMerge w:val="restart"/>
                  <w:tcBorders>
                    <w:top w:val="single" w:color="auto" w:sz="4" w:space="0"/>
                  </w:tcBorders>
                  <w:noWrap w:val="0"/>
                  <w:vAlign w:val="center"/>
                </w:tcPr>
                <w:p w14:paraId="126E06C4">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eastAsia"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临时占地</w:t>
                  </w:r>
                </w:p>
              </w:tc>
              <w:tc>
                <w:tcPr>
                  <w:tcW w:w="1764" w:type="pct"/>
                  <w:gridSpan w:val="2"/>
                  <w:tcBorders>
                    <w:top w:val="single" w:color="auto" w:sz="4" w:space="0"/>
                    <w:bottom w:val="single" w:color="auto" w:sz="4" w:space="0"/>
                    <w:right w:val="single" w:color="auto" w:sz="4" w:space="0"/>
                  </w:tcBorders>
                  <w:noWrap w:val="0"/>
                  <w:vAlign w:val="center"/>
                </w:tcPr>
                <w:p w14:paraId="7B4D15B5">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耕地</w:t>
                  </w:r>
                </w:p>
              </w:tc>
              <w:tc>
                <w:tcPr>
                  <w:tcW w:w="558" w:type="pct"/>
                  <w:vMerge w:val="restart"/>
                  <w:tcBorders>
                    <w:right w:val="single" w:color="auto" w:sz="4" w:space="0"/>
                  </w:tcBorders>
                  <w:noWrap w:val="0"/>
                  <w:vAlign w:val="center"/>
                </w:tcPr>
                <w:p w14:paraId="71661D43">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草地</w:t>
                  </w:r>
                </w:p>
              </w:tc>
              <w:tc>
                <w:tcPr>
                  <w:tcW w:w="521" w:type="pct"/>
                  <w:vMerge w:val="restart"/>
                  <w:tcBorders>
                    <w:right w:val="single" w:color="auto" w:sz="4" w:space="0"/>
                  </w:tcBorders>
                  <w:noWrap w:val="0"/>
                  <w:vAlign w:val="center"/>
                </w:tcPr>
                <w:p w14:paraId="29125DEA">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林地</w:t>
                  </w:r>
                </w:p>
              </w:tc>
              <w:tc>
                <w:tcPr>
                  <w:tcW w:w="413" w:type="pct"/>
                  <w:vMerge w:val="continue"/>
                  <w:noWrap w:val="0"/>
                  <w:vAlign w:val="center"/>
                </w:tcPr>
                <w:p w14:paraId="2D10D4BE">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r>
            <w:tr w14:paraId="0C634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08" w:type="pct"/>
                  <w:gridSpan w:val="2"/>
                  <w:vMerge w:val="continue"/>
                  <w:tcBorders>
                    <w:bottom w:val="single" w:color="auto" w:sz="4" w:space="0"/>
                  </w:tcBorders>
                  <w:noWrap w:val="0"/>
                  <w:vAlign w:val="center"/>
                </w:tcPr>
                <w:p w14:paraId="45DD0CAB">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eastAsia" w:ascii="Times New Roman" w:hAnsi="Times New Roman" w:eastAsia="宋体" w:cs="Times New Roman"/>
                      <w:color w:val="FF0000"/>
                      <w:kern w:val="2"/>
                      <w:sz w:val="21"/>
                      <w:szCs w:val="21"/>
                      <w:lang w:val="en-US" w:eastAsia="zh-CN" w:bidi="ar-SA"/>
                    </w:rPr>
                  </w:pPr>
                </w:p>
              </w:tc>
              <w:tc>
                <w:tcPr>
                  <w:tcW w:w="452" w:type="pct"/>
                  <w:vMerge w:val="continue"/>
                  <w:tcBorders>
                    <w:bottom w:val="single" w:color="auto" w:sz="4" w:space="0"/>
                  </w:tcBorders>
                  <w:noWrap w:val="0"/>
                  <w:vAlign w:val="center"/>
                </w:tcPr>
                <w:p w14:paraId="6D028807">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eastAsia" w:ascii="Times New Roman" w:hAnsi="Times New Roman" w:eastAsia="宋体" w:cs="Times New Roman"/>
                      <w:color w:val="FF0000"/>
                      <w:kern w:val="2"/>
                      <w:sz w:val="21"/>
                      <w:szCs w:val="21"/>
                      <w:lang w:val="en-US" w:eastAsia="zh-CN" w:bidi="ar-SA"/>
                    </w:rPr>
                  </w:pPr>
                </w:p>
              </w:tc>
              <w:tc>
                <w:tcPr>
                  <w:tcW w:w="482" w:type="pct"/>
                  <w:vMerge w:val="continue"/>
                  <w:tcBorders>
                    <w:bottom w:val="single" w:color="auto" w:sz="4" w:space="0"/>
                  </w:tcBorders>
                  <w:noWrap w:val="0"/>
                  <w:vAlign w:val="center"/>
                </w:tcPr>
                <w:p w14:paraId="68931F37">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eastAsia" w:ascii="Times New Roman" w:hAnsi="Times New Roman" w:eastAsia="宋体" w:cs="Times New Roman"/>
                      <w:color w:val="FF0000"/>
                      <w:kern w:val="2"/>
                      <w:sz w:val="21"/>
                      <w:szCs w:val="21"/>
                      <w:lang w:val="en-US" w:eastAsia="zh-CN" w:bidi="ar-SA"/>
                    </w:rPr>
                  </w:pPr>
                </w:p>
              </w:tc>
              <w:tc>
                <w:tcPr>
                  <w:tcW w:w="894" w:type="pct"/>
                  <w:tcBorders>
                    <w:top w:val="single" w:color="auto" w:sz="4" w:space="0"/>
                    <w:bottom w:val="single" w:color="auto" w:sz="4" w:space="0"/>
                    <w:right w:val="single" w:color="auto" w:sz="4" w:space="0"/>
                  </w:tcBorders>
                  <w:noWrap w:val="0"/>
                  <w:vAlign w:val="center"/>
                </w:tcPr>
                <w:p w14:paraId="4D7B39F5">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基本农田</w:t>
                  </w:r>
                </w:p>
              </w:tc>
              <w:tc>
                <w:tcPr>
                  <w:tcW w:w="869" w:type="pct"/>
                  <w:tcBorders>
                    <w:top w:val="single" w:color="auto" w:sz="4" w:space="0"/>
                    <w:bottom w:val="single" w:color="auto" w:sz="4" w:space="0"/>
                    <w:right w:val="single" w:color="auto" w:sz="4" w:space="0"/>
                  </w:tcBorders>
                  <w:noWrap w:val="0"/>
                  <w:vAlign w:val="center"/>
                </w:tcPr>
                <w:p w14:paraId="73C489EB">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一般农田</w:t>
                  </w:r>
                </w:p>
              </w:tc>
              <w:tc>
                <w:tcPr>
                  <w:tcW w:w="558" w:type="pct"/>
                  <w:vMerge w:val="continue"/>
                  <w:tcBorders>
                    <w:right w:val="single" w:color="auto" w:sz="4" w:space="0"/>
                  </w:tcBorders>
                  <w:noWrap w:val="0"/>
                  <w:vAlign w:val="center"/>
                </w:tcPr>
                <w:p w14:paraId="43DB1E0B">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c>
                <w:tcPr>
                  <w:tcW w:w="521" w:type="pct"/>
                  <w:vMerge w:val="continue"/>
                  <w:tcBorders>
                    <w:right w:val="single" w:color="auto" w:sz="4" w:space="0"/>
                  </w:tcBorders>
                  <w:noWrap w:val="0"/>
                  <w:vAlign w:val="center"/>
                </w:tcPr>
                <w:p w14:paraId="5889E7C1">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c>
                <w:tcPr>
                  <w:tcW w:w="413" w:type="pct"/>
                  <w:vMerge w:val="continue"/>
                  <w:noWrap w:val="0"/>
                  <w:vAlign w:val="center"/>
                </w:tcPr>
                <w:p w14:paraId="1663A57F">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r>
            <w:tr w14:paraId="6149F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0" w:type="pct"/>
                  <w:noWrap w:val="0"/>
                  <w:vAlign w:val="center"/>
                </w:tcPr>
                <w:p w14:paraId="34178593">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间隔扩建工程</w:t>
                  </w:r>
                </w:p>
              </w:tc>
              <w:tc>
                <w:tcPr>
                  <w:tcW w:w="357" w:type="pct"/>
                  <w:tcBorders>
                    <w:left w:val="single" w:color="auto" w:sz="4" w:space="0"/>
                  </w:tcBorders>
                  <w:noWrap w:val="0"/>
                  <w:vAlign w:val="center"/>
                </w:tcPr>
                <w:p w14:paraId="3891B2CB">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恒山</w:t>
                  </w:r>
                  <w:r>
                    <w:rPr>
                      <w:rFonts w:hint="eastAsia" w:ascii="Times New Roman" w:hAnsi="Times New Roman" w:eastAsia="宋体" w:cs="Times New Roman"/>
                      <w:color w:val="FF0000"/>
                      <w:kern w:val="2"/>
                      <w:sz w:val="21"/>
                      <w:szCs w:val="21"/>
                      <w:lang w:val="en-US" w:eastAsia="zh-CN" w:bidi="ar-SA"/>
                    </w:rPr>
                    <w:t>变电站</w:t>
                  </w:r>
                </w:p>
              </w:tc>
              <w:tc>
                <w:tcPr>
                  <w:tcW w:w="452" w:type="pct"/>
                  <w:tcBorders>
                    <w:top w:val="single" w:color="auto" w:sz="4" w:space="0"/>
                    <w:bottom w:val="single" w:color="auto" w:sz="4" w:space="0"/>
                  </w:tcBorders>
                  <w:noWrap w:val="0"/>
                  <w:vAlign w:val="center"/>
                </w:tcPr>
                <w:p w14:paraId="7866424F">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0.56</w:t>
                  </w:r>
                </w:p>
              </w:tc>
              <w:tc>
                <w:tcPr>
                  <w:tcW w:w="482" w:type="pct"/>
                  <w:tcBorders>
                    <w:top w:val="single" w:color="auto" w:sz="4" w:space="0"/>
                    <w:bottom w:val="single" w:color="auto" w:sz="4" w:space="0"/>
                  </w:tcBorders>
                  <w:noWrap w:val="0"/>
                  <w:vAlign w:val="center"/>
                </w:tcPr>
                <w:p w14:paraId="3796B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w:t>
                  </w:r>
                </w:p>
              </w:tc>
              <w:tc>
                <w:tcPr>
                  <w:tcW w:w="894" w:type="pct"/>
                  <w:tcBorders>
                    <w:top w:val="single" w:color="auto" w:sz="4" w:space="0"/>
                    <w:bottom w:val="single" w:color="auto" w:sz="4" w:space="0"/>
                  </w:tcBorders>
                  <w:noWrap w:val="0"/>
                  <w:vAlign w:val="center"/>
                </w:tcPr>
                <w:p w14:paraId="55233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w:t>
                  </w:r>
                </w:p>
              </w:tc>
              <w:tc>
                <w:tcPr>
                  <w:tcW w:w="869" w:type="pct"/>
                  <w:tcBorders>
                    <w:top w:val="single" w:color="auto" w:sz="4" w:space="0"/>
                    <w:bottom w:val="single" w:color="auto" w:sz="4" w:space="0"/>
                    <w:right w:val="single" w:color="auto" w:sz="4" w:space="0"/>
                  </w:tcBorders>
                  <w:noWrap w:val="0"/>
                  <w:vAlign w:val="center"/>
                </w:tcPr>
                <w:p w14:paraId="797D6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0.56</w:t>
                  </w:r>
                </w:p>
              </w:tc>
              <w:tc>
                <w:tcPr>
                  <w:tcW w:w="558" w:type="pct"/>
                  <w:tcBorders>
                    <w:top w:val="single" w:color="auto" w:sz="4" w:space="0"/>
                    <w:bottom w:val="single" w:color="auto" w:sz="4" w:space="0"/>
                    <w:right w:val="single" w:color="auto" w:sz="4" w:space="0"/>
                  </w:tcBorders>
                  <w:noWrap w:val="0"/>
                  <w:vAlign w:val="center"/>
                </w:tcPr>
                <w:p w14:paraId="2E4061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521" w:type="pct"/>
                  <w:tcBorders>
                    <w:top w:val="single" w:color="auto" w:sz="4" w:space="0"/>
                    <w:bottom w:val="single" w:color="auto" w:sz="4" w:space="0"/>
                    <w:right w:val="single" w:color="auto" w:sz="4" w:space="0"/>
                  </w:tcBorders>
                  <w:noWrap w:val="0"/>
                  <w:vAlign w:val="center"/>
                </w:tcPr>
                <w:p w14:paraId="0DB8CC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w:t>
                  </w:r>
                </w:p>
              </w:tc>
              <w:tc>
                <w:tcPr>
                  <w:tcW w:w="413" w:type="pct"/>
                  <w:tcBorders>
                    <w:top w:val="single" w:color="auto" w:sz="4" w:space="0"/>
                    <w:bottom w:val="single" w:color="auto" w:sz="4" w:space="0"/>
                  </w:tcBorders>
                  <w:noWrap w:val="0"/>
                  <w:vAlign w:val="center"/>
                </w:tcPr>
                <w:p w14:paraId="0A50C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0.56</w:t>
                  </w:r>
                </w:p>
              </w:tc>
            </w:tr>
            <w:tr w14:paraId="7186B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0" w:type="pct"/>
                  <w:vMerge w:val="restart"/>
                  <w:noWrap w:val="0"/>
                  <w:vAlign w:val="center"/>
                </w:tcPr>
                <w:p w14:paraId="27ADC987">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线路工程</w:t>
                  </w:r>
                </w:p>
              </w:tc>
              <w:tc>
                <w:tcPr>
                  <w:tcW w:w="357" w:type="pct"/>
                  <w:tcBorders>
                    <w:left w:val="single" w:color="auto" w:sz="4" w:space="0"/>
                  </w:tcBorders>
                  <w:noWrap w:val="0"/>
                  <w:vAlign w:val="center"/>
                </w:tcPr>
                <w:p w14:paraId="6B499205">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塔基区</w:t>
                  </w:r>
                </w:p>
              </w:tc>
              <w:tc>
                <w:tcPr>
                  <w:tcW w:w="452" w:type="pct"/>
                  <w:tcBorders>
                    <w:top w:val="single" w:color="auto" w:sz="4" w:space="0"/>
                    <w:bottom w:val="single" w:color="auto" w:sz="4" w:space="0"/>
                  </w:tcBorders>
                  <w:noWrap w:val="0"/>
                  <w:vAlign w:val="center"/>
                </w:tcPr>
                <w:p w14:paraId="07680294">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4.76</w:t>
                  </w:r>
                </w:p>
              </w:tc>
              <w:tc>
                <w:tcPr>
                  <w:tcW w:w="482" w:type="pct"/>
                  <w:tcBorders>
                    <w:top w:val="single" w:color="auto" w:sz="4" w:space="0"/>
                    <w:bottom w:val="single" w:color="auto" w:sz="4" w:space="0"/>
                  </w:tcBorders>
                  <w:noWrap w:val="0"/>
                  <w:vAlign w:val="center"/>
                </w:tcPr>
                <w:p w14:paraId="598BA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w:t>
                  </w:r>
                </w:p>
              </w:tc>
              <w:tc>
                <w:tcPr>
                  <w:tcW w:w="894" w:type="pct"/>
                  <w:tcBorders>
                    <w:top w:val="single" w:color="auto" w:sz="4" w:space="0"/>
                    <w:bottom w:val="single" w:color="auto" w:sz="4" w:space="0"/>
                  </w:tcBorders>
                  <w:noWrap w:val="0"/>
                  <w:vAlign w:val="center"/>
                </w:tcPr>
                <w:p w14:paraId="4A7322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1.08</w:t>
                  </w:r>
                </w:p>
              </w:tc>
              <w:tc>
                <w:tcPr>
                  <w:tcW w:w="869" w:type="pct"/>
                  <w:tcBorders>
                    <w:top w:val="single" w:color="auto" w:sz="4" w:space="0"/>
                    <w:bottom w:val="single" w:color="auto" w:sz="4" w:space="0"/>
                    <w:right w:val="single" w:color="auto" w:sz="4" w:space="0"/>
                  </w:tcBorders>
                  <w:noWrap w:val="0"/>
                  <w:vAlign w:val="center"/>
                </w:tcPr>
                <w:p w14:paraId="7D274F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1.73</w:t>
                  </w:r>
                </w:p>
              </w:tc>
              <w:tc>
                <w:tcPr>
                  <w:tcW w:w="558" w:type="pct"/>
                  <w:tcBorders>
                    <w:top w:val="single" w:color="auto" w:sz="4" w:space="0"/>
                    <w:bottom w:val="single" w:color="auto" w:sz="4" w:space="0"/>
                    <w:right w:val="single" w:color="auto" w:sz="4" w:space="0"/>
                  </w:tcBorders>
                  <w:noWrap w:val="0"/>
                  <w:vAlign w:val="center"/>
                </w:tcPr>
                <w:p w14:paraId="75C1CD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color w:val="FF0000"/>
                      <w:kern w:val="2"/>
                      <w:sz w:val="21"/>
                      <w:szCs w:val="21"/>
                      <w:lang w:val="en-US" w:eastAsia="zh-CN" w:bidi="ar-SA"/>
                    </w:rPr>
                  </w:pPr>
                  <w:r>
                    <w:rPr>
                      <w:rFonts w:hint="eastAsia" w:cs="Times New Roman"/>
                      <w:color w:val="FF0000"/>
                      <w:kern w:val="2"/>
                      <w:sz w:val="21"/>
                      <w:szCs w:val="21"/>
                      <w:lang w:val="en-US" w:eastAsia="zh-CN" w:bidi="ar-SA"/>
                    </w:rPr>
                    <w:t>0.74</w:t>
                  </w:r>
                </w:p>
              </w:tc>
              <w:tc>
                <w:tcPr>
                  <w:tcW w:w="521" w:type="pct"/>
                  <w:tcBorders>
                    <w:top w:val="single" w:color="auto" w:sz="4" w:space="0"/>
                    <w:bottom w:val="single" w:color="auto" w:sz="4" w:space="0"/>
                    <w:right w:val="single" w:color="auto" w:sz="4" w:space="0"/>
                  </w:tcBorders>
                  <w:noWrap w:val="0"/>
                  <w:vAlign w:val="center"/>
                </w:tcPr>
                <w:p w14:paraId="672D2C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1.21</w:t>
                  </w:r>
                </w:p>
              </w:tc>
              <w:tc>
                <w:tcPr>
                  <w:tcW w:w="413" w:type="pct"/>
                  <w:tcBorders>
                    <w:top w:val="single" w:color="auto" w:sz="4" w:space="0"/>
                    <w:bottom w:val="single" w:color="auto" w:sz="4" w:space="0"/>
                  </w:tcBorders>
                  <w:noWrap w:val="0"/>
                  <w:vAlign w:val="center"/>
                </w:tcPr>
                <w:p w14:paraId="75BF4F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4.76</w:t>
                  </w:r>
                </w:p>
              </w:tc>
            </w:tr>
            <w:tr w14:paraId="37D6C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0" w:type="pct"/>
                  <w:vMerge w:val="continue"/>
                  <w:noWrap w:val="0"/>
                  <w:vAlign w:val="center"/>
                </w:tcPr>
                <w:p w14:paraId="1E50F7E8">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c>
                <w:tcPr>
                  <w:tcW w:w="357" w:type="pct"/>
                  <w:tcBorders>
                    <w:left w:val="single" w:color="auto" w:sz="4" w:space="0"/>
                  </w:tcBorders>
                  <w:noWrap w:val="0"/>
                  <w:vAlign w:val="center"/>
                </w:tcPr>
                <w:p w14:paraId="30089DDF">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塔基施工区</w:t>
                  </w:r>
                </w:p>
              </w:tc>
              <w:tc>
                <w:tcPr>
                  <w:tcW w:w="452" w:type="pct"/>
                  <w:tcBorders>
                    <w:top w:val="single" w:color="auto" w:sz="4" w:space="0"/>
                    <w:bottom w:val="single" w:color="auto" w:sz="4" w:space="0"/>
                  </w:tcBorders>
                  <w:noWrap w:val="0"/>
                  <w:vAlign w:val="center"/>
                </w:tcPr>
                <w:p w14:paraId="31E07E36">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w:t>
                  </w:r>
                </w:p>
              </w:tc>
              <w:tc>
                <w:tcPr>
                  <w:tcW w:w="482" w:type="pct"/>
                  <w:tcBorders>
                    <w:top w:val="single" w:color="auto" w:sz="4" w:space="0"/>
                    <w:bottom w:val="single" w:color="auto" w:sz="4" w:space="0"/>
                  </w:tcBorders>
                  <w:noWrap w:val="0"/>
                  <w:vAlign w:val="center"/>
                </w:tcPr>
                <w:p w14:paraId="2DBE7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15.72</w:t>
                  </w:r>
                </w:p>
              </w:tc>
              <w:tc>
                <w:tcPr>
                  <w:tcW w:w="894" w:type="pct"/>
                  <w:tcBorders>
                    <w:top w:val="single" w:color="auto" w:sz="4" w:space="0"/>
                    <w:bottom w:val="single" w:color="auto" w:sz="4" w:space="0"/>
                  </w:tcBorders>
                  <w:noWrap w:val="0"/>
                  <w:vAlign w:val="center"/>
                </w:tcPr>
                <w:p w14:paraId="23A111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2.14</w:t>
                  </w:r>
                </w:p>
              </w:tc>
              <w:tc>
                <w:tcPr>
                  <w:tcW w:w="869" w:type="pct"/>
                  <w:tcBorders>
                    <w:top w:val="single" w:color="auto" w:sz="4" w:space="0"/>
                    <w:bottom w:val="single" w:color="auto" w:sz="4" w:space="0"/>
                    <w:right w:val="single" w:color="auto" w:sz="4" w:space="0"/>
                  </w:tcBorders>
                  <w:noWrap w:val="0"/>
                  <w:vAlign w:val="center"/>
                </w:tcPr>
                <w:p w14:paraId="2425E1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5.65</w:t>
                  </w:r>
                </w:p>
              </w:tc>
              <w:tc>
                <w:tcPr>
                  <w:tcW w:w="558" w:type="pct"/>
                  <w:tcBorders>
                    <w:top w:val="single" w:color="auto" w:sz="4" w:space="0"/>
                    <w:bottom w:val="single" w:color="auto" w:sz="4" w:space="0"/>
                    <w:right w:val="single" w:color="auto" w:sz="4" w:space="0"/>
                  </w:tcBorders>
                  <w:noWrap w:val="0"/>
                  <w:vAlign w:val="center"/>
                </w:tcPr>
                <w:p w14:paraId="5407E8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color w:val="FF0000"/>
                      <w:kern w:val="2"/>
                      <w:sz w:val="21"/>
                      <w:szCs w:val="21"/>
                      <w:lang w:val="en-US" w:eastAsia="zh-CN" w:bidi="ar-SA"/>
                    </w:rPr>
                  </w:pPr>
                  <w:r>
                    <w:rPr>
                      <w:rFonts w:hint="eastAsia" w:cs="Times New Roman"/>
                      <w:color w:val="FF0000"/>
                      <w:kern w:val="2"/>
                      <w:sz w:val="21"/>
                      <w:szCs w:val="21"/>
                      <w:lang w:val="en-US" w:eastAsia="zh-CN" w:bidi="ar-SA"/>
                    </w:rPr>
                    <w:t>1.22</w:t>
                  </w:r>
                </w:p>
              </w:tc>
              <w:tc>
                <w:tcPr>
                  <w:tcW w:w="521" w:type="pct"/>
                  <w:tcBorders>
                    <w:top w:val="single" w:color="auto" w:sz="4" w:space="0"/>
                    <w:bottom w:val="single" w:color="auto" w:sz="4" w:space="0"/>
                    <w:right w:val="single" w:color="auto" w:sz="4" w:space="0"/>
                  </w:tcBorders>
                  <w:noWrap w:val="0"/>
                  <w:vAlign w:val="center"/>
                </w:tcPr>
                <w:p w14:paraId="45F1E1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6.71</w:t>
                  </w:r>
                </w:p>
              </w:tc>
              <w:tc>
                <w:tcPr>
                  <w:tcW w:w="413" w:type="pct"/>
                  <w:tcBorders>
                    <w:top w:val="single" w:color="auto" w:sz="4" w:space="0"/>
                    <w:bottom w:val="single" w:color="auto" w:sz="4" w:space="0"/>
                  </w:tcBorders>
                  <w:noWrap w:val="0"/>
                  <w:vAlign w:val="center"/>
                </w:tcPr>
                <w:p w14:paraId="366913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15.72</w:t>
                  </w:r>
                </w:p>
              </w:tc>
            </w:tr>
            <w:tr w14:paraId="6C183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0" w:type="pct"/>
                  <w:vMerge w:val="continue"/>
                  <w:noWrap w:val="0"/>
                  <w:vAlign w:val="center"/>
                </w:tcPr>
                <w:p w14:paraId="35474189">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c>
                <w:tcPr>
                  <w:tcW w:w="357" w:type="pct"/>
                  <w:tcBorders>
                    <w:left w:val="single" w:color="auto" w:sz="4" w:space="0"/>
                  </w:tcBorders>
                  <w:noWrap w:val="0"/>
                  <w:vAlign w:val="center"/>
                </w:tcPr>
                <w:p w14:paraId="3E18748E">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牵张场地</w:t>
                  </w:r>
                </w:p>
              </w:tc>
              <w:tc>
                <w:tcPr>
                  <w:tcW w:w="452" w:type="pct"/>
                  <w:tcBorders>
                    <w:top w:val="single" w:color="auto" w:sz="4" w:space="0"/>
                    <w:bottom w:val="single" w:color="auto" w:sz="4" w:space="0"/>
                  </w:tcBorders>
                  <w:noWrap w:val="0"/>
                  <w:vAlign w:val="center"/>
                </w:tcPr>
                <w:p w14:paraId="4418A16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w:t>
                  </w:r>
                </w:p>
              </w:tc>
              <w:tc>
                <w:tcPr>
                  <w:tcW w:w="482" w:type="pct"/>
                  <w:tcBorders>
                    <w:top w:val="single" w:color="auto" w:sz="4" w:space="0"/>
                    <w:bottom w:val="single" w:color="auto" w:sz="4" w:space="0"/>
                  </w:tcBorders>
                  <w:noWrap w:val="0"/>
                  <w:vAlign w:val="center"/>
                </w:tcPr>
                <w:p w14:paraId="1D4AEA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6.08</w:t>
                  </w:r>
                </w:p>
              </w:tc>
              <w:tc>
                <w:tcPr>
                  <w:tcW w:w="894" w:type="pct"/>
                  <w:tcBorders>
                    <w:top w:val="single" w:color="auto" w:sz="4" w:space="0"/>
                    <w:bottom w:val="single" w:color="auto" w:sz="4" w:space="0"/>
                  </w:tcBorders>
                  <w:noWrap w:val="0"/>
                  <w:vAlign w:val="center"/>
                </w:tcPr>
                <w:p w14:paraId="55A8CF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1.36</w:t>
                  </w:r>
                </w:p>
              </w:tc>
              <w:tc>
                <w:tcPr>
                  <w:tcW w:w="869" w:type="pct"/>
                  <w:tcBorders>
                    <w:top w:val="single" w:color="auto" w:sz="4" w:space="0"/>
                    <w:bottom w:val="single" w:color="auto" w:sz="4" w:space="0"/>
                    <w:right w:val="single" w:color="auto" w:sz="4" w:space="0"/>
                  </w:tcBorders>
                  <w:noWrap w:val="0"/>
                  <w:vAlign w:val="center"/>
                </w:tcPr>
                <w:p w14:paraId="540026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3.44</w:t>
                  </w:r>
                </w:p>
              </w:tc>
              <w:tc>
                <w:tcPr>
                  <w:tcW w:w="558" w:type="pct"/>
                  <w:tcBorders>
                    <w:top w:val="single" w:color="auto" w:sz="4" w:space="0"/>
                    <w:bottom w:val="single" w:color="auto" w:sz="4" w:space="0"/>
                    <w:right w:val="single" w:color="auto" w:sz="4" w:space="0"/>
                  </w:tcBorders>
                  <w:noWrap w:val="0"/>
                  <w:vAlign w:val="center"/>
                </w:tcPr>
                <w:p w14:paraId="34990A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521" w:type="pct"/>
                  <w:tcBorders>
                    <w:top w:val="single" w:color="auto" w:sz="4" w:space="0"/>
                    <w:bottom w:val="single" w:color="auto" w:sz="4" w:space="0"/>
                    <w:right w:val="single" w:color="auto" w:sz="4" w:space="0"/>
                  </w:tcBorders>
                  <w:noWrap w:val="0"/>
                  <w:vAlign w:val="center"/>
                </w:tcPr>
                <w:p w14:paraId="36C2D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1.28</w:t>
                  </w:r>
                </w:p>
              </w:tc>
              <w:tc>
                <w:tcPr>
                  <w:tcW w:w="413" w:type="pct"/>
                  <w:tcBorders>
                    <w:top w:val="single" w:color="auto" w:sz="4" w:space="0"/>
                    <w:bottom w:val="single" w:color="auto" w:sz="4" w:space="0"/>
                  </w:tcBorders>
                  <w:noWrap w:val="0"/>
                  <w:vAlign w:val="center"/>
                </w:tcPr>
                <w:p w14:paraId="1367A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6.08</w:t>
                  </w:r>
                </w:p>
              </w:tc>
            </w:tr>
            <w:tr w14:paraId="710B3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0" w:type="pct"/>
                  <w:vMerge w:val="continue"/>
                  <w:noWrap w:val="0"/>
                  <w:vAlign w:val="center"/>
                </w:tcPr>
                <w:p w14:paraId="26288583">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c>
                <w:tcPr>
                  <w:tcW w:w="357" w:type="pct"/>
                  <w:tcBorders>
                    <w:left w:val="single" w:color="auto" w:sz="4" w:space="0"/>
                  </w:tcBorders>
                  <w:noWrap w:val="0"/>
                  <w:vAlign w:val="center"/>
                </w:tcPr>
                <w:p w14:paraId="719B1755">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施工便道</w:t>
                  </w:r>
                </w:p>
              </w:tc>
              <w:tc>
                <w:tcPr>
                  <w:tcW w:w="452" w:type="pct"/>
                  <w:tcBorders>
                    <w:top w:val="single" w:color="auto" w:sz="4" w:space="0"/>
                    <w:bottom w:val="single" w:color="auto" w:sz="4" w:space="0"/>
                  </w:tcBorders>
                  <w:noWrap w:val="0"/>
                  <w:vAlign w:val="center"/>
                </w:tcPr>
                <w:p w14:paraId="6159232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w:t>
                  </w:r>
                </w:p>
              </w:tc>
              <w:tc>
                <w:tcPr>
                  <w:tcW w:w="482" w:type="pct"/>
                  <w:tcBorders>
                    <w:top w:val="single" w:color="auto" w:sz="4" w:space="0"/>
                    <w:bottom w:val="single" w:color="auto" w:sz="4" w:space="0"/>
                  </w:tcBorders>
                  <w:noWrap w:val="0"/>
                  <w:vAlign w:val="center"/>
                </w:tcPr>
                <w:p w14:paraId="55F7D8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57</w:t>
                  </w:r>
                </w:p>
              </w:tc>
              <w:tc>
                <w:tcPr>
                  <w:tcW w:w="894" w:type="pct"/>
                  <w:tcBorders>
                    <w:top w:val="single" w:color="auto" w:sz="4" w:space="0"/>
                    <w:bottom w:val="single" w:color="auto" w:sz="4" w:space="0"/>
                  </w:tcBorders>
                  <w:noWrap w:val="0"/>
                  <w:vAlign w:val="center"/>
                </w:tcPr>
                <w:p w14:paraId="58F4A4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7.83</w:t>
                  </w:r>
                </w:p>
              </w:tc>
              <w:tc>
                <w:tcPr>
                  <w:tcW w:w="869" w:type="pct"/>
                  <w:tcBorders>
                    <w:top w:val="single" w:color="auto" w:sz="4" w:space="0"/>
                    <w:bottom w:val="single" w:color="auto" w:sz="4" w:space="0"/>
                    <w:right w:val="single" w:color="auto" w:sz="4" w:space="0"/>
                  </w:tcBorders>
                  <w:noWrap w:val="0"/>
                  <w:vAlign w:val="center"/>
                </w:tcPr>
                <w:p w14:paraId="10BC2F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31.15</w:t>
                  </w:r>
                </w:p>
              </w:tc>
              <w:tc>
                <w:tcPr>
                  <w:tcW w:w="558" w:type="pct"/>
                  <w:tcBorders>
                    <w:top w:val="single" w:color="auto" w:sz="4" w:space="0"/>
                    <w:bottom w:val="single" w:color="auto" w:sz="4" w:space="0"/>
                    <w:right w:val="single" w:color="auto" w:sz="4" w:space="0"/>
                  </w:tcBorders>
                  <w:noWrap w:val="0"/>
                  <w:vAlign w:val="center"/>
                </w:tcPr>
                <w:p w14:paraId="7C71B9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color w:val="FF0000"/>
                      <w:kern w:val="2"/>
                      <w:sz w:val="21"/>
                      <w:szCs w:val="21"/>
                      <w:lang w:val="en-US" w:eastAsia="zh-CN" w:bidi="ar-SA"/>
                    </w:rPr>
                  </w:pPr>
                  <w:r>
                    <w:rPr>
                      <w:rFonts w:hint="eastAsia" w:cs="Times New Roman"/>
                      <w:color w:val="FF0000"/>
                      <w:kern w:val="2"/>
                      <w:sz w:val="21"/>
                      <w:szCs w:val="21"/>
                      <w:lang w:val="en-US" w:eastAsia="zh-CN" w:bidi="ar-SA"/>
                    </w:rPr>
                    <w:t>1.92</w:t>
                  </w:r>
                </w:p>
              </w:tc>
              <w:tc>
                <w:tcPr>
                  <w:tcW w:w="521" w:type="pct"/>
                  <w:tcBorders>
                    <w:top w:val="single" w:color="auto" w:sz="4" w:space="0"/>
                    <w:bottom w:val="single" w:color="auto" w:sz="4" w:space="0"/>
                    <w:right w:val="single" w:color="auto" w:sz="4" w:space="0"/>
                  </w:tcBorders>
                  <w:noWrap w:val="0"/>
                  <w:vAlign w:val="center"/>
                </w:tcPr>
                <w:p w14:paraId="5DA958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16.10</w:t>
                  </w:r>
                </w:p>
              </w:tc>
              <w:tc>
                <w:tcPr>
                  <w:tcW w:w="413" w:type="pct"/>
                  <w:tcBorders>
                    <w:top w:val="single" w:color="auto" w:sz="4" w:space="0"/>
                    <w:bottom w:val="single" w:color="auto" w:sz="4" w:space="0"/>
                  </w:tcBorders>
                  <w:noWrap w:val="0"/>
                  <w:vAlign w:val="center"/>
                </w:tcPr>
                <w:p w14:paraId="515CF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57</w:t>
                  </w:r>
                </w:p>
              </w:tc>
            </w:tr>
            <w:tr w14:paraId="48250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0" w:type="pct"/>
                  <w:vMerge w:val="continue"/>
                  <w:noWrap w:val="0"/>
                  <w:vAlign w:val="center"/>
                </w:tcPr>
                <w:p w14:paraId="08EF533B">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c>
                <w:tcPr>
                  <w:tcW w:w="357" w:type="pct"/>
                  <w:tcBorders>
                    <w:left w:val="single" w:color="auto" w:sz="4" w:space="0"/>
                  </w:tcBorders>
                  <w:noWrap w:val="0"/>
                  <w:vAlign w:val="center"/>
                </w:tcPr>
                <w:p w14:paraId="2D3EFCC5">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跨越施工场地</w:t>
                  </w:r>
                </w:p>
              </w:tc>
              <w:tc>
                <w:tcPr>
                  <w:tcW w:w="452" w:type="pct"/>
                  <w:tcBorders>
                    <w:top w:val="single" w:color="auto" w:sz="4" w:space="0"/>
                    <w:bottom w:val="single" w:color="auto" w:sz="4" w:space="0"/>
                  </w:tcBorders>
                  <w:noWrap w:val="0"/>
                  <w:vAlign w:val="center"/>
                </w:tcPr>
                <w:p w14:paraId="4E92F56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w:t>
                  </w:r>
                </w:p>
              </w:tc>
              <w:tc>
                <w:tcPr>
                  <w:tcW w:w="482" w:type="pct"/>
                  <w:tcBorders>
                    <w:top w:val="single" w:color="auto" w:sz="4" w:space="0"/>
                    <w:bottom w:val="single" w:color="auto" w:sz="4" w:space="0"/>
                  </w:tcBorders>
                  <w:noWrap w:val="0"/>
                  <w:vAlign w:val="center"/>
                </w:tcPr>
                <w:p w14:paraId="3089E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1.58</w:t>
                  </w:r>
                </w:p>
              </w:tc>
              <w:tc>
                <w:tcPr>
                  <w:tcW w:w="894" w:type="pct"/>
                  <w:tcBorders>
                    <w:top w:val="single" w:color="auto" w:sz="4" w:space="0"/>
                    <w:bottom w:val="single" w:color="auto" w:sz="4" w:space="0"/>
                  </w:tcBorders>
                  <w:noWrap w:val="0"/>
                  <w:vAlign w:val="center"/>
                </w:tcPr>
                <w:p w14:paraId="117210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869" w:type="pct"/>
                  <w:tcBorders>
                    <w:top w:val="single" w:color="auto" w:sz="4" w:space="0"/>
                    <w:bottom w:val="single" w:color="auto" w:sz="4" w:space="0"/>
                    <w:right w:val="single" w:color="auto" w:sz="4" w:space="0"/>
                  </w:tcBorders>
                  <w:noWrap w:val="0"/>
                  <w:vAlign w:val="center"/>
                </w:tcPr>
                <w:p w14:paraId="059FA5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1.37</w:t>
                  </w:r>
                </w:p>
              </w:tc>
              <w:tc>
                <w:tcPr>
                  <w:tcW w:w="558" w:type="pct"/>
                  <w:tcBorders>
                    <w:top w:val="single" w:color="auto" w:sz="4" w:space="0"/>
                    <w:bottom w:val="single" w:color="auto" w:sz="4" w:space="0"/>
                    <w:right w:val="single" w:color="auto" w:sz="4" w:space="0"/>
                  </w:tcBorders>
                  <w:noWrap w:val="0"/>
                  <w:vAlign w:val="center"/>
                </w:tcPr>
                <w:p w14:paraId="62770D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521" w:type="pct"/>
                  <w:tcBorders>
                    <w:top w:val="single" w:color="auto" w:sz="4" w:space="0"/>
                    <w:bottom w:val="single" w:color="auto" w:sz="4" w:space="0"/>
                    <w:right w:val="single" w:color="auto" w:sz="4" w:space="0"/>
                  </w:tcBorders>
                  <w:noWrap w:val="0"/>
                  <w:vAlign w:val="center"/>
                </w:tcPr>
                <w:p w14:paraId="288773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0.21</w:t>
                  </w:r>
                </w:p>
              </w:tc>
              <w:tc>
                <w:tcPr>
                  <w:tcW w:w="413" w:type="pct"/>
                  <w:tcBorders>
                    <w:top w:val="single" w:color="auto" w:sz="4" w:space="0"/>
                    <w:bottom w:val="single" w:color="auto" w:sz="4" w:space="0"/>
                  </w:tcBorders>
                  <w:noWrap w:val="0"/>
                  <w:vAlign w:val="center"/>
                </w:tcPr>
                <w:p w14:paraId="0C97B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1.58</w:t>
                  </w:r>
                </w:p>
              </w:tc>
            </w:tr>
            <w:tr w14:paraId="2DB50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0" w:type="pct"/>
                  <w:vMerge w:val="continue"/>
                  <w:noWrap w:val="0"/>
                  <w:vAlign w:val="center"/>
                </w:tcPr>
                <w:p w14:paraId="5F8528AA">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p>
              </w:tc>
              <w:tc>
                <w:tcPr>
                  <w:tcW w:w="357" w:type="pct"/>
                  <w:tcBorders>
                    <w:left w:val="single" w:color="auto" w:sz="4" w:space="0"/>
                  </w:tcBorders>
                  <w:noWrap w:val="0"/>
                  <w:vAlign w:val="center"/>
                </w:tcPr>
                <w:p w14:paraId="1E4CCDC0">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材料场地</w:t>
                  </w:r>
                </w:p>
              </w:tc>
              <w:tc>
                <w:tcPr>
                  <w:tcW w:w="452" w:type="pct"/>
                  <w:tcBorders>
                    <w:top w:val="single" w:color="auto" w:sz="4" w:space="0"/>
                    <w:bottom w:val="single" w:color="auto" w:sz="4" w:space="0"/>
                  </w:tcBorders>
                  <w:noWrap w:val="0"/>
                  <w:vAlign w:val="center"/>
                </w:tcPr>
                <w:p w14:paraId="7B12D9F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482" w:type="pct"/>
                  <w:tcBorders>
                    <w:top w:val="single" w:color="auto" w:sz="4" w:space="0"/>
                    <w:bottom w:val="single" w:color="auto" w:sz="4" w:space="0"/>
                  </w:tcBorders>
                  <w:noWrap w:val="0"/>
                  <w:vAlign w:val="center"/>
                </w:tcPr>
                <w:p w14:paraId="3CEF5C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0.16</w:t>
                  </w:r>
                </w:p>
              </w:tc>
              <w:tc>
                <w:tcPr>
                  <w:tcW w:w="894" w:type="pct"/>
                  <w:tcBorders>
                    <w:top w:val="single" w:color="auto" w:sz="4" w:space="0"/>
                    <w:bottom w:val="single" w:color="auto" w:sz="4" w:space="0"/>
                  </w:tcBorders>
                  <w:noWrap w:val="0"/>
                  <w:vAlign w:val="center"/>
                </w:tcPr>
                <w:p w14:paraId="7D3380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c>
                <w:tcPr>
                  <w:tcW w:w="869" w:type="pct"/>
                  <w:tcBorders>
                    <w:top w:val="single" w:color="auto" w:sz="4" w:space="0"/>
                    <w:bottom w:val="single" w:color="auto" w:sz="4" w:space="0"/>
                    <w:right w:val="single" w:color="auto" w:sz="4" w:space="0"/>
                  </w:tcBorders>
                  <w:noWrap w:val="0"/>
                  <w:vAlign w:val="center"/>
                </w:tcPr>
                <w:p w14:paraId="7AD176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0.16</w:t>
                  </w:r>
                </w:p>
              </w:tc>
              <w:tc>
                <w:tcPr>
                  <w:tcW w:w="558" w:type="pct"/>
                  <w:tcBorders>
                    <w:top w:val="single" w:color="auto" w:sz="4" w:space="0"/>
                    <w:bottom w:val="single" w:color="auto" w:sz="4" w:space="0"/>
                    <w:right w:val="single" w:color="auto" w:sz="4" w:space="0"/>
                  </w:tcBorders>
                  <w:noWrap w:val="0"/>
                  <w:vAlign w:val="center"/>
                </w:tcPr>
                <w:p w14:paraId="438A87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521" w:type="pct"/>
                  <w:tcBorders>
                    <w:top w:val="single" w:color="auto" w:sz="4" w:space="0"/>
                    <w:bottom w:val="single" w:color="auto" w:sz="4" w:space="0"/>
                    <w:right w:val="single" w:color="auto" w:sz="4" w:space="0"/>
                  </w:tcBorders>
                  <w:noWrap w:val="0"/>
                  <w:vAlign w:val="center"/>
                </w:tcPr>
                <w:p w14:paraId="437042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413" w:type="pct"/>
                  <w:tcBorders>
                    <w:top w:val="single" w:color="auto" w:sz="4" w:space="0"/>
                    <w:bottom w:val="single" w:color="auto" w:sz="4" w:space="0"/>
                  </w:tcBorders>
                  <w:noWrap w:val="0"/>
                  <w:vAlign w:val="center"/>
                </w:tcPr>
                <w:p w14:paraId="332826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0.16</w:t>
                  </w:r>
                </w:p>
              </w:tc>
            </w:tr>
            <w:tr w14:paraId="16321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08" w:type="pct"/>
                  <w:gridSpan w:val="2"/>
                  <w:tcBorders>
                    <w:top w:val="single" w:color="auto" w:sz="4" w:space="0"/>
                  </w:tcBorders>
                  <w:noWrap w:val="0"/>
                  <w:vAlign w:val="center"/>
                </w:tcPr>
                <w:p w14:paraId="361A6138">
                  <w:pPr>
                    <w:pStyle w:val="6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总计</w:t>
                  </w:r>
                </w:p>
              </w:tc>
              <w:tc>
                <w:tcPr>
                  <w:tcW w:w="754" w:type="dxa"/>
                  <w:tcBorders>
                    <w:top w:val="single" w:color="auto" w:sz="4" w:space="0"/>
                  </w:tcBorders>
                  <w:noWrap w:val="0"/>
                  <w:vAlign w:val="center"/>
                </w:tcPr>
                <w:p w14:paraId="09B1C928">
                  <w:pPr>
                    <w:keepNext w:val="0"/>
                    <w:keepLines w:val="0"/>
                    <w:widowControl/>
                    <w:suppressLineNumbers w:val="0"/>
                    <w:jc w:val="center"/>
                    <w:textAlignment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5.32</w:t>
                  </w:r>
                </w:p>
              </w:tc>
              <w:tc>
                <w:tcPr>
                  <w:tcW w:w="804" w:type="dxa"/>
                  <w:tcBorders>
                    <w:top w:val="single" w:color="auto" w:sz="4" w:space="0"/>
                  </w:tcBorders>
                  <w:noWrap w:val="0"/>
                  <w:vAlign w:val="center"/>
                </w:tcPr>
                <w:p w14:paraId="217ADB56">
                  <w:pPr>
                    <w:keepNext w:val="0"/>
                    <w:keepLines w:val="0"/>
                    <w:widowControl/>
                    <w:suppressLineNumbers w:val="0"/>
                    <w:jc w:val="center"/>
                    <w:textAlignment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80.54</w:t>
                  </w:r>
                </w:p>
              </w:tc>
              <w:tc>
                <w:tcPr>
                  <w:tcW w:w="1490" w:type="dxa"/>
                  <w:tcBorders>
                    <w:top w:val="single" w:color="auto" w:sz="4" w:space="0"/>
                  </w:tcBorders>
                  <w:noWrap w:val="0"/>
                  <w:vAlign w:val="center"/>
                </w:tcPr>
                <w:p w14:paraId="4613DF69">
                  <w:pPr>
                    <w:keepNext w:val="0"/>
                    <w:keepLines w:val="0"/>
                    <w:widowControl/>
                    <w:suppressLineNumbers w:val="0"/>
                    <w:jc w:val="center"/>
                    <w:textAlignment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12.41</w:t>
                  </w:r>
                </w:p>
              </w:tc>
              <w:tc>
                <w:tcPr>
                  <w:tcW w:w="1450" w:type="dxa"/>
                  <w:tcBorders>
                    <w:top w:val="single" w:color="auto" w:sz="4" w:space="0"/>
                    <w:right w:val="single" w:color="auto" w:sz="4" w:space="0"/>
                  </w:tcBorders>
                  <w:noWrap w:val="0"/>
                  <w:vAlign w:val="center"/>
                </w:tcPr>
                <w:p w14:paraId="149F5B9A">
                  <w:pPr>
                    <w:keepNext w:val="0"/>
                    <w:keepLines w:val="0"/>
                    <w:widowControl/>
                    <w:suppressLineNumbers w:val="0"/>
                    <w:jc w:val="center"/>
                    <w:textAlignment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44.06</w:t>
                  </w:r>
                </w:p>
              </w:tc>
              <w:tc>
                <w:tcPr>
                  <w:tcW w:w="930" w:type="dxa"/>
                  <w:tcBorders>
                    <w:top w:val="single" w:color="auto" w:sz="4" w:space="0"/>
                    <w:right w:val="single" w:color="auto" w:sz="4" w:space="0"/>
                  </w:tcBorders>
                  <w:noWrap w:val="0"/>
                  <w:vAlign w:val="center"/>
                </w:tcPr>
                <w:p w14:paraId="571D8503">
                  <w:pPr>
                    <w:keepNext w:val="0"/>
                    <w:keepLines w:val="0"/>
                    <w:widowControl/>
                    <w:suppressLineNumbers w:val="0"/>
                    <w:jc w:val="center"/>
                    <w:textAlignment w:val="center"/>
                    <w:rPr>
                      <w:rFonts w:hint="default" w:cs="Times New Roman"/>
                      <w:color w:val="FF0000"/>
                      <w:kern w:val="2"/>
                      <w:sz w:val="21"/>
                      <w:szCs w:val="21"/>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3.88</w:t>
                  </w:r>
                </w:p>
              </w:tc>
              <w:tc>
                <w:tcPr>
                  <w:tcW w:w="869" w:type="dxa"/>
                  <w:tcBorders>
                    <w:top w:val="single" w:color="auto" w:sz="4" w:space="0"/>
                    <w:right w:val="single" w:color="auto" w:sz="4" w:space="0"/>
                  </w:tcBorders>
                  <w:noWrap w:val="0"/>
                  <w:vAlign w:val="center"/>
                </w:tcPr>
                <w:p w14:paraId="592B9943">
                  <w:pPr>
                    <w:keepNext w:val="0"/>
                    <w:keepLines w:val="0"/>
                    <w:widowControl/>
                    <w:suppressLineNumbers w:val="0"/>
                    <w:jc w:val="center"/>
                    <w:textAlignment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25.51</w:t>
                  </w:r>
                </w:p>
              </w:tc>
              <w:tc>
                <w:tcPr>
                  <w:tcW w:w="689" w:type="dxa"/>
                  <w:tcBorders>
                    <w:top w:val="single" w:color="auto" w:sz="4" w:space="0"/>
                  </w:tcBorders>
                  <w:noWrap w:val="0"/>
                  <w:vAlign w:val="center"/>
                </w:tcPr>
                <w:p w14:paraId="1DDCC010">
                  <w:pPr>
                    <w:keepNext w:val="0"/>
                    <w:keepLines w:val="0"/>
                    <w:widowControl/>
                    <w:suppressLineNumbers w:val="0"/>
                    <w:jc w:val="center"/>
                    <w:textAlignment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85.86</w:t>
                  </w:r>
                </w:p>
              </w:tc>
            </w:tr>
          </w:tbl>
          <w:p w14:paraId="2989570E">
            <w:pPr>
              <w:keepNext w:val="0"/>
              <w:keepLines w:val="0"/>
              <w:suppressLineNumbers w:val="0"/>
              <w:adjustRightInd w:val="0"/>
              <w:snapToGrid w:val="0"/>
              <w:spacing w:before="0" w:beforeAutospacing="0" w:after="0" w:afterAutospacing="0" w:line="360" w:lineRule="auto"/>
              <w:ind w:left="0" w:right="0" w:firstLine="482" w:firstLineChars="200"/>
              <w:jc w:val="left"/>
              <w:rPr>
                <w:rFonts w:hint="default"/>
                <w:b/>
                <w:bCs/>
                <w:color w:val="000000" w:themeColor="text1"/>
                <w:kern w:val="0"/>
                <w:sz w:val="24"/>
                <w:highlight w:val="none"/>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4、</w:t>
            </w:r>
            <w:r>
              <w:rPr>
                <w:rFonts w:hint="eastAsia"/>
                <w:b/>
                <w:bCs/>
                <w:color w:val="000000" w:themeColor="text1"/>
                <w:kern w:val="0"/>
                <w:sz w:val="24"/>
                <w:highlight w:val="none"/>
                <w14:textFill>
                  <w14:solidFill>
                    <w14:schemeClr w14:val="tx1"/>
                  </w14:solidFill>
                </w14:textFill>
              </w:rPr>
              <w:t>土石方平衡</w:t>
            </w:r>
          </w:p>
          <w:p w14:paraId="0EE6935B">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eastAsia="宋体" w:cs="Times New Roman"/>
                <w:b/>
                <w:bCs/>
                <w:color w:val="FF0000"/>
                <w:sz w:val="24"/>
                <w:szCs w:val="24"/>
                <w:highlight w:val="none"/>
                <w:lang w:val="en-US" w:eastAsia="zh-CN"/>
              </w:rPr>
            </w:pPr>
            <w:r>
              <w:rPr>
                <w:rFonts w:hint="default"/>
                <w:color w:val="FF0000"/>
                <w:kern w:val="0"/>
                <w:sz w:val="24"/>
                <w:highlight w:val="none"/>
              </w:rPr>
              <w:t>本工程建设期间挖方总量为</w:t>
            </w:r>
            <w:r>
              <w:rPr>
                <w:rFonts w:hint="eastAsia"/>
                <w:color w:val="FF0000"/>
                <w:kern w:val="0"/>
                <w:sz w:val="24"/>
                <w:highlight w:val="none"/>
                <w:lang w:val="en-US" w:eastAsia="zh-CN"/>
              </w:rPr>
              <w:t>30.92</w:t>
            </w:r>
            <w:r>
              <w:rPr>
                <w:rFonts w:hint="default"/>
                <w:color w:val="FF0000"/>
                <w:kern w:val="0"/>
                <w:sz w:val="24"/>
                <w:highlight w:val="none"/>
              </w:rPr>
              <w:t>万m</w:t>
            </w:r>
            <w:r>
              <w:rPr>
                <w:rFonts w:hint="default"/>
                <w:color w:val="FF0000"/>
                <w:kern w:val="0"/>
                <w:sz w:val="24"/>
                <w:highlight w:val="none"/>
                <w:vertAlign w:val="superscript"/>
              </w:rPr>
              <w:t>3</w:t>
            </w:r>
            <w:r>
              <w:rPr>
                <w:rFonts w:hint="default"/>
                <w:color w:val="FF0000"/>
                <w:kern w:val="0"/>
                <w:sz w:val="24"/>
                <w:highlight w:val="none"/>
              </w:rPr>
              <w:t>（表土剥离</w:t>
            </w:r>
            <w:r>
              <w:rPr>
                <w:rFonts w:hint="eastAsia"/>
                <w:color w:val="FF0000"/>
                <w:kern w:val="0"/>
                <w:sz w:val="24"/>
                <w:highlight w:val="none"/>
                <w:lang w:val="en-US" w:eastAsia="zh-CN"/>
              </w:rPr>
              <w:t>25.76</w:t>
            </w:r>
            <w:r>
              <w:rPr>
                <w:rFonts w:hint="default"/>
                <w:color w:val="FF0000"/>
                <w:kern w:val="0"/>
                <w:sz w:val="24"/>
                <w:highlight w:val="none"/>
              </w:rPr>
              <w:t>万m</w:t>
            </w:r>
            <w:r>
              <w:rPr>
                <w:rFonts w:hint="default"/>
                <w:color w:val="FF0000"/>
                <w:kern w:val="0"/>
                <w:sz w:val="24"/>
                <w:highlight w:val="none"/>
                <w:vertAlign w:val="superscript"/>
              </w:rPr>
              <w:t>3</w:t>
            </w:r>
            <w:r>
              <w:rPr>
                <w:rFonts w:hint="default"/>
                <w:color w:val="FF0000"/>
                <w:kern w:val="0"/>
                <w:sz w:val="24"/>
                <w:highlight w:val="none"/>
              </w:rPr>
              <w:t>），填方总量</w:t>
            </w:r>
            <w:r>
              <w:rPr>
                <w:rFonts w:hint="eastAsia"/>
                <w:color w:val="FF0000"/>
                <w:kern w:val="0"/>
                <w:sz w:val="24"/>
                <w:highlight w:val="none"/>
                <w:lang w:val="en-US" w:eastAsia="zh-CN"/>
              </w:rPr>
              <w:t>31.91</w:t>
            </w:r>
            <w:r>
              <w:rPr>
                <w:rFonts w:hint="default"/>
                <w:color w:val="FF0000"/>
                <w:kern w:val="0"/>
                <w:sz w:val="24"/>
                <w:highlight w:val="none"/>
              </w:rPr>
              <w:t>万m</w:t>
            </w:r>
            <w:r>
              <w:rPr>
                <w:rFonts w:hint="default"/>
                <w:color w:val="FF0000"/>
                <w:kern w:val="0"/>
                <w:sz w:val="24"/>
                <w:highlight w:val="none"/>
                <w:vertAlign w:val="superscript"/>
              </w:rPr>
              <w:t>3</w:t>
            </w:r>
            <w:r>
              <w:rPr>
                <w:rFonts w:hint="default"/>
                <w:color w:val="FF0000"/>
                <w:kern w:val="0"/>
                <w:sz w:val="24"/>
                <w:highlight w:val="none"/>
              </w:rPr>
              <w:t>（表土回覆</w:t>
            </w:r>
            <w:r>
              <w:rPr>
                <w:rFonts w:hint="eastAsia"/>
                <w:color w:val="FF0000"/>
                <w:kern w:val="0"/>
                <w:sz w:val="24"/>
                <w:highlight w:val="none"/>
                <w:lang w:val="en-US" w:eastAsia="zh-CN"/>
              </w:rPr>
              <w:t>25.76</w:t>
            </w:r>
            <w:r>
              <w:rPr>
                <w:rFonts w:hint="default"/>
                <w:color w:val="FF0000"/>
                <w:kern w:val="0"/>
                <w:sz w:val="24"/>
                <w:highlight w:val="none"/>
              </w:rPr>
              <w:t>万m</w:t>
            </w:r>
            <w:r>
              <w:rPr>
                <w:rFonts w:hint="default"/>
                <w:color w:val="FF0000"/>
                <w:kern w:val="0"/>
                <w:sz w:val="24"/>
                <w:highlight w:val="none"/>
                <w:vertAlign w:val="superscript"/>
              </w:rPr>
              <w:t>3</w:t>
            </w:r>
            <w:r>
              <w:rPr>
                <w:rFonts w:hint="default"/>
                <w:color w:val="FF0000"/>
                <w:kern w:val="0"/>
                <w:sz w:val="24"/>
                <w:highlight w:val="none"/>
              </w:rPr>
              <w:t>），</w:t>
            </w:r>
            <w:r>
              <w:rPr>
                <w:rFonts w:hint="eastAsia"/>
                <w:color w:val="FF0000"/>
                <w:kern w:val="0"/>
                <w:sz w:val="24"/>
                <w:highlight w:val="none"/>
                <w:lang w:val="en-US" w:eastAsia="zh-CN"/>
              </w:rPr>
              <w:t>无</w:t>
            </w:r>
            <w:r>
              <w:rPr>
                <w:rFonts w:hint="default"/>
                <w:color w:val="FF0000"/>
                <w:kern w:val="0"/>
                <w:sz w:val="24"/>
                <w:highlight w:val="none"/>
              </w:rPr>
              <w:t>弃土，</w:t>
            </w:r>
            <w:r>
              <w:rPr>
                <w:rFonts w:hint="eastAsia"/>
                <w:color w:val="FF0000"/>
                <w:kern w:val="0"/>
                <w:sz w:val="24"/>
                <w:highlight w:val="none"/>
                <w:lang w:val="en-US" w:eastAsia="zh-CN"/>
              </w:rPr>
              <w:t>对</w:t>
            </w:r>
            <w:r>
              <w:rPr>
                <w:rFonts w:hint="default"/>
                <w:color w:val="FF0000"/>
                <w:kern w:val="0"/>
                <w:sz w:val="24"/>
                <w:highlight w:val="none"/>
              </w:rPr>
              <w:t>外购土</w:t>
            </w:r>
            <w:r>
              <w:rPr>
                <w:rFonts w:hint="eastAsia"/>
                <w:color w:val="FF0000"/>
                <w:kern w:val="0"/>
                <w:sz w:val="24"/>
                <w:highlight w:val="none"/>
                <w:lang w:val="en-US" w:eastAsia="zh-CN"/>
              </w:rPr>
              <w:t>0.99万</w:t>
            </w:r>
            <w:r>
              <w:rPr>
                <w:rFonts w:hint="default"/>
                <w:color w:val="FF0000"/>
                <w:kern w:val="0"/>
                <w:sz w:val="24"/>
                <w:highlight w:val="none"/>
              </w:rPr>
              <w:t>m</w:t>
            </w:r>
            <w:r>
              <w:rPr>
                <w:rFonts w:hint="default"/>
                <w:color w:val="FF0000"/>
                <w:kern w:val="0"/>
                <w:sz w:val="24"/>
                <w:highlight w:val="none"/>
                <w:vertAlign w:val="superscript"/>
              </w:rPr>
              <w:t>3</w:t>
            </w:r>
            <w:r>
              <w:rPr>
                <w:rFonts w:hint="default"/>
                <w:color w:val="FF0000"/>
                <w:kern w:val="0"/>
                <w:sz w:val="24"/>
                <w:highlight w:val="none"/>
              </w:rPr>
              <w:t>。</w:t>
            </w:r>
          </w:p>
          <w:p w14:paraId="724A6F1E">
            <w:pPr>
              <w:pStyle w:val="71"/>
              <w:keepNext w:val="0"/>
              <w:keepLines w:val="0"/>
              <w:suppressLineNumbers w:val="0"/>
              <w:spacing w:before="0" w:beforeLines="0" w:beforeAutospacing="0" w:after="0" w:afterAutospacing="0"/>
              <w:ind w:left="0" w:right="0"/>
              <w:rPr>
                <w:rFonts w:hint="eastAsia" w:ascii="Times New Roman" w:hAnsi="Times New Roman" w:eastAsia="宋体" w:cs="Times New Roman"/>
                <w:b/>
                <w:bCs/>
                <w:color w:val="FF0000"/>
                <w:sz w:val="24"/>
                <w:szCs w:val="24"/>
                <w:highlight w:val="none"/>
                <w:lang w:val="en-US" w:eastAsia="zh-CN"/>
              </w:rPr>
            </w:pPr>
            <w:r>
              <w:rPr>
                <w:rFonts w:hint="eastAsia" w:ascii="Times New Roman" w:hAnsi="Times New Roman" w:eastAsia="宋体" w:cs="Times New Roman"/>
                <w:b/>
                <w:bCs/>
                <w:color w:val="FF0000"/>
                <w:sz w:val="24"/>
                <w:szCs w:val="24"/>
                <w:highlight w:val="none"/>
                <w:lang w:val="en-US" w:eastAsia="zh-CN"/>
              </w:rPr>
              <w:t>表 2-</w:t>
            </w:r>
            <w:r>
              <w:rPr>
                <w:rFonts w:hint="eastAsia" w:eastAsia="宋体" w:cs="Times New Roman"/>
                <w:b/>
                <w:bCs/>
                <w:color w:val="FF0000"/>
                <w:sz w:val="24"/>
                <w:szCs w:val="24"/>
                <w:highlight w:val="none"/>
                <w:lang w:val="en-US" w:eastAsia="zh-CN"/>
              </w:rPr>
              <w:t>8</w:t>
            </w:r>
            <w:r>
              <w:rPr>
                <w:rFonts w:hint="eastAsia" w:ascii="Times New Roman" w:hAnsi="Times New Roman" w:eastAsia="宋体" w:cs="Times New Roman"/>
                <w:b/>
                <w:bCs/>
                <w:color w:val="FF0000"/>
                <w:sz w:val="24"/>
                <w:szCs w:val="24"/>
                <w:highlight w:val="none"/>
                <w:lang w:val="en-US" w:eastAsia="zh-CN"/>
              </w:rPr>
              <w:t xml:space="preserve"> 土石方平衡表 单位：</w:t>
            </w:r>
            <w:r>
              <w:rPr>
                <w:rFonts w:hint="eastAsia" w:eastAsia="宋体" w:cs="Times New Roman"/>
                <w:b/>
                <w:bCs/>
                <w:color w:val="FF0000"/>
                <w:sz w:val="24"/>
                <w:szCs w:val="24"/>
                <w:highlight w:val="none"/>
                <w:lang w:val="en-US" w:eastAsia="zh-CN"/>
              </w:rPr>
              <w:t>万</w:t>
            </w:r>
            <w:r>
              <w:rPr>
                <w:rFonts w:hint="eastAsia" w:ascii="Times New Roman" w:hAnsi="Times New Roman" w:eastAsia="宋体" w:cs="Times New Roman"/>
                <w:b/>
                <w:bCs/>
                <w:color w:val="FF0000"/>
                <w:sz w:val="24"/>
                <w:szCs w:val="24"/>
                <w:highlight w:val="none"/>
                <w:lang w:val="en-US" w:eastAsia="zh-CN"/>
              </w:rPr>
              <w:t>m</w:t>
            </w:r>
            <w:r>
              <w:rPr>
                <w:rFonts w:hint="eastAsia" w:ascii="Times New Roman" w:hAnsi="Times New Roman" w:eastAsia="宋体" w:cs="Times New Roman"/>
                <w:b/>
                <w:bCs/>
                <w:color w:val="FF0000"/>
                <w:sz w:val="24"/>
                <w:szCs w:val="24"/>
                <w:highlight w:val="none"/>
                <w:vertAlign w:val="superscript"/>
                <w:lang w:val="en-US" w:eastAsia="zh-CN"/>
              </w:rPr>
              <w:t>3</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1"/>
              <w:gridCol w:w="1222"/>
              <w:gridCol w:w="1232"/>
              <w:gridCol w:w="1087"/>
              <w:gridCol w:w="775"/>
              <w:gridCol w:w="712"/>
              <w:gridCol w:w="775"/>
              <w:gridCol w:w="839"/>
            </w:tblGrid>
            <w:tr w14:paraId="1943B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7" w:type="pct"/>
                  <w:gridSpan w:val="2"/>
                  <w:vMerge w:val="restart"/>
                  <w:noWrap w:val="0"/>
                  <w:vAlign w:val="center"/>
                </w:tcPr>
                <w:p w14:paraId="365DD934">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项目名称</w:t>
                  </w:r>
                </w:p>
              </w:tc>
              <w:tc>
                <w:tcPr>
                  <w:tcW w:w="739" w:type="pct"/>
                  <w:vMerge w:val="restart"/>
                  <w:noWrap w:val="0"/>
                  <w:vAlign w:val="center"/>
                </w:tcPr>
                <w:p w14:paraId="047C3912">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挖方</w:t>
                  </w:r>
                </w:p>
              </w:tc>
              <w:tc>
                <w:tcPr>
                  <w:tcW w:w="652" w:type="pct"/>
                  <w:vMerge w:val="restart"/>
                  <w:noWrap w:val="0"/>
                  <w:vAlign w:val="center"/>
                </w:tcPr>
                <w:p w14:paraId="0ED90997">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填方</w:t>
                  </w:r>
                </w:p>
              </w:tc>
              <w:tc>
                <w:tcPr>
                  <w:tcW w:w="892" w:type="pct"/>
                  <w:gridSpan w:val="2"/>
                  <w:noWrap w:val="0"/>
                  <w:vAlign w:val="center"/>
                </w:tcPr>
                <w:p w14:paraId="029E86D0">
                  <w:pPr>
                    <w:pStyle w:val="68"/>
                    <w:keepNext/>
                    <w:keepLines/>
                    <w:pageBreakBefore w:val="0"/>
                    <w:widowControl/>
                    <w:suppressLineNumbers w:val="0"/>
                    <w:kinsoku/>
                    <w:wordWrap/>
                    <w:overflowPunct/>
                    <w:topLinePunct w:val="0"/>
                    <w:bidi w:val="0"/>
                    <w:snapToGrid/>
                    <w:spacing w:before="0" w:beforeAutospacing="0" w:after="0" w:afterAutospacing="0"/>
                    <w:ind w:left="0" w:right="0"/>
                    <w:textAlignment w:val="auto"/>
                    <w:rPr>
                      <w:rFonts w:hint="eastAsia" w:cs="Times New Roman"/>
                      <w:color w:val="FF0000"/>
                      <w:szCs w:val="21"/>
                      <w:lang w:val="en-US" w:eastAsia="zh-CN"/>
                    </w:rPr>
                  </w:pPr>
                  <w:r>
                    <w:rPr>
                      <w:rFonts w:hint="eastAsia" w:ascii="Times New Roman" w:hAnsi="Times New Roman" w:eastAsia="宋体" w:cs="Times New Roman"/>
                      <w:color w:val="FF0000"/>
                      <w:szCs w:val="21"/>
                      <w:lang w:val="en-US" w:eastAsia="zh-CN"/>
                    </w:rPr>
                    <w:t>借方</w:t>
                  </w:r>
                </w:p>
              </w:tc>
              <w:tc>
                <w:tcPr>
                  <w:tcW w:w="968" w:type="pct"/>
                  <w:gridSpan w:val="2"/>
                  <w:noWrap w:val="0"/>
                  <w:vAlign w:val="center"/>
                </w:tcPr>
                <w:p w14:paraId="12E3E991">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eastAsia"/>
                      <w:color w:val="FF0000"/>
                      <w:lang w:val="en-US" w:eastAsia="zh-CN"/>
                    </w:rPr>
                    <w:t>余土（利用方）</w:t>
                  </w:r>
                </w:p>
              </w:tc>
            </w:tr>
            <w:tr w14:paraId="5FEC2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7" w:type="pct"/>
                  <w:gridSpan w:val="2"/>
                  <w:vMerge w:val="continue"/>
                  <w:noWrap w:val="0"/>
                  <w:vAlign w:val="center"/>
                </w:tcPr>
                <w:p w14:paraId="1064E18D">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p>
              </w:tc>
              <w:tc>
                <w:tcPr>
                  <w:tcW w:w="739" w:type="pct"/>
                  <w:vMerge w:val="continue"/>
                  <w:noWrap w:val="0"/>
                  <w:vAlign w:val="center"/>
                </w:tcPr>
                <w:p w14:paraId="3F9259E6">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p>
              </w:tc>
              <w:tc>
                <w:tcPr>
                  <w:tcW w:w="652" w:type="pct"/>
                  <w:vMerge w:val="continue"/>
                  <w:noWrap w:val="0"/>
                  <w:vAlign w:val="center"/>
                </w:tcPr>
                <w:p w14:paraId="25987383">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p>
              </w:tc>
              <w:tc>
                <w:tcPr>
                  <w:tcW w:w="465" w:type="pct"/>
                  <w:noWrap w:val="0"/>
                  <w:vAlign w:val="center"/>
                </w:tcPr>
                <w:p w14:paraId="6EA2A4F2">
                  <w:pPr>
                    <w:pStyle w:val="68"/>
                    <w:keepNext/>
                    <w:keepLines/>
                    <w:pageBreakBefore w:val="0"/>
                    <w:widowControl/>
                    <w:suppressLineNumbers w:val="0"/>
                    <w:kinsoku/>
                    <w:wordWrap/>
                    <w:overflowPunct/>
                    <w:topLinePunct w:val="0"/>
                    <w:bidi w:val="0"/>
                    <w:snapToGrid/>
                    <w:spacing w:before="0" w:beforeAutospacing="0" w:after="0" w:afterAutospacing="0"/>
                    <w:ind w:left="0" w:right="0"/>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数量</w:t>
                  </w:r>
                </w:p>
              </w:tc>
              <w:tc>
                <w:tcPr>
                  <w:tcW w:w="427" w:type="pct"/>
                  <w:noWrap w:val="0"/>
                  <w:vAlign w:val="center"/>
                </w:tcPr>
                <w:p w14:paraId="2B36AE77">
                  <w:pPr>
                    <w:pStyle w:val="68"/>
                    <w:keepNext/>
                    <w:keepLines/>
                    <w:pageBreakBefore w:val="0"/>
                    <w:widowControl/>
                    <w:suppressLineNumbers w:val="0"/>
                    <w:kinsoku/>
                    <w:wordWrap/>
                    <w:overflowPunct/>
                    <w:topLinePunct w:val="0"/>
                    <w:bidi w:val="0"/>
                    <w:snapToGrid/>
                    <w:spacing w:before="0" w:beforeAutospacing="0" w:after="0" w:afterAutospacing="0"/>
                    <w:ind w:left="0" w:right="0"/>
                    <w:textAlignment w:val="auto"/>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来源</w:t>
                  </w:r>
                </w:p>
              </w:tc>
              <w:tc>
                <w:tcPr>
                  <w:tcW w:w="465" w:type="pct"/>
                  <w:noWrap w:val="0"/>
                  <w:vAlign w:val="center"/>
                </w:tcPr>
                <w:p w14:paraId="604E8FEB">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数量</w:t>
                  </w:r>
                </w:p>
              </w:tc>
              <w:tc>
                <w:tcPr>
                  <w:tcW w:w="503" w:type="pct"/>
                  <w:noWrap w:val="0"/>
                  <w:vAlign w:val="center"/>
                </w:tcPr>
                <w:p w14:paraId="68E38D2B">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去向</w:t>
                  </w:r>
                </w:p>
              </w:tc>
            </w:tr>
            <w:tr w14:paraId="05F14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4" w:type="pct"/>
                  <w:vMerge w:val="restart"/>
                  <w:noWrap w:val="0"/>
                  <w:vAlign w:val="center"/>
                </w:tcPr>
                <w:p w14:paraId="50940D1A">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恒山变电站</w:t>
                  </w:r>
                </w:p>
              </w:tc>
              <w:tc>
                <w:tcPr>
                  <w:tcW w:w="733" w:type="pct"/>
                  <w:noWrap w:val="0"/>
                  <w:vAlign w:val="center"/>
                </w:tcPr>
                <w:p w14:paraId="6A1766E7">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default" w:ascii="Times New Roman" w:hAnsi="Times New Roman" w:eastAsia="宋体" w:cs="Times New Roman"/>
                      <w:color w:val="FF0000"/>
                      <w:szCs w:val="21"/>
                      <w:lang w:val="en-US" w:eastAsia="zh-CN"/>
                    </w:rPr>
                    <w:t>表土剥离</w:t>
                  </w:r>
                </w:p>
              </w:tc>
              <w:tc>
                <w:tcPr>
                  <w:tcW w:w="739" w:type="pct"/>
                  <w:noWrap w:val="0"/>
                  <w:vAlign w:val="center"/>
                </w:tcPr>
                <w:p w14:paraId="5BDAED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default" w:cs="Times New Roman"/>
                      <w:color w:val="FF0000"/>
                      <w:szCs w:val="21"/>
                      <w:lang w:val="en-US" w:eastAsia="zh-CN"/>
                    </w:rPr>
                    <w:t xml:space="preserve">0.17 </w:t>
                  </w:r>
                </w:p>
              </w:tc>
              <w:tc>
                <w:tcPr>
                  <w:tcW w:w="652" w:type="pct"/>
                  <w:noWrap w:val="0"/>
                  <w:vAlign w:val="center"/>
                </w:tcPr>
                <w:p w14:paraId="5DFE77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eastAsia" w:cs="Times New Roman"/>
                      <w:color w:val="FF0000"/>
                      <w:szCs w:val="21"/>
                      <w:lang w:val="en-US" w:eastAsia="zh-CN"/>
                    </w:rPr>
                    <w:t>0.17</w:t>
                  </w:r>
                </w:p>
              </w:tc>
              <w:tc>
                <w:tcPr>
                  <w:tcW w:w="465" w:type="pct"/>
                  <w:noWrap w:val="0"/>
                  <w:vAlign w:val="center"/>
                </w:tcPr>
                <w:p w14:paraId="735057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27" w:type="pct"/>
                  <w:noWrap w:val="0"/>
                  <w:vAlign w:val="center"/>
                </w:tcPr>
                <w:p w14:paraId="17E801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65" w:type="pct"/>
                  <w:noWrap w:val="0"/>
                  <w:vAlign w:val="center"/>
                </w:tcPr>
                <w:p w14:paraId="1CED4A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FF0000"/>
                      <w:szCs w:val="21"/>
                      <w:lang w:val="en-US" w:eastAsia="zh-CN"/>
                    </w:rPr>
                  </w:pPr>
                  <w:r>
                    <w:rPr>
                      <w:rFonts w:hint="eastAsia" w:cs="Times New Roman"/>
                      <w:color w:val="FF0000"/>
                      <w:szCs w:val="21"/>
                      <w:lang w:val="en-US" w:eastAsia="zh-CN"/>
                    </w:rPr>
                    <w:t>-</w:t>
                  </w:r>
                </w:p>
              </w:tc>
              <w:tc>
                <w:tcPr>
                  <w:tcW w:w="503" w:type="pct"/>
                  <w:noWrap w:val="0"/>
                  <w:vAlign w:val="center"/>
                </w:tcPr>
                <w:p w14:paraId="770762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r>
            <w:tr w14:paraId="52CC4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4" w:type="pct"/>
                  <w:vMerge w:val="continue"/>
                  <w:noWrap w:val="0"/>
                  <w:vAlign w:val="center"/>
                </w:tcPr>
                <w:p w14:paraId="3CBC186E">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p>
              </w:tc>
              <w:tc>
                <w:tcPr>
                  <w:tcW w:w="733" w:type="pct"/>
                  <w:noWrap w:val="0"/>
                  <w:vAlign w:val="center"/>
                </w:tcPr>
                <w:p w14:paraId="5D0FDE6C">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场地开挖</w:t>
                  </w:r>
                </w:p>
              </w:tc>
              <w:tc>
                <w:tcPr>
                  <w:tcW w:w="739" w:type="pct"/>
                  <w:noWrap w:val="0"/>
                  <w:vAlign w:val="center"/>
                </w:tcPr>
                <w:p w14:paraId="034F32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default" w:cs="Times New Roman"/>
                      <w:color w:val="FF0000"/>
                      <w:szCs w:val="21"/>
                      <w:lang w:val="en-US" w:eastAsia="zh-CN"/>
                    </w:rPr>
                    <w:t xml:space="preserve">0.19 </w:t>
                  </w:r>
                </w:p>
              </w:tc>
              <w:tc>
                <w:tcPr>
                  <w:tcW w:w="652" w:type="pct"/>
                  <w:noWrap w:val="0"/>
                  <w:vAlign w:val="center"/>
                </w:tcPr>
                <w:p w14:paraId="0E4348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default" w:cs="Times New Roman"/>
                      <w:color w:val="FF0000"/>
                      <w:szCs w:val="21"/>
                      <w:lang w:val="en-US" w:eastAsia="zh-CN"/>
                    </w:rPr>
                    <w:t xml:space="preserve">1.18 </w:t>
                  </w:r>
                </w:p>
              </w:tc>
              <w:tc>
                <w:tcPr>
                  <w:tcW w:w="465" w:type="pct"/>
                  <w:noWrap w:val="0"/>
                  <w:vAlign w:val="center"/>
                </w:tcPr>
                <w:p w14:paraId="58C497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FF0000"/>
                      <w:szCs w:val="21"/>
                      <w:lang w:val="en-US" w:eastAsia="zh-CN"/>
                    </w:rPr>
                  </w:pPr>
                  <w:r>
                    <w:rPr>
                      <w:rFonts w:hint="eastAsia" w:cs="Times New Roman"/>
                      <w:color w:val="FF0000"/>
                      <w:szCs w:val="21"/>
                      <w:lang w:val="en-US" w:eastAsia="zh-CN"/>
                    </w:rPr>
                    <w:t>0.99</w:t>
                  </w:r>
                </w:p>
              </w:tc>
              <w:tc>
                <w:tcPr>
                  <w:tcW w:w="427" w:type="pct"/>
                  <w:noWrap w:val="0"/>
                  <w:vAlign w:val="center"/>
                </w:tcPr>
                <w:p w14:paraId="070E29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FF0000"/>
                      <w:szCs w:val="21"/>
                      <w:lang w:val="en-US" w:eastAsia="zh-CN"/>
                    </w:rPr>
                  </w:pPr>
                  <w:r>
                    <w:rPr>
                      <w:rFonts w:hint="eastAsia" w:cs="Times New Roman"/>
                      <w:color w:val="FF0000"/>
                      <w:szCs w:val="21"/>
                      <w:lang w:val="en-US" w:eastAsia="zh-CN"/>
                    </w:rPr>
                    <w:t>购买</w:t>
                  </w:r>
                </w:p>
              </w:tc>
              <w:tc>
                <w:tcPr>
                  <w:tcW w:w="465" w:type="pct"/>
                  <w:noWrap w:val="0"/>
                  <w:vAlign w:val="center"/>
                </w:tcPr>
                <w:p w14:paraId="6ABF95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eastAsia" w:cs="Times New Roman"/>
                      <w:color w:val="FF0000"/>
                      <w:szCs w:val="21"/>
                      <w:lang w:val="en-US" w:eastAsia="zh-CN"/>
                    </w:rPr>
                    <w:t>-</w:t>
                  </w:r>
                </w:p>
              </w:tc>
              <w:tc>
                <w:tcPr>
                  <w:tcW w:w="503" w:type="pct"/>
                  <w:noWrap w:val="0"/>
                  <w:vAlign w:val="center"/>
                </w:tcPr>
                <w:p w14:paraId="426964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r>
            <w:tr w14:paraId="5CECB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4" w:type="pct"/>
                  <w:vMerge w:val="restart"/>
                  <w:noWrap w:val="0"/>
                  <w:vAlign w:val="center"/>
                </w:tcPr>
                <w:p w14:paraId="78A23761">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塔基施工区</w:t>
                  </w:r>
                </w:p>
              </w:tc>
              <w:tc>
                <w:tcPr>
                  <w:tcW w:w="733" w:type="pct"/>
                  <w:noWrap w:val="0"/>
                  <w:vAlign w:val="center"/>
                </w:tcPr>
                <w:p w14:paraId="79CE3DD6">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highlight w:val="none"/>
                      <w:lang w:val="zh-CN" w:eastAsia="zh-CN"/>
                    </w:rPr>
                  </w:pPr>
                  <w:r>
                    <w:rPr>
                      <w:rFonts w:hint="default" w:ascii="Times New Roman" w:hAnsi="Times New Roman" w:eastAsia="宋体" w:cs="Times New Roman"/>
                      <w:color w:val="FF0000"/>
                      <w:szCs w:val="21"/>
                      <w:highlight w:val="none"/>
                      <w:lang w:val="en-US" w:eastAsia="zh-CN"/>
                    </w:rPr>
                    <w:t>表土剥离</w:t>
                  </w:r>
                </w:p>
              </w:tc>
              <w:tc>
                <w:tcPr>
                  <w:tcW w:w="739" w:type="pct"/>
                  <w:noWrap w:val="0"/>
                  <w:vAlign w:val="center"/>
                </w:tcPr>
                <w:p w14:paraId="358F2E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default" w:cs="Times New Roman"/>
                      <w:color w:val="FF0000"/>
                      <w:szCs w:val="21"/>
                      <w:lang w:val="en-US" w:eastAsia="zh-CN"/>
                    </w:rPr>
                    <w:t xml:space="preserve">6.14 </w:t>
                  </w:r>
                </w:p>
              </w:tc>
              <w:tc>
                <w:tcPr>
                  <w:tcW w:w="652" w:type="pct"/>
                  <w:noWrap w:val="0"/>
                  <w:vAlign w:val="center"/>
                </w:tcPr>
                <w:p w14:paraId="4C23F2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default" w:cs="Times New Roman"/>
                      <w:color w:val="FF0000"/>
                      <w:szCs w:val="21"/>
                      <w:lang w:val="en-US" w:eastAsia="zh-CN"/>
                    </w:rPr>
                    <w:t xml:space="preserve">6.14 </w:t>
                  </w:r>
                </w:p>
              </w:tc>
              <w:tc>
                <w:tcPr>
                  <w:tcW w:w="465" w:type="pct"/>
                  <w:noWrap w:val="0"/>
                  <w:vAlign w:val="center"/>
                </w:tcPr>
                <w:p w14:paraId="175A4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FF0000"/>
                      <w:szCs w:val="21"/>
                      <w:lang w:val="en-US" w:eastAsia="zh-CN"/>
                    </w:rPr>
                  </w:pPr>
                  <w:r>
                    <w:rPr>
                      <w:rFonts w:hint="eastAsia" w:cs="Times New Roman"/>
                      <w:color w:val="FF0000"/>
                      <w:szCs w:val="21"/>
                      <w:lang w:val="en-US" w:eastAsia="zh-CN"/>
                    </w:rPr>
                    <w:t>-</w:t>
                  </w:r>
                </w:p>
              </w:tc>
              <w:tc>
                <w:tcPr>
                  <w:tcW w:w="427" w:type="pct"/>
                  <w:noWrap w:val="0"/>
                  <w:vAlign w:val="center"/>
                </w:tcPr>
                <w:p w14:paraId="0B3414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65" w:type="pct"/>
                  <w:noWrap w:val="0"/>
                  <w:vAlign w:val="center"/>
                </w:tcPr>
                <w:p w14:paraId="5FDE88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w:t>
                  </w:r>
                </w:p>
              </w:tc>
              <w:tc>
                <w:tcPr>
                  <w:tcW w:w="503" w:type="pct"/>
                  <w:noWrap w:val="0"/>
                  <w:vAlign w:val="center"/>
                </w:tcPr>
                <w:p w14:paraId="3AE4E3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w:t>
                  </w:r>
                </w:p>
              </w:tc>
            </w:tr>
            <w:tr w14:paraId="3BD61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4" w:type="pct"/>
                  <w:vMerge w:val="continue"/>
                  <w:noWrap w:val="0"/>
                  <w:vAlign w:val="center"/>
                </w:tcPr>
                <w:p w14:paraId="118FB02C">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highlight w:val="none"/>
                      <w:lang w:val="en-US" w:eastAsia="zh-CN"/>
                    </w:rPr>
                  </w:pPr>
                </w:p>
              </w:tc>
              <w:tc>
                <w:tcPr>
                  <w:tcW w:w="733" w:type="pct"/>
                  <w:noWrap w:val="0"/>
                  <w:vAlign w:val="center"/>
                </w:tcPr>
                <w:p w14:paraId="074B19EF">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基础开挖</w:t>
                  </w:r>
                </w:p>
              </w:tc>
              <w:tc>
                <w:tcPr>
                  <w:tcW w:w="739" w:type="pct"/>
                  <w:noWrap w:val="0"/>
                  <w:vAlign w:val="center"/>
                </w:tcPr>
                <w:p w14:paraId="2DAD37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default" w:cs="Times New Roman"/>
                      <w:color w:val="FF0000"/>
                      <w:szCs w:val="21"/>
                      <w:lang w:val="en-US" w:eastAsia="zh-CN"/>
                    </w:rPr>
                    <w:t xml:space="preserve">4.98 </w:t>
                  </w:r>
                </w:p>
              </w:tc>
              <w:tc>
                <w:tcPr>
                  <w:tcW w:w="652" w:type="pct"/>
                  <w:noWrap w:val="0"/>
                  <w:vAlign w:val="center"/>
                </w:tcPr>
                <w:p w14:paraId="0D7C01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default" w:cs="Times New Roman"/>
                      <w:color w:val="FF0000"/>
                      <w:szCs w:val="21"/>
                      <w:lang w:val="en-US" w:eastAsia="zh-CN"/>
                    </w:rPr>
                    <w:t xml:space="preserve">4.98 </w:t>
                  </w:r>
                </w:p>
              </w:tc>
              <w:tc>
                <w:tcPr>
                  <w:tcW w:w="465" w:type="pct"/>
                  <w:noWrap w:val="0"/>
                  <w:vAlign w:val="center"/>
                </w:tcPr>
                <w:p w14:paraId="4C1CD4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FF0000"/>
                      <w:szCs w:val="21"/>
                      <w:lang w:val="en-US" w:eastAsia="zh-CN"/>
                    </w:rPr>
                  </w:pPr>
                  <w:r>
                    <w:rPr>
                      <w:rFonts w:hint="eastAsia" w:cs="Times New Roman"/>
                      <w:color w:val="FF0000"/>
                      <w:szCs w:val="21"/>
                      <w:lang w:val="en-US" w:eastAsia="zh-CN"/>
                    </w:rPr>
                    <w:t>-</w:t>
                  </w:r>
                </w:p>
              </w:tc>
              <w:tc>
                <w:tcPr>
                  <w:tcW w:w="427" w:type="pct"/>
                  <w:noWrap w:val="0"/>
                  <w:vAlign w:val="center"/>
                </w:tcPr>
                <w:p w14:paraId="1268B3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65" w:type="pct"/>
                  <w:noWrap w:val="0"/>
                  <w:vAlign w:val="center"/>
                </w:tcPr>
                <w:p w14:paraId="44EFE4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w:t>
                  </w:r>
                </w:p>
              </w:tc>
              <w:tc>
                <w:tcPr>
                  <w:tcW w:w="503" w:type="pct"/>
                  <w:noWrap w:val="0"/>
                  <w:vAlign w:val="center"/>
                </w:tcPr>
                <w:p w14:paraId="200AC1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w:t>
                  </w:r>
                </w:p>
              </w:tc>
            </w:tr>
            <w:tr w14:paraId="603C7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014" w:type="pct"/>
                  <w:noWrap w:val="0"/>
                  <w:vAlign w:val="center"/>
                </w:tcPr>
                <w:p w14:paraId="405C2296">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kern w:val="2"/>
                      <w:sz w:val="21"/>
                      <w:szCs w:val="21"/>
                      <w:highlight w:val="none"/>
                      <w:lang w:val="en-US" w:eastAsia="zh-CN" w:bidi="ar-SA"/>
                    </w:rPr>
                    <w:t>牵张场地</w:t>
                  </w:r>
                </w:p>
              </w:tc>
              <w:tc>
                <w:tcPr>
                  <w:tcW w:w="733" w:type="pct"/>
                  <w:noWrap w:val="0"/>
                  <w:vAlign w:val="center"/>
                </w:tcPr>
                <w:p w14:paraId="5AC50D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表土剥离</w:t>
                  </w:r>
                </w:p>
              </w:tc>
              <w:tc>
                <w:tcPr>
                  <w:tcW w:w="739" w:type="pct"/>
                  <w:noWrap w:val="0"/>
                  <w:vAlign w:val="center"/>
                </w:tcPr>
                <w:p w14:paraId="48E281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 xml:space="preserve">1.82 </w:t>
                  </w:r>
                </w:p>
              </w:tc>
              <w:tc>
                <w:tcPr>
                  <w:tcW w:w="652" w:type="pct"/>
                  <w:noWrap w:val="0"/>
                  <w:vAlign w:val="center"/>
                </w:tcPr>
                <w:p w14:paraId="74B8F2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 xml:space="preserve">1.82 </w:t>
                  </w:r>
                </w:p>
              </w:tc>
              <w:tc>
                <w:tcPr>
                  <w:tcW w:w="465" w:type="pct"/>
                  <w:noWrap w:val="0"/>
                  <w:vAlign w:val="center"/>
                </w:tcPr>
                <w:p w14:paraId="02C52A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27" w:type="pct"/>
                  <w:noWrap w:val="0"/>
                  <w:vAlign w:val="center"/>
                </w:tcPr>
                <w:p w14:paraId="0545A2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65" w:type="pct"/>
                  <w:noWrap w:val="0"/>
                  <w:vAlign w:val="center"/>
                </w:tcPr>
                <w:p w14:paraId="6E3539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503" w:type="pct"/>
                  <w:noWrap w:val="0"/>
                  <w:vAlign w:val="center"/>
                </w:tcPr>
                <w:p w14:paraId="440BE3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r>
            <w:tr w14:paraId="1B25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4" w:type="pct"/>
                  <w:noWrap w:val="0"/>
                  <w:vAlign w:val="center"/>
                </w:tcPr>
                <w:p w14:paraId="51E5CED7">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kern w:val="2"/>
                      <w:sz w:val="21"/>
                      <w:szCs w:val="21"/>
                      <w:highlight w:val="none"/>
                      <w:lang w:val="en-US" w:eastAsia="zh-CN" w:bidi="ar-SA"/>
                    </w:rPr>
                    <w:t>施工便道</w:t>
                  </w:r>
                </w:p>
              </w:tc>
              <w:tc>
                <w:tcPr>
                  <w:tcW w:w="733" w:type="pct"/>
                  <w:noWrap w:val="0"/>
                  <w:vAlign w:val="center"/>
                </w:tcPr>
                <w:p w14:paraId="2419BC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表土剥离</w:t>
                  </w:r>
                </w:p>
              </w:tc>
              <w:tc>
                <w:tcPr>
                  <w:tcW w:w="739" w:type="pct"/>
                  <w:noWrap w:val="0"/>
                  <w:vAlign w:val="center"/>
                </w:tcPr>
                <w:p w14:paraId="756321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 xml:space="preserve">17.10 </w:t>
                  </w:r>
                </w:p>
              </w:tc>
              <w:tc>
                <w:tcPr>
                  <w:tcW w:w="652" w:type="pct"/>
                  <w:noWrap w:val="0"/>
                  <w:vAlign w:val="center"/>
                </w:tcPr>
                <w:p w14:paraId="3DE6D9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 xml:space="preserve">17.10 </w:t>
                  </w:r>
                </w:p>
              </w:tc>
              <w:tc>
                <w:tcPr>
                  <w:tcW w:w="465" w:type="pct"/>
                  <w:noWrap w:val="0"/>
                  <w:vAlign w:val="center"/>
                </w:tcPr>
                <w:p w14:paraId="46195A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27" w:type="pct"/>
                  <w:noWrap w:val="0"/>
                  <w:vAlign w:val="center"/>
                </w:tcPr>
                <w:p w14:paraId="326CC3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65" w:type="pct"/>
                  <w:noWrap w:val="0"/>
                  <w:vAlign w:val="center"/>
                </w:tcPr>
                <w:p w14:paraId="1439DA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503" w:type="pct"/>
                  <w:noWrap w:val="0"/>
                  <w:vAlign w:val="center"/>
                </w:tcPr>
                <w:p w14:paraId="0A7B82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r>
            <w:tr w14:paraId="73962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4" w:type="pct"/>
                  <w:noWrap w:val="0"/>
                  <w:vAlign w:val="center"/>
                </w:tcPr>
                <w:p w14:paraId="537393B8">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kern w:val="2"/>
                      <w:sz w:val="21"/>
                      <w:szCs w:val="21"/>
                      <w:highlight w:val="none"/>
                      <w:lang w:val="en-US" w:eastAsia="zh-CN" w:bidi="ar-SA"/>
                    </w:rPr>
                    <w:t>跨越施工场地</w:t>
                  </w:r>
                </w:p>
              </w:tc>
              <w:tc>
                <w:tcPr>
                  <w:tcW w:w="733" w:type="pct"/>
                  <w:noWrap w:val="0"/>
                  <w:vAlign w:val="center"/>
                </w:tcPr>
                <w:p w14:paraId="0D535D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表土剥离</w:t>
                  </w:r>
                </w:p>
              </w:tc>
              <w:tc>
                <w:tcPr>
                  <w:tcW w:w="739" w:type="pct"/>
                  <w:noWrap w:val="0"/>
                  <w:vAlign w:val="center"/>
                </w:tcPr>
                <w:p w14:paraId="098431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 xml:space="preserve">0.47 </w:t>
                  </w:r>
                </w:p>
              </w:tc>
              <w:tc>
                <w:tcPr>
                  <w:tcW w:w="652" w:type="pct"/>
                  <w:noWrap w:val="0"/>
                  <w:vAlign w:val="center"/>
                </w:tcPr>
                <w:p w14:paraId="65A0C4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 xml:space="preserve">0.47 </w:t>
                  </w:r>
                </w:p>
              </w:tc>
              <w:tc>
                <w:tcPr>
                  <w:tcW w:w="465" w:type="pct"/>
                  <w:noWrap w:val="0"/>
                  <w:vAlign w:val="center"/>
                </w:tcPr>
                <w:p w14:paraId="67DED8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27" w:type="pct"/>
                  <w:noWrap w:val="0"/>
                  <w:vAlign w:val="center"/>
                </w:tcPr>
                <w:p w14:paraId="0EA8B4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65" w:type="pct"/>
                  <w:noWrap w:val="0"/>
                  <w:vAlign w:val="center"/>
                </w:tcPr>
                <w:p w14:paraId="0FF880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503" w:type="pct"/>
                  <w:noWrap w:val="0"/>
                  <w:vAlign w:val="center"/>
                </w:tcPr>
                <w:p w14:paraId="4DD3AA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r>
            <w:tr w14:paraId="2AEC6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4" w:type="pct"/>
                  <w:noWrap w:val="0"/>
                  <w:vAlign w:val="center"/>
                </w:tcPr>
                <w:p w14:paraId="3078FA62">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szCs w:val="21"/>
                      <w:highlight w:val="none"/>
                      <w:lang w:val="en-US" w:eastAsia="zh-CN"/>
                    </w:rPr>
                  </w:pPr>
                  <w:r>
                    <w:rPr>
                      <w:rFonts w:hint="eastAsia" w:cs="Times New Roman"/>
                      <w:color w:val="FF0000"/>
                      <w:kern w:val="2"/>
                      <w:sz w:val="21"/>
                      <w:szCs w:val="21"/>
                      <w:highlight w:val="none"/>
                      <w:lang w:val="en-US" w:eastAsia="zh-CN" w:bidi="ar-SA"/>
                    </w:rPr>
                    <w:t>材料场地</w:t>
                  </w:r>
                </w:p>
              </w:tc>
              <w:tc>
                <w:tcPr>
                  <w:tcW w:w="733" w:type="pct"/>
                  <w:noWrap w:val="0"/>
                  <w:vAlign w:val="center"/>
                </w:tcPr>
                <w:p w14:paraId="1BA2EE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表土剥离</w:t>
                  </w:r>
                </w:p>
              </w:tc>
              <w:tc>
                <w:tcPr>
                  <w:tcW w:w="739" w:type="pct"/>
                  <w:noWrap w:val="0"/>
                  <w:vAlign w:val="center"/>
                </w:tcPr>
                <w:p w14:paraId="5BE69A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 xml:space="preserve">0.05 </w:t>
                  </w:r>
                </w:p>
              </w:tc>
              <w:tc>
                <w:tcPr>
                  <w:tcW w:w="652" w:type="pct"/>
                  <w:noWrap w:val="0"/>
                  <w:vAlign w:val="center"/>
                </w:tcPr>
                <w:p w14:paraId="18EF75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 xml:space="preserve">0.05 </w:t>
                  </w:r>
                </w:p>
              </w:tc>
              <w:tc>
                <w:tcPr>
                  <w:tcW w:w="465" w:type="pct"/>
                  <w:noWrap w:val="0"/>
                  <w:vAlign w:val="center"/>
                </w:tcPr>
                <w:p w14:paraId="6D6648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27" w:type="pct"/>
                  <w:noWrap w:val="0"/>
                  <w:vAlign w:val="center"/>
                </w:tcPr>
                <w:p w14:paraId="2BA8C9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65" w:type="pct"/>
                  <w:noWrap w:val="0"/>
                  <w:vAlign w:val="center"/>
                </w:tcPr>
                <w:p w14:paraId="04336D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503" w:type="pct"/>
                  <w:noWrap w:val="0"/>
                  <w:vAlign w:val="center"/>
                </w:tcPr>
                <w:p w14:paraId="679AD0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r>
            <w:tr w14:paraId="018E8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7" w:type="pct"/>
                  <w:gridSpan w:val="2"/>
                  <w:noWrap w:val="0"/>
                  <w:vAlign w:val="center"/>
                </w:tcPr>
                <w:p w14:paraId="512EA047">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合计</w:t>
                  </w:r>
                </w:p>
              </w:tc>
              <w:tc>
                <w:tcPr>
                  <w:tcW w:w="739" w:type="pct"/>
                  <w:noWrap w:val="0"/>
                  <w:vAlign w:val="center"/>
                </w:tcPr>
                <w:p w14:paraId="7F7392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default" w:cs="Times New Roman"/>
                      <w:color w:val="FF0000"/>
                      <w:szCs w:val="21"/>
                      <w:lang w:val="en-US" w:eastAsia="zh-CN"/>
                    </w:rPr>
                    <w:t>30.9</w:t>
                  </w:r>
                  <w:r>
                    <w:rPr>
                      <w:rFonts w:hint="eastAsia" w:cs="Times New Roman"/>
                      <w:color w:val="FF0000"/>
                      <w:szCs w:val="21"/>
                      <w:lang w:val="en-US" w:eastAsia="zh-CN"/>
                    </w:rPr>
                    <w:t>2</w:t>
                  </w:r>
                  <w:r>
                    <w:rPr>
                      <w:rFonts w:hint="default" w:cs="Times New Roman"/>
                      <w:color w:val="FF0000"/>
                      <w:szCs w:val="21"/>
                      <w:lang w:val="en-US" w:eastAsia="zh-CN"/>
                    </w:rPr>
                    <w:t xml:space="preserve"> </w:t>
                  </w:r>
                </w:p>
              </w:tc>
              <w:tc>
                <w:tcPr>
                  <w:tcW w:w="652" w:type="pct"/>
                  <w:noWrap w:val="0"/>
                  <w:vAlign w:val="center"/>
                </w:tcPr>
                <w:p w14:paraId="41F234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FF0000"/>
                      <w:szCs w:val="21"/>
                      <w:lang w:val="en-US" w:eastAsia="zh-CN"/>
                    </w:rPr>
                  </w:pPr>
                  <w:r>
                    <w:rPr>
                      <w:rFonts w:hint="eastAsia" w:cs="Times New Roman"/>
                      <w:color w:val="FF0000"/>
                      <w:szCs w:val="21"/>
                      <w:lang w:val="en-US" w:eastAsia="zh-CN"/>
                    </w:rPr>
                    <w:t>31.91</w:t>
                  </w:r>
                  <w:r>
                    <w:rPr>
                      <w:rFonts w:hint="default" w:cs="Times New Roman"/>
                      <w:color w:val="FF0000"/>
                      <w:szCs w:val="21"/>
                      <w:lang w:val="en-US" w:eastAsia="zh-CN"/>
                    </w:rPr>
                    <w:t xml:space="preserve"> </w:t>
                  </w:r>
                </w:p>
              </w:tc>
              <w:tc>
                <w:tcPr>
                  <w:tcW w:w="465" w:type="pct"/>
                  <w:noWrap w:val="0"/>
                  <w:vAlign w:val="center"/>
                </w:tcPr>
                <w:p w14:paraId="63A20857">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FF0000"/>
                      <w:szCs w:val="21"/>
                      <w:lang w:val="en-US" w:eastAsia="zh-CN"/>
                    </w:rPr>
                  </w:pPr>
                  <w:r>
                    <w:rPr>
                      <w:rFonts w:hint="eastAsia" w:cs="Times New Roman"/>
                      <w:color w:val="FF0000"/>
                      <w:szCs w:val="21"/>
                      <w:lang w:val="en-US" w:eastAsia="zh-CN"/>
                    </w:rPr>
                    <w:t>0.99</w:t>
                  </w:r>
                </w:p>
              </w:tc>
              <w:tc>
                <w:tcPr>
                  <w:tcW w:w="427" w:type="pct"/>
                  <w:noWrap w:val="0"/>
                  <w:vAlign w:val="center"/>
                </w:tcPr>
                <w:p w14:paraId="3AEAA932">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FF0000"/>
                      <w:szCs w:val="21"/>
                      <w:lang w:val="en-US" w:eastAsia="zh-CN"/>
                    </w:rPr>
                  </w:pPr>
                  <w:r>
                    <w:rPr>
                      <w:rFonts w:hint="eastAsia" w:cs="Times New Roman"/>
                      <w:color w:val="FF0000"/>
                      <w:szCs w:val="21"/>
                      <w:lang w:val="en-US" w:eastAsia="zh-CN"/>
                    </w:rPr>
                    <w:t>-</w:t>
                  </w:r>
                </w:p>
              </w:tc>
              <w:tc>
                <w:tcPr>
                  <w:tcW w:w="465" w:type="pct"/>
                  <w:shd w:val="clear" w:color="auto" w:fill="auto"/>
                  <w:noWrap w:val="0"/>
                  <w:vAlign w:val="center"/>
                </w:tcPr>
                <w:p w14:paraId="031C86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szCs w:val="21"/>
                      <w:lang w:val="en-US" w:eastAsia="zh-CN"/>
                    </w:rPr>
                    <w:t>-</w:t>
                  </w:r>
                </w:p>
              </w:tc>
              <w:tc>
                <w:tcPr>
                  <w:tcW w:w="503" w:type="pct"/>
                  <w:shd w:val="clear" w:color="auto" w:fill="auto"/>
                  <w:noWrap w:val="0"/>
                  <w:vAlign w:val="center"/>
                </w:tcPr>
                <w:p w14:paraId="5F29AF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szCs w:val="21"/>
                      <w:lang w:val="en-US" w:eastAsia="zh-CN"/>
                    </w:rPr>
                    <w:t>-</w:t>
                  </w:r>
                </w:p>
              </w:tc>
            </w:tr>
          </w:tbl>
          <w:p w14:paraId="35F73323">
            <w:pPr>
              <w:keepNext w:val="0"/>
              <w:keepLines w:val="0"/>
              <w:suppressLineNumbers w:val="0"/>
              <w:adjustRightInd w:val="0"/>
              <w:snapToGrid w:val="0"/>
              <w:spacing w:before="0" w:beforeAutospacing="0" w:after="0" w:afterAutospacing="0" w:line="360" w:lineRule="auto"/>
              <w:ind w:left="0" w:right="0" w:firstLine="482" w:firstLineChars="200"/>
              <w:jc w:val="left"/>
              <w:rPr>
                <w:rFonts w:hint="default"/>
                <w:b/>
                <w:bCs/>
                <w:color w:val="000000" w:themeColor="text1"/>
                <w:kern w:val="0"/>
                <w:sz w:val="24"/>
                <w14:textFill>
                  <w14:solidFill>
                    <w14:schemeClr w14:val="tx1"/>
                  </w14:solidFill>
                </w14:textFill>
              </w:rPr>
            </w:pPr>
          </w:p>
        </w:tc>
      </w:tr>
      <w:tr w14:paraId="3D961F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10" w:type="dxa"/>
            <w:vAlign w:val="center"/>
          </w:tcPr>
          <w:p w14:paraId="39869497">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sz w:val="24"/>
                <w:szCs w:val="32"/>
                <w14:textFill>
                  <w14:solidFill>
                    <w14:schemeClr w14:val="tx1"/>
                  </w14:solidFill>
                </w14:textFill>
              </w:rPr>
              <w:t>总平面及现场布置</w:t>
            </w:r>
          </w:p>
        </w:tc>
        <w:tc>
          <w:tcPr>
            <w:tcW w:w="8380" w:type="dxa"/>
            <w:shd w:val="clear" w:color="auto" w:fill="auto"/>
            <w:vAlign w:val="center"/>
          </w:tcPr>
          <w:p w14:paraId="7B7FDEA6">
            <w:pPr>
              <w:keepNext w:val="0"/>
              <w:keepLines w:val="0"/>
              <w:suppressLineNumbers w:val="0"/>
              <w:adjustRightInd w:val="0"/>
              <w:snapToGrid w:val="0"/>
              <w:spacing w:before="0" w:beforeAutospacing="0" w:after="0" w:afterAutospacing="0" w:line="360" w:lineRule="auto"/>
              <w:ind w:left="0" w:right="0" w:firstLine="482" w:firstLineChars="200"/>
              <w:rPr>
                <w:rFonts w:hint="default"/>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1</w:t>
            </w:r>
            <w:r>
              <w:rPr>
                <w:rFonts w:hint="eastAsia"/>
                <w:b/>
                <w:color w:val="000000" w:themeColor="text1"/>
                <w:sz w:val="24"/>
                <w14:textFill>
                  <w14:solidFill>
                    <w14:schemeClr w14:val="tx1"/>
                  </w14:solidFill>
                </w14:textFill>
              </w:rPr>
              <w:t>、工程布局情况</w:t>
            </w:r>
          </w:p>
          <w:p w14:paraId="5A9A0FF2">
            <w:pPr>
              <w:keepNext w:val="0"/>
              <w:keepLines w:val="0"/>
              <w:suppressLineNumbers w:val="0"/>
              <w:adjustRightInd w:val="0"/>
              <w:snapToGrid w:val="0"/>
              <w:spacing w:before="0" w:beforeAutospacing="0" w:after="0" w:afterAutospacing="0" w:line="360" w:lineRule="auto"/>
              <w:ind w:left="0" w:right="0" w:firstLine="482" w:firstLineChars="200"/>
              <w:rPr>
                <w:rFonts w:hint="eastAsia"/>
                <w:b/>
                <w:color w:val="000000" w:themeColor="text1"/>
                <w:sz w:val="24"/>
                <w:lang w:eastAsia="zh-CN"/>
                <w14:textFill>
                  <w14:solidFill>
                    <w14:schemeClr w14:val="tx1"/>
                  </w14:solidFill>
                </w14:textFill>
              </w:rPr>
            </w:pPr>
            <w:r>
              <w:rPr>
                <w:rFonts w:hint="eastAsia"/>
                <w:b/>
                <w:color w:val="000000" w:themeColor="text1"/>
                <w:sz w:val="24"/>
                <w:lang w:eastAsia="zh-CN"/>
                <w14:textFill>
                  <w14:solidFill>
                    <w14:schemeClr w14:val="tx1"/>
                  </w14:solidFill>
                </w14:textFill>
              </w:rPr>
              <w:t>（</w:t>
            </w:r>
            <w:r>
              <w:rPr>
                <w:rFonts w:hint="eastAsia"/>
                <w:b/>
                <w:color w:val="000000" w:themeColor="text1"/>
                <w:sz w:val="24"/>
                <w:lang w:val="en-US" w:eastAsia="zh-CN"/>
                <w14:textFill>
                  <w14:solidFill>
                    <w14:schemeClr w14:val="tx1"/>
                  </w14:solidFill>
                </w14:textFill>
              </w:rPr>
              <w:t>1</w:t>
            </w:r>
            <w:r>
              <w:rPr>
                <w:rFonts w:hint="eastAsia"/>
                <w:b/>
                <w:color w:val="000000" w:themeColor="text1"/>
                <w:sz w:val="24"/>
                <w:lang w:eastAsia="zh-CN"/>
                <w14:textFill>
                  <w14:solidFill>
                    <w14:schemeClr w14:val="tx1"/>
                  </w14:solidFill>
                </w14:textFill>
              </w:rPr>
              <w:t>）220千伏</w:t>
            </w:r>
            <w:r>
              <w:rPr>
                <w:rFonts w:hint="eastAsia"/>
                <w:b/>
                <w:color w:val="000000" w:themeColor="text1"/>
                <w:sz w:val="24"/>
                <w:lang w:val="en-US" w:eastAsia="zh-CN"/>
                <w14:textFill>
                  <w14:solidFill>
                    <w14:schemeClr w14:val="tx1"/>
                  </w14:solidFill>
                </w14:textFill>
              </w:rPr>
              <w:t>恒山</w:t>
            </w:r>
            <w:r>
              <w:rPr>
                <w:rFonts w:hint="eastAsia"/>
                <w:b/>
                <w:color w:val="000000" w:themeColor="text1"/>
                <w:sz w:val="24"/>
                <w:lang w:eastAsia="zh-CN"/>
                <w14:textFill>
                  <w14:solidFill>
                    <w14:schemeClr w14:val="tx1"/>
                  </w14:solidFill>
                </w14:textFill>
              </w:rPr>
              <w:t>变电站</w:t>
            </w:r>
          </w:p>
          <w:p w14:paraId="2D4A1048">
            <w:pPr>
              <w:pStyle w:val="2"/>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eastAsia" w:eastAsia="宋体" w:cs="Times New Roman"/>
                <w:b w:val="0"/>
                <w:bCs w:val="0"/>
                <w:color w:val="000000" w:themeColor="text1"/>
                <w:kern w:val="2"/>
                <w:sz w:val="24"/>
                <w:szCs w:val="24"/>
                <w:lang w:val="en-US" w:eastAsia="zh-CN" w:bidi="ar-SA"/>
                <w14:textFill>
                  <w14:solidFill>
                    <w14:schemeClr w14:val="tx1"/>
                  </w14:solidFill>
                </w14:textFill>
              </w:rPr>
              <w:t>恒山变电站220kV配电装置布置在站区西侧，66kV配电装置布置在站区南侧，主控通信建筑布置在北侧进站大门西侧。本期在西北侧</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新建1个线路间隔，</w:t>
            </w:r>
            <w:r>
              <w:rPr>
                <w:rFonts w:hint="eastAsia" w:eastAsia="宋体" w:cs="Times New Roman"/>
                <w:b w:val="0"/>
                <w:bCs w:val="0"/>
                <w:color w:val="000000" w:themeColor="text1"/>
                <w:kern w:val="2"/>
                <w:sz w:val="24"/>
                <w:szCs w:val="24"/>
                <w:lang w:val="en-US" w:eastAsia="zh-CN" w:bidi="ar-SA"/>
                <w14:textFill>
                  <w14:solidFill>
                    <w14:schemeClr w14:val="tx1"/>
                  </w14:solidFill>
                </w14:textFill>
              </w:rPr>
              <w:t>突破西北侧原有围墙</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，新征用地面积5625.70m²</w:t>
            </w:r>
            <w:r>
              <w:rPr>
                <w:rFonts w:hint="eastAsia" w:eastAsia="宋体" w:cs="Times New Roman"/>
                <w:b w:val="0"/>
                <w:bCs w:val="0"/>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围墙内占地面积5034.27m</w:t>
            </w:r>
            <w:r>
              <w:rPr>
                <w:rFonts w:hint="eastAsia" w:eastAsia="宋体" w:cs="Times New Roman"/>
                <w:b w:val="0"/>
                <w:bCs w:val="0"/>
                <w:color w:val="000000" w:themeColor="text1"/>
                <w:kern w:val="2"/>
                <w:sz w:val="24"/>
                <w:szCs w:val="24"/>
                <w:vertAlign w:val="superscript"/>
                <w:lang w:val="en-US" w:eastAsia="zh-CN" w:bidi="ar-SA"/>
                <w14:textFill>
                  <w14:solidFill>
                    <w14:schemeClr w14:val="tx1"/>
                  </w14:solidFill>
                </w14:textFill>
              </w:rPr>
              <w:t>2</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w:t>
            </w:r>
          </w:p>
          <w:p w14:paraId="237B660D">
            <w:pPr>
              <w:keepNext w:val="0"/>
              <w:keepLines w:val="0"/>
              <w:suppressLineNumbers w:val="0"/>
              <w:adjustRightInd w:val="0"/>
              <w:snapToGrid w:val="0"/>
              <w:spacing w:before="0" w:beforeAutospacing="0" w:after="0" w:afterAutospacing="0" w:line="360" w:lineRule="auto"/>
              <w:ind w:left="0" w:right="0" w:firstLine="482" w:firstLineChars="200"/>
              <w:rPr>
                <w:rFonts w:hint="eastAsia" w:eastAsia="宋体"/>
                <w:b/>
                <w:color w:val="000000" w:themeColor="text1"/>
                <w:sz w:val="24"/>
                <w:lang w:val="en-US" w:eastAsia="zh-CN"/>
                <w14:textFill>
                  <w14:solidFill>
                    <w14:schemeClr w14:val="tx1"/>
                  </w14:solidFill>
                </w14:textFill>
              </w:rPr>
            </w:pPr>
            <w:r>
              <w:rPr>
                <w:rFonts w:hint="eastAsia"/>
                <w:b/>
                <w:color w:val="000000" w:themeColor="text1"/>
                <w:sz w:val="24"/>
                <w:lang w:eastAsia="zh-CN"/>
                <w14:textFill>
                  <w14:solidFill>
                    <w14:schemeClr w14:val="tx1"/>
                  </w14:solidFill>
                </w14:textFill>
              </w:rPr>
              <w:t>（</w:t>
            </w:r>
            <w:r>
              <w:rPr>
                <w:rFonts w:hint="eastAsia"/>
                <w:b/>
                <w:color w:val="000000" w:themeColor="text1"/>
                <w:sz w:val="24"/>
                <w:lang w:val="en-US" w:eastAsia="zh-CN"/>
                <w14:textFill>
                  <w14:solidFill>
                    <w14:schemeClr w14:val="tx1"/>
                  </w14:solidFill>
                </w14:textFill>
              </w:rPr>
              <w:t>2</w:t>
            </w:r>
            <w:r>
              <w:rPr>
                <w:rFonts w:hint="eastAsia"/>
                <w:b/>
                <w:color w:val="000000" w:themeColor="text1"/>
                <w:sz w:val="24"/>
                <w:lang w:eastAsia="zh-CN"/>
                <w14:textFill>
                  <w14:solidFill>
                    <w14:schemeClr w14:val="tx1"/>
                  </w14:solidFill>
                </w14:textFill>
              </w:rPr>
              <w:t>）</w:t>
            </w:r>
            <w:r>
              <w:rPr>
                <w:rFonts w:hint="eastAsia"/>
                <w:b/>
                <w:color w:val="000000" w:themeColor="text1"/>
                <w:sz w:val="24"/>
                <w14:textFill>
                  <w14:solidFill>
                    <w14:schemeClr w14:val="tx1"/>
                  </w14:solidFill>
                </w14:textFill>
              </w:rPr>
              <w:t>输电线路</w:t>
            </w:r>
            <w:r>
              <w:rPr>
                <w:rFonts w:hint="eastAsia"/>
                <w:b/>
                <w:color w:val="000000" w:themeColor="text1"/>
                <w:sz w:val="24"/>
                <w:lang w:val="en-US" w:eastAsia="zh-CN"/>
                <w14:textFill>
                  <w14:solidFill>
                    <w14:schemeClr w14:val="tx1"/>
                  </w14:solidFill>
                </w14:textFill>
              </w:rPr>
              <w:t>工程</w:t>
            </w:r>
          </w:p>
          <w:p w14:paraId="6FEEEF59">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bCs/>
                <w:color w:val="000000" w:themeColor="text1"/>
                <w:kern w:val="2"/>
                <w:sz w:val="24"/>
                <w:szCs w:val="24"/>
                <w:lang w:val="en-US" w:eastAsia="zh-CN" w:bidi="ar-SA"/>
                <w14:textFill>
                  <w14:solidFill>
                    <w14:schemeClr w14:val="tx1"/>
                  </w14:solidFill>
                </w14:textFill>
              </w:rPr>
              <w:t>由鸡西500千伏变电站220kV侧构架起，利用双回路终端塔（JYXJ1）出线，向西方向出线经过曲河水库南侧、四排村南侧、久太村南侧、复兴村南侧、金生村东南侧、希贤村南侧、小新城村南侧至（JXJ7、YXJ7），(JXJ2-JXJ7、YXJ2-YXJ7)为平行于既有线路500千伏鸡林线在其北侧架设，后继续向西北方向前进至小石兴河南侧（JXJ8、YXJ8），继续向西南方向前进至果木园子屯南侧（JXJ9、YXJ9），继续向西北方向前进至曾家沟南侧（JXJ10、YXJ10），继续向西北方向前进至胜利村北侧、毛家村西南侧（JXJ11、YXJ11），继续向西南方向前进至胜利村西北侧(JXJ12、YXJ12),继续向西北方向前进至界丰屯北侧（JXJ13、YXJ13），继续向西南方向前进至（JXJ14、YXJ14），继续向西北方向前进跨越220千伏鸡梨线至梨树沟东侧（JXJ15、YXJ15），继续向东北方向前进至（JXJ16、YXJ16），继续向东北方向前进至长安屯西南侧（JXJ17、YXJ17），继续向西北方向前进跨越220千伏西梨线（风场外送线路）至长安屯西北侧（JXJ18、YXJ18），继续向东北方向前进至长安屯东北侧、永安屯西北侧至（JXJ19、YXJ19）,继续向东北方向前进跨越66千伏梨恒线、66千伏恒柳线、66千伏恒浩线至（JXJ20、YXJ20），继续向东北方向前再次跨越66千伏恒普甲线、66千伏恒普乙线、220千伏鸡梨线至（JXJ21、YXJ21）后，同塔双回架设，经4基双回路耐张塔（JYXJ22-JYXJ25)，最终接至220千伏恒山变电站。</w:t>
            </w:r>
          </w:p>
          <w:p w14:paraId="7F5FA4F7">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000000" w:themeColor="text1"/>
                <w:sz w:val="24"/>
                <w:szCs w:val="32"/>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2</w:t>
            </w:r>
            <w:r>
              <w:rPr>
                <w:rFonts w:hint="eastAsia"/>
                <w:b/>
                <w:bCs/>
                <w:color w:val="000000" w:themeColor="text1"/>
                <w:sz w:val="24"/>
                <w:szCs w:val="32"/>
                <w14:textFill>
                  <w14:solidFill>
                    <w14:schemeClr w14:val="tx1"/>
                  </w14:solidFill>
                </w14:textFill>
              </w:rPr>
              <w:t>、施工布置情况</w:t>
            </w:r>
          </w:p>
          <w:p w14:paraId="1826914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Cs/>
                <w:color w:val="000000" w:themeColor="text1"/>
                <w:kern w:val="2"/>
                <w:sz w:val="24"/>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线路施工布置：塔基施工需要扩大开挖，浇筑混凝土基础（本工程拟采用商品混凝土，不需要设置混凝土搅拌站），因此在每个塔基永久占地以外，还需要临时占地，本期工程施工过程中，需临时占地作为牵张场地，根据现场踏勘并借鉴同类工程施工组织经验，本工程共设</w:t>
            </w:r>
            <w:r>
              <w:rPr>
                <w:rFonts w:hint="eastAsia" w:cs="Times New Roman"/>
                <w:bCs/>
                <w:color w:val="000000" w:themeColor="text1"/>
                <w:kern w:val="2"/>
                <w:sz w:val="24"/>
                <w:szCs w:val="18"/>
                <w:lang w:val="en-US" w:eastAsia="zh-CN" w:bidi="ar-SA"/>
                <w14:textFill>
                  <w14:solidFill>
                    <w14:schemeClr w14:val="tx1"/>
                  </w14:solidFill>
                </w14:textFill>
              </w:rPr>
              <w:t>38</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处牵张场地，按照线路各段均匀分布，牵张场地面积为</w:t>
            </w:r>
            <w:r>
              <w:rPr>
                <w:rFonts w:hint="eastAsia" w:cs="Times New Roman"/>
                <w:bCs/>
                <w:color w:val="000000" w:themeColor="text1"/>
                <w:kern w:val="2"/>
                <w:sz w:val="24"/>
                <w:szCs w:val="18"/>
                <w:lang w:val="en-US" w:eastAsia="zh-CN" w:bidi="ar-SA"/>
                <w14:textFill>
                  <w14:solidFill>
                    <w14:schemeClr w14:val="tx1"/>
                  </w14:solidFill>
                </w14:textFill>
              </w:rPr>
              <w:t>6.08h</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m</w:t>
            </w:r>
            <w:r>
              <w:rPr>
                <w:rFonts w:hint="eastAsia" w:ascii="Times New Roman" w:hAnsi="Times New Roman" w:eastAsia="宋体" w:cs="Times New Roman"/>
                <w:bCs/>
                <w:color w:val="000000" w:themeColor="text1"/>
                <w:kern w:val="2"/>
                <w:sz w:val="24"/>
                <w:szCs w:val="18"/>
                <w:vertAlign w:val="superscript"/>
                <w:lang w:val="en-US" w:eastAsia="zh-CN" w:bidi="ar-SA"/>
                <w14:textFill>
                  <w14:solidFill>
                    <w14:schemeClr w14:val="tx1"/>
                  </w14:solidFill>
                </w14:textFill>
              </w:rPr>
              <w:t>2</w:t>
            </w:r>
            <w:r>
              <w:rPr>
                <w:rFonts w:hint="eastAsia" w:ascii="Times New Roman" w:hAnsi="Times New Roman" w:cs="Times New Roman"/>
                <w:bCs/>
                <w:color w:val="000000" w:themeColor="text1"/>
                <w:kern w:val="2"/>
                <w:sz w:val="24"/>
                <w:szCs w:val="18"/>
                <w:vertAlign w:val="baseline"/>
                <w:lang w:val="en-US" w:eastAsia="zh-CN" w:bidi="ar-SA"/>
                <w14:textFill>
                  <w14:solidFill>
                    <w14:schemeClr w14:val="tx1"/>
                  </w14:solidFill>
                </w14:textFill>
              </w:rPr>
              <w:t>，占地类型为耕地</w:t>
            </w:r>
            <w:r>
              <w:rPr>
                <w:rFonts w:hint="eastAsia" w:cs="Times New Roman"/>
                <w:bCs/>
                <w:color w:val="000000" w:themeColor="text1"/>
                <w:kern w:val="2"/>
                <w:sz w:val="24"/>
                <w:szCs w:val="18"/>
                <w:vertAlign w:val="baseline"/>
                <w:lang w:val="en-US" w:eastAsia="zh-CN" w:bidi="ar-SA"/>
                <w14:textFill>
                  <w14:solidFill>
                    <w14:schemeClr w14:val="tx1"/>
                  </w14:solidFill>
                </w14:textFill>
              </w:rPr>
              <w:t>、林地</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；施工临时道路</w:t>
            </w:r>
            <w:r>
              <w:rPr>
                <w:rFonts w:hint="eastAsia" w:cs="Times New Roman"/>
                <w:bCs/>
                <w:color w:val="000000" w:themeColor="text1"/>
                <w:kern w:val="2"/>
                <w:sz w:val="24"/>
                <w:szCs w:val="18"/>
                <w:lang w:val="en-US" w:eastAsia="zh-CN" w:bidi="ar-SA"/>
                <w14:textFill>
                  <w14:solidFill>
                    <w14:schemeClr w14:val="tx1"/>
                  </w14:solidFill>
                </w14:textFill>
              </w:rPr>
              <w:t>190k</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m，宽度为</w:t>
            </w:r>
            <w:r>
              <w:rPr>
                <w:rFonts w:hint="eastAsia" w:ascii="Times New Roman" w:hAnsi="Times New Roman" w:cs="Times New Roman"/>
                <w:bCs/>
                <w:color w:val="000000" w:themeColor="text1"/>
                <w:kern w:val="2"/>
                <w:sz w:val="24"/>
                <w:szCs w:val="18"/>
                <w:lang w:val="en-US" w:eastAsia="zh-CN" w:bidi="ar-SA"/>
                <w14:textFill>
                  <w14:solidFill>
                    <w14:schemeClr w14:val="tx1"/>
                  </w14:solidFill>
                </w14:textFill>
              </w:rPr>
              <w:t>3</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m，施工临时道路布置在交通不便利的地方，</w:t>
            </w:r>
            <w:r>
              <w:rPr>
                <w:rFonts w:hint="eastAsia" w:ascii="Times New Roman" w:hAnsi="Times New Roman" w:cs="Times New Roman"/>
                <w:bCs/>
                <w:color w:val="000000" w:themeColor="text1"/>
                <w:kern w:val="2"/>
                <w:sz w:val="24"/>
                <w:szCs w:val="18"/>
                <w:vertAlign w:val="baseline"/>
                <w:lang w:val="en-US" w:eastAsia="zh-CN" w:bidi="ar-SA"/>
                <w14:textFill>
                  <w14:solidFill>
                    <w14:schemeClr w14:val="tx1"/>
                  </w14:solidFill>
                </w14:textFill>
              </w:rPr>
              <w:t>占地类型为耕地</w:t>
            </w:r>
            <w:r>
              <w:rPr>
                <w:rFonts w:hint="eastAsia" w:cs="Times New Roman"/>
                <w:bCs/>
                <w:color w:val="000000" w:themeColor="text1"/>
                <w:kern w:val="2"/>
                <w:sz w:val="24"/>
                <w:szCs w:val="18"/>
                <w:vertAlign w:val="baseline"/>
                <w:lang w:val="en-US" w:eastAsia="zh-CN" w:bidi="ar-SA"/>
                <w14:textFill>
                  <w14:solidFill>
                    <w14:schemeClr w14:val="tx1"/>
                  </w14:solidFill>
                </w14:textFill>
              </w:rPr>
              <w:t>、林地</w:t>
            </w:r>
            <w:r>
              <w:rPr>
                <w:rFonts w:hint="eastAsia" w:ascii="Times New Roman" w:hAnsi="Times New Roman" w:cs="Times New Roman"/>
                <w:bCs/>
                <w:color w:val="000000" w:themeColor="text1"/>
                <w:kern w:val="2"/>
                <w:sz w:val="24"/>
                <w:szCs w:val="18"/>
                <w:vertAlign w:val="baseli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交通便利段依托现有的道路；塔基施工区</w:t>
            </w:r>
            <w:r>
              <w:rPr>
                <w:rFonts w:hint="eastAsia" w:cs="Times New Roman"/>
                <w:bCs/>
                <w:color w:val="000000" w:themeColor="text1"/>
                <w:kern w:val="2"/>
                <w:sz w:val="24"/>
                <w:szCs w:val="18"/>
                <w:lang w:val="en-US" w:eastAsia="zh-CN" w:bidi="ar-SA"/>
                <w14:textFill>
                  <w14:solidFill>
                    <w14:schemeClr w14:val="tx1"/>
                  </w14:solidFill>
                </w14:textFill>
              </w:rPr>
              <w:t>400</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处，分布在每个塔基处，占地面积</w:t>
            </w:r>
            <w:r>
              <w:rPr>
                <w:rFonts w:hint="eastAsia" w:cs="Times New Roman"/>
                <w:bCs/>
                <w:color w:val="000000" w:themeColor="text1"/>
                <w:kern w:val="2"/>
                <w:sz w:val="24"/>
                <w:szCs w:val="18"/>
                <w:lang w:val="en-US" w:eastAsia="zh-CN" w:bidi="ar-SA"/>
                <w14:textFill>
                  <w14:solidFill>
                    <w14:schemeClr w14:val="tx1"/>
                  </w14:solidFill>
                </w14:textFill>
              </w:rPr>
              <w:t>15.72h</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m</w:t>
            </w:r>
            <w:r>
              <w:rPr>
                <w:rFonts w:hint="eastAsia" w:ascii="Times New Roman" w:hAnsi="Times New Roman" w:eastAsia="宋体" w:cs="Times New Roman"/>
                <w:bCs/>
                <w:color w:val="000000" w:themeColor="text1"/>
                <w:kern w:val="2"/>
                <w:sz w:val="24"/>
                <w:szCs w:val="18"/>
                <w:vertAlign w:val="superscript"/>
                <w:lang w:val="en-US" w:eastAsia="zh-CN" w:bidi="ar-SA"/>
                <w14:textFill>
                  <w14:solidFill>
                    <w14:schemeClr w14:val="tx1"/>
                  </w14:solidFill>
                </w14:textFill>
              </w:rPr>
              <w:t>2</w:t>
            </w:r>
            <w:r>
              <w:rPr>
                <w:rFonts w:hint="eastAsia" w:ascii="Times New Roman" w:hAnsi="Times New Roman" w:cs="Times New Roman"/>
                <w:bCs/>
                <w:color w:val="000000" w:themeColor="text1"/>
                <w:kern w:val="2"/>
                <w:sz w:val="24"/>
                <w:szCs w:val="18"/>
                <w:vertAlign w:val="baseline"/>
                <w:lang w:val="en-US" w:eastAsia="zh-CN" w:bidi="ar-SA"/>
                <w14:textFill>
                  <w14:solidFill>
                    <w14:schemeClr w14:val="tx1"/>
                  </w14:solidFill>
                </w14:textFill>
              </w:rPr>
              <w:t>，占地类型为耕地及林地</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；本工程共有</w:t>
            </w:r>
            <w:r>
              <w:rPr>
                <w:rFonts w:hint="eastAsia" w:cs="Times New Roman"/>
                <w:bCs/>
                <w:color w:val="000000" w:themeColor="text1"/>
                <w:kern w:val="2"/>
                <w:sz w:val="24"/>
                <w:szCs w:val="18"/>
                <w:lang w:val="en-US" w:eastAsia="zh-CN" w:bidi="ar-SA"/>
                <w14:textFill>
                  <w14:solidFill>
                    <w14:schemeClr w14:val="tx1"/>
                  </w14:solidFill>
                </w14:textFill>
              </w:rPr>
              <w:t>276</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处交叉跨越，其中</w:t>
            </w:r>
            <w:r>
              <w:rPr>
                <w:rFonts w:hint="eastAsia" w:cs="Times New Roman"/>
                <w:bCs/>
                <w:color w:val="000000" w:themeColor="text1"/>
                <w:kern w:val="2"/>
                <w:sz w:val="24"/>
                <w:szCs w:val="18"/>
                <w:lang w:val="en-US" w:eastAsia="zh-CN" w:bidi="ar-SA"/>
                <w14:textFill>
                  <w14:solidFill>
                    <w14:schemeClr w14:val="tx1"/>
                  </w14:solidFill>
                </w14:textFill>
              </w:rPr>
              <w:t>158</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处需要设置跨越施工场地，在110kV、铁路、国道等位置设置跨越施工场地，均为耕地，总面积为</w:t>
            </w:r>
            <w:r>
              <w:rPr>
                <w:rFonts w:hint="eastAsia" w:cs="Times New Roman"/>
                <w:bCs/>
                <w:color w:val="000000" w:themeColor="text1"/>
                <w:kern w:val="2"/>
                <w:sz w:val="24"/>
                <w:szCs w:val="18"/>
                <w:lang w:val="en-US" w:eastAsia="zh-CN" w:bidi="ar-SA"/>
                <w14:textFill>
                  <w14:solidFill>
                    <w14:schemeClr w14:val="tx1"/>
                  </w14:solidFill>
                </w14:textFill>
              </w:rPr>
              <w:t>1.58h</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m</w:t>
            </w:r>
            <w:r>
              <w:rPr>
                <w:rFonts w:hint="eastAsia" w:ascii="Times New Roman" w:hAnsi="Times New Roman" w:eastAsia="宋体" w:cs="Times New Roman"/>
                <w:bCs/>
                <w:color w:val="000000" w:themeColor="text1"/>
                <w:kern w:val="2"/>
                <w:sz w:val="24"/>
                <w:szCs w:val="18"/>
                <w:vertAlign w:val="superscript"/>
                <w:lang w:val="en-US" w:eastAsia="zh-CN" w:bidi="ar-SA"/>
                <w14:textFill>
                  <w14:solidFill>
                    <w14:schemeClr w14:val="tx1"/>
                  </w14:solidFill>
                </w14:textFill>
              </w:rPr>
              <w:t>2</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。本工程共设1处材料场地，场地面积为1600m</w:t>
            </w:r>
            <w:r>
              <w:rPr>
                <w:rFonts w:hint="eastAsia" w:ascii="Times New Roman" w:hAnsi="Times New Roman" w:eastAsia="宋体" w:cs="Times New Roman"/>
                <w:bCs/>
                <w:color w:val="000000" w:themeColor="text1"/>
                <w:kern w:val="2"/>
                <w:sz w:val="24"/>
                <w:szCs w:val="18"/>
                <w:vertAlign w:val="superscript"/>
                <w:lang w:val="en-US" w:eastAsia="zh-CN" w:bidi="ar-SA"/>
                <w14:textFill>
                  <w14:solidFill>
                    <w14:schemeClr w14:val="tx1"/>
                  </w14:solidFill>
                </w14:textFill>
              </w:rPr>
              <w:t>2</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。占地类型为耕地。</w:t>
            </w:r>
          </w:p>
          <w:p w14:paraId="39312D5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Cs/>
                <w:color w:val="000000" w:themeColor="text1"/>
                <w:kern w:val="2"/>
                <w:sz w:val="24"/>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线路施工阶段不设置施工生活区，均利用沿线附近村庄现有房屋。</w:t>
            </w:r>
          </w:p>
          <w:p w14:paraId="33BA39B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Cs/>
                <w:color w:val="000000" w:themeColor="text1"/>
                <w:kern w:val="2"/>
                <w:sz w:val="24"/>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变电站施工布置：工程不设施工生产生活区，</w:t>
            </w:r>
            <w:r>
              <w:rPr>
                <w:rFonts w:hint="default" w:ascii="Times New Roman" w:hAnsi="Times New Roman" w:eastAsia="宋体" w:cs="Times New Roman"/>
                <w:bCs/>
                <w:color w:val="000000" w:themeColor="text1"/>
                <w:kern w:val="2"/>
                <w:sz w:val="24"/>
                <w:szCs w:val="18"/>
                <w:lang w:val="en-US" w:eastAsia="zh-CN" w:bidi="ar-SA"/>
                <w14:textFill>
                  <w14:solidFill>
                    <w14:schemeClr w14:val="tx1"/>
                  </w14:solidFill>
                </w14:textFill>
              </w:rPr>
              <w:t>材料临时堆放</w:t>
            </w: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于变电站内，施工道路全部利用项目区周边现有道路，可以满足施工要求。</w:t>
            </w:r>
          </w:p>
          <w:p w14:paraId="3ECB454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bCs/>
                <w:color w:val="000000" w:themeColor="text1"/>
                <w:kern w:val="2"/>
                <w:sz w:val="24"/>
                <w:szCs w:val="18"/>
                <w:lang w:val="en-US" w:eastAsia="zh-CN" w:bidi="ar-SA"/>
                <w14:textFill>
                  <w14:solidFill>
                    <w14:schemeClr w14:val="tx1"/>
                  </w14:solidFill>
                </w14:textFill>
              </w:rPr>
              <w:t>施工期临时占地在施工完成后进行生态恢复。为避免施工时，对变电站运行产生影响，应设置临时护栏，并加强施工现场的隔离管理。施工用水、用电均由原有变电站引接。</w:t>
            </w:r>
          </w:p>
        </w:tc>
      </w:tr>
      <w:tr w14:paraId="4F2A6D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710" w:type="dxa"/>
            <w:vAlign w:val="center"/>
          </w:tcPr>
          <w:p w14:paraId="17AF0810">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施工方案</w:t>
            </w:r>
          </w:p>
        </w:tc>
        <w:tc>
          <w:tcPr>
            <w:tcW w:w="8380" w:type="dxa"/>
            <w:vAlign w:val="center"/>
          </w:tcPr>
          <w:p w14:paraId="764C25ED">
            <w:pPr>
              <w:keepNext w:val="0"/>
              <w:keepLines w:val="0"/>
              <w:suppressLineNumbers w:val="0"/>
              <w:adjustRightInd w:val="0"/>
              <w:snapToGrid w:val="0"/>
              <w:spacing w:before="0" w:beforeAutospacing="0" w:after="0" w:afterAutospacing="0" w:line="360" w:lineRule="auto"/>
              <w:ind w:left="0" w:right="0" w:firstLine="482" w:firstLineChars="200"/>
              <w:rPr>
                <w:rFonts w:hint="eastAsia"/>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14:textFill>
                  <w14:solidFill>
                    <w14:schemeClr w14:val="tx1"/>
                  </w14:solidFill>
                </w14:textFill>
              </w:rPr>
              <w:t>、</w:t>
            </w:r>
            <w:r>
              <w:rPr>
                <w:rFonts w:hint="eastAsia"/>
                <w:b/>
                <w:bCs/>
                <w:color w:val="000000" w:themeColor="text1"/>
                <w:sz w:val="24"/>
                <w:lang w:val="en-US" w:eastAsia="zh-CN"/>
                <w14:textFill>
                  <w14:solidFill>
                    <w14:schemeClr w14:val="tx1"/>
                  </w14:solidFill>
                </w14:textFill>
              </w:rPr>
              <w:t>施工方案</w:t>
            </w:r>
          </w:p>
          <w:p w14:paraId="51541AC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恒山</w:t>
            </w:r>
            <w:r>
              <w:rPr>
                <w:rFonts w:hint="eastAsia"/>
                <w:color w:val="000000" w:themeColor="text1"/>
                <w:sz w:val="24"/>
                <w14:textFill>
                  <w14:solidFill>
                    <w14:schemeClr w14:val="tx1"/>
                  </w14:solidFill>
                </w14:textFill>
              </w:rPr>
              <w:t>变电站间隔扩建工程主要包括构架搭建、设备安装等环节。变电站工程施工工艺及产污节点见下图。</w:t>
            </w:r>
          </w:p>
          <w:p w14:paraId="6CF80FC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000000" w:themeColor="text1"/>
                <w:sz w:val="24"/>
                <w14:textFill>
                  <w14:solidFill>
                    <w14:schemeClr w14:val="tx1"/>
                  </w14:solidFill>
                </w14:textFill>
              </w:rPr>
            </w:pPr>
            <w:r>
              <w:rPr>
                <w:rFonts w:hint="default"/>
              </w:rPr>
              <w:drawing>
                <wp:inline distT="0" distB="0" distL="114300" distR="114300">
                  <wp:extent cx="4255770" cy="1864995"/>
                  <wp:effectExtent l="0" t="0" r="11430" b="1905"/>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pic:cNvPicPr>
                        </pic:nvPicPr>
                        <pic:blipFill>
                          <a:blip r:embed="rId13"/>
                          <a:stretch>
                            <a:fillRect/>
                          </a:stretch>
                        </pic:blipFill>
                        <pic:spPr>
                          <a:xfrm>
                            <a:off x="0" y="0"/>
                            <a:ext cx="4255770" cy="1864995"/>
                          </a:xfrm>
                          <a:prstGeom prst="rect">
                            <a:avLst/>
                          </a:prstGeom>
                          <a:noFill/>
                          <a:ln>
                            <a:noFill/>
                          </a:ln>
                        </pic:spPr>
                      </pic:pic>
                    </a:graphicData>
                  </a:graphic>
                </wp:inline>
              </w:drawing>
            </w:r>
          </w:p>
          <w:p w14:paraId="6F7D3071">
            <w:pPr>
              <w:pStyle w:val="7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left="0" w:right="0"/>
              <w:textAlignment w:val="auto"/>
              <w:rPr>
                <w:rFonts w:hint="eastAsia"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图</w:t>
            </w:r>
            <w:r>
              <w:rPr>
                <w:rFonts w:hint="eastAsia" w:eastAsia="宋体" w:cs="Times New Roman"/>
                <w:b/>
                <w:bCs/>
                <w:color w:val="000000" w:themeColor="text1"/>
                <w:sz w:val="24"/>
                <w:szCs w:val="24"/>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4"/>
                <w:szCs w:val="24"/>
                <w14:textFill>
                  <w14:solidFill>
                    <w14:schemeClr w14:val="tx1"/>
                  </w14:solidFill>
                </w14:textFill>
              </w:rPr>
              <w:t>2-</w:t>
            </w:r>
            <w:r>
              <w:rPr>
                <w:rFonts w:hint="eastAsia" w:eastAsia="宋体" w:cs="Times New Roman"/>
                <w:b/>
                <w:bCs/>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4"/>
                <w:szCs w:val="24"/>
                <w14:textFill>
                  <w14:solidFill>
                    <w14:schemeClr w14:val="tx1"/>
                  </w14:solidFill>
                </w14:textFill>
              </w:rPr>
              <w:t>变电站工程工艺流程及产污节点图</w:t>
            </w:r>
          </w:p>
          <w:p w14:paraId="67048146">
            <w:pPr>
              <w:pStyle w:val="74"/>
              <w:keepNext w:val="0"/>
              <w:keepLines w:val="0"/>
              <w:suppressLineNumbers w:val="0"/>
              <w:spacing w:before="0" w:beforeAutospacing="0" w:after="0" w:afterAutospacing="0"/>
              <w:ind w:left="0" w:right="0" w:firstLine="480"/>
              <w:rPr>
                <w:rFonts w:hint="default" w:eastAsia="宋体"/>
                <w:color w:val="000000" w:themeColor="text1"/>
                <w:sz w:val="24"/>
                <w:szCs w:val="24"/>
                <w14:textFill>
                  <w14:solidFill>
                    <w14:schemeClr w14:val="tx1"/>
                  </w14:solidFill>
                </w14:textFill>
              </w:rPr>
            </w:pPr>
            <w:r>
              <w:rPr>
                <w:rFonts w:hint="eastAsia"/>
                <w:color w:val="000000" w:themeColor="text1"/>
                <w:sz w:val="24"/>
                <w14:textFill>
                  <w14:solidFill>
                    <w14:schemeClr w14:val="tx1"/>
                  </w14:solidFill>
                </w14:textFill>
              </w:rPr>
              <w:t>输电线路施工期主要包括土石开挖、塔基建设、组塔架线、调试运行等环节。输电线路施工工艺及产污节点见下图。</w:t>
            </w:r>
          </w:p>
          <w:p w14:paraId="626D99D3">
            <w:pPr>
              <w:pStyle w:val="7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ind w:left="0" w:right="0"/>
              <w:textAlignment w:val="auto"/>
              <w:rPr>
                <w:rFonts w:hint="default" w:eastAsia="宋体"/>
                <w:color w:val="000000" w:themeColor="text1"/>
                <w:sz w:val="24"/>
                <w:szCs w:val="24"/>
                <w14:textFill>
                  <w14:solidFill>
                    <w14:schemeClr w14:val="tx1"/>
                  </w14:solidFill>
                </w14:textFill>
              </w:rPr>
            </w:pPr>
            <w:r>
              <w:rPr>
                <w:rFonts w:hint="default" w:eastAsia="宋体"/>
                <w:color w:val="000000" w:themeColor="text1"/>
                <w:sz w:val="24"/>
                <w:szCs w:val="24"/>
                <w14:textFill>
                  <w14:solidFill>
                    <w14:schemeClr w14:val="tx1"/>
                  </w14:solidFill>
                </w14:textFill>
              </w:rPr>
              <w:drawing>
                <wp:inline distT="0" distB="0" distL="114300" distR="114300">
                  <wp:extent cx="4147820" cy="1553845"/>
                  <wp:effectExtent l="0" t="0" r="5080" b="825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4"/>
                          <a:stretch>
                            <a:fillRect/>
                          </a:stretch>
                        </pic:blipFill>
                        <pic:spPr>
                          <a:xfrm>
                            <a:off x="0" y="0"/>
                            <a:ext cx="4147820" cy="1553845"/>
                          </a:xfrm>
                          <a:prstGeom prst="rect">
                            <a:avLst/>
                          </a:prstGeom>
                          <a:noFill/>
                          <a:ln>
                            <a:noFill/>
                          </a:ln>
                        </pic:spPr>
                      </pic:pic>
                    </a:graphicData>
                  </a:graphic>
                </wp:inline>
              </w:drawing>
            </w:r>
          </w:p>
          <w:p w14:paraId="7244647E">
            <w:pPr>
              <w:pStyle w:val="71"/>
              <w:keepNext w:val="0"/>
              <w:keepLines w:val="0"/>
              <w:suppressLineNumbers w:val="0"/>
              <w:spacing w:before="0" w:beforeLines="0" w:beforeAutospacing="0" w:after="0" w:afterAutospacing="0" w:line="360" w:lineRule="auto"/>
              <w:ind w:left="0" w:right="0"/>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图 2-</w:t>
            </w:r>
            <w:r>
              <w:rPr>
                <w:rFonts w:hint="eastAsia" w:eastAsia="宋体" w:cs="Times New Roman"/>
                <w:b/>
                <w:bCs/>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 xml:space="preserve"> 输电线路施工期工艺流程及产污节点图</w:t>
            </w:r>
          </w:p>
          <w:p w14:paraId="4BB64119">
            <w:pPr>
              <w:keepNext w:val="0"/>
              <w:keepLines w:val="0"/>
              <w:suppressLineNumbers w:val="0"/>
              <w:adjustRightInd w:val="0"/>
              <w:snapToGrid w:val="0"/>
              <w:spacing w:before="0" w:beforeAutospacing="0" w:after="0" w:afterAutospacing="0" w:line="360" w:lineRule="auto"/>
              <w:ind w:left="0" w:right="0"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1.1</w:t>
            </w:r>
            <w:r>
              <w:rPr>
                <w:rFonts w:hint="eastAsia"/>
                <w:b/>
                <w:bCs/>
                <w:color w:val="000000" w:themeColor="text1"/>
                <w:sz w:val="24"/>
                <w14:textFill>
                  <w14:solidFill>
                    <w14:schemeClr w14:val="tx1"/>
                  </w14:solidFill>
                </w14:textFill>
              </w:rPr>
              <w:t>施工期</w:t>
            </w:r>
          </w:p>
          <w:p w14:paraId="5E96664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eastAsia="宋体"/>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①</w:t>
            </w:r>
            <w:r>
              <w:rPr>
                <w:rFonts w:hint="eastAsia" w:eastAsia="宋体"/>
                <w:color w:val="000000" w:themeColor="text1"/>
                <w:sz w:val="24"/>
                <w14:textFill>
                  <w14:solidFill>
                    <w14:schemeClr w14:val="tx1"/>
                  </w14:solidFill>
                </w14:textFill>
              </w:rPr>
              <w:t>本期工程施工期噪声主要为施工设备噪声，大多为不连续性噪声，产噪设备均在室外。</w:t>
            </w:r>
          </w:p>
          <w:p w14:paraId="7F70CDD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eastAsia="宋体"/>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②</w:t>
            </w:r>
            <w:r>
              <w:rPr>
                <w:rFonts w:hint="eastAsia" w:eastAsia="宋体"/>
                <w:color w:val="000000" w:themeColor="text1"/>
                <w:sz w:val="24"/>
                <w14:textFill>
                  <w14:solidFill>
                    <w14:schemeClr w14:val="tx1"/>
                  </w14:solidFill>
                </w14:textFill>
              </w:rPr>
              <w:t>施工期产生的大气污染物为TSP，主要来源于设备运输车辆排放的废气及往来车辆行驶带起的扬尘。</w:t>
            </w:r>
          </w:p>
          <w:p w14:paraId="53F3791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eastAsia="宋体"/>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③</w:t>
            </w:r>
            <w:r>
              <w:rPr>
                <w:rFonts w:hint="eastAsia" w:eastAsia="宋体"/>
                <w:color w:val="000000" w:themeColor="text1"/>
                <w:sz w:val="24"/>
                <w14:textFill>
                  <w14:solidFill>
                    <w14:schemeClr w14:val="tx1"/>
                  </w14:solidFill>
                </w14:textFill>
              </w:rPr>
              <w:t>施工期废水主要</w:t>
            </w:r>
            <w:r>
              <w:rPr>
                <w:rFonts w:hint="eastAsia"/>
                <w:color w:val="000000" w:themeColor="text1"/>
                <w:sz w:val="24"/>
                <w:lang w:eastAsia="zh-CN"/>
                <w14:textFill>
                  <w14:solidFill>
                    <w14:schemeClr w14:val="tx1"/>
                  </w14:solidFill>
                </w14:textFill>
              </w:rPr>
              <w:t>来自</w:t>
            </w:r>
            <w:r>
              <w:rPr>
                <w:rFonts w:hint="eastAsia" w:eastAsia="宋体"/>
                <w:color w:val="000000" w:themeColor="text1"/>
                <w:sz w:val="24"/>
                <w14:textFill>
                  <w14:solidFill>
                    <w14:schemeClr w14:val="tx1"/>
                  </w14:solidFill>
                </w14:textFill>
              </w:rPr>
              <w:t>施工过程中结构施工、车辆冲洗等产生少量的施工废水及施工人员产生的生活污水。</w:t>
            </w:r>
          </w:p>
          <w:p w14:paraId="0FE5E38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eastAsia="宋体"/>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④</w:t>
            </w:r>
            <w:r>
              <w:rPr>
                <w:rFonts w:hint="eastAsia" w:eastAsia="宋体"/>
                <w:color w:val="000000" w:themeColor="text1"/>
                <w:sz w:val="24"/>
                <w14:textFill>
                  <w14:solidFill>
                    <w14:schemeClr w14:val="tx1"/>
                  </w14:solidFill>
                </w14:textFill>
              </w:rPr>
              <w:t>施工期固体废物主要为施工人员产生的生活垃圾。</w:t>
            </w:r>
          </w:p>
          <w:p w14:paraId="3CB2A45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eastAsia="宋体"/>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⑤</w:t>
            </w:r>
            <w:r>
              <w:rPr>
                <w:rFonts w:hint="eastAsia" w:eastAsia="宋体"/>
                <w:color w:val="000000" w:themeColor="text1"/>
                <w:sz w:val="24"/>
                <w14:textFill>
                  <w14:solidFill>
                    <w14:schemeClr w14:val="tx1"/>
                  </w14:solidFill>
                </w14:textFill>
              </w:rPr>
              <w:t>施工期主要生态影响为工程占地造成的植被破坏及水土流失，工程结束后施工方应按照要求恢复原貌，表土应覆在地表，对地表植被不会带来太大影响。</w:t>
            </w:r>
          </w:p>
          <w:p w14:paraId="70480D8F">
            <w:pPr>
              <w:pStyle w:val="74"/>
              <w:keepNext w:val="0"/>
              <w:keepLines w:val="0"/>
              <w:suppressLineNumbers w:val="0"/>
              <w:spacing w:before="0" w:beforeAutospacing="0" w:after="0" w:afterAutospacing="0"/>
              <w:ind w:left="0" w:right="0" w:firstLine="480"/>
              <w:rPr>
                <w:rFonts w:hint="eastAsia" w:eastAsia="宋体"/>
                <w:color w:val="000000" w:themeColor="text1"/>
                <w:sz w:val="24"/>
                <w:szCs w:val="24"/>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⑥</w:t>
            </w:r>
            <w:r>
              <w:rPr>
                <w:rFonts w:hint="eastAsia" w:eastAsia="宋体"/>
                <w:color w:val="000000" w:themeColor="text1"/>
                <w:sz w:val="24"/>
                <w:szCs w:val="24"/>
                <w14:textFill>
                  <w14:solidFill>
                    <w14:schemeClr w14:val="tx1"/>
                  </w14:solidFill>
                </w14:textFill>
              </w:rPr>
              <w:t>根据《建筑工程冬季施工规程》（JGJ104-2011）规定：当室外日平均气温连续5</w:t>
            </w:r>
            <w:r>
              <w:rPr>
                <w:rFonts w:hint="eastAsia"/>
                <w:color w:val="000000" w:themeColor="text1"/>
                <w:sz w:val="24"/>
                <w:szCs w:val="24"/>
                <w:lang w:val="en-US" w:eastAsia="zh-CN"/>
                <w14:textFill>
                  <w14:solidFill>
                    <w14:schemeClr w14:val="tx1"/>
                  </w14:solidFill>
                </w14:textFill>
              </w:rPr>
              <w:t>d</w:t>
            </w:r>
            <w:r>
              <w:rPr>
                <w:rFonts w:hint="eastAsia" w:eastAsia="宋体"/>
                <w:color w:val="000000" w:themeColor="text1"/>
                <w:sz w:val="24"/>
                <w:szCs w:val="24"/>
                <w14:textFill>
                  <w14:solidFill>
                    <w14:schemeClr w14:val="tx1"/>
                  </w14:solidFill>
                </w14:textFill>
              </w:rPr>
              <w:t>稳定低于5℃即进入冬季施工；当室外温度连续5天高于5℃时解除冬季施工。</w:t>
            </w:r>
          </w:p>
          <w:p w14:paraId="1A992E55">
            <w:pPr>
              <w:pStyle w:val="74"/>
              <w:keepNext w:val="0"/>
              <w:keepLines w:val="0"/>
              <w:suppressLineNumbers w:val="0"/>
              <w:spacing w:before="0" w:beforeAutospacing="0" w:after="0" w:afterAutospacing="0"/>
              <w:ind w:left="0" w:right="0" w:firstLine="480"/>
              <w:rPr>
                <w:rFonts w:hint="eastAsia" w:eastAsia="宋体"/>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受黑龙江地区气候及人文地理环境等因素影响，施工单位一般在冬季进行输电线路施工。冬季黑龙江地区地面农作物已收割完成，无青苗补偿，若农耕季节进场需进行青苗、经济作物赔偿；冬天进场需对沿线部分进场道路进行整形，若农耕季节进场施工需铺设碎石和砂。农耕季节进场施工易受到村民阻挠，预期施工困难。综上所述，推荐本工程在冬季施工。</w:t>
            </w:r>
          </w:p>
          <w:p w14:paraId="5D4BE802">
            <w:pPr>
              <w:pStyle w:val="74"/>
              <w:keepNext w:val="0"/>
              <w:keepLines w:val="0"/>
              <w:suppressLineNumbers w:val="0"/>
              <w:spacing w:before="0" w:beforeAutospacing="0" w:after="0" w:afterAutospacing="0"/>
              <w:ind w:left="0" w:right="0" w:firstLine="480"/>
              <w:rPr>
                <w:rFonts w:hint="eastAsia" w:eastAsia="宋体"/>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本项目为输变电项目，高压输电线路作为一种电磁污染源，在所经过区域的一定范围内，都可能造成不同程度的电磁污染。工程建成运行后，变电站内电气设备及输电线路均会对</w:t>
            </w:r>
            <w:r>
              <w:rPr>
                <w:rFonts w:hint="eastAsia"/>
                <w:color w:val="000000" w:themeColor="text1"/>
                <w:sz w:val="24"/>
                <w:szCs w:val="24"/>
                <w:lang w:eastAsia="zh-CN"/>
                <w14:textFill>
                  <w14:solidFill>
                    <w14:schemeClr w14:val="tx1"/>
                  </w14:solidFill>
                </w14:textFill>
              </w:rPr>
              <w:t>周围环境</w:t>
            </w:r>
            <w:r>
              <w:rPr>
                <w:rFonts w:hint="eastAsia" w:eastAsia="宋体"/>
                <w:color w:val="000000" w:themeColor="text1"/>
                <w:sz w:val="24"/>
                <w:szCs w:val="24"/>
                <w14:textFill>
                  <w14:solidFill>
                    <w14:schemeClr w14:val="tx1"/>
                  </w14:solidFill>
                </w14:textFill>
              </w:rPr>
              <w:t>产生电磁环境影响。</w:t>
            </w:r>
          </w:p>
          <w:p w14:paraId="7D76F4AA">
            <w:pPr>
              <w:pStyle w:val="74"/>
              <w:keepNext w:val="0"/>
              <w:keepLines w:val="0"/>
              <w:suppressLineNumbers w:val="0"/>
              <w:spacing w:before="0" w:beforeAutospacing="0" w:after="0" w:afterAutospacing="0"/>
              <w:ind w:left="0" w:right="0" w:firstLine="480"/>
              <w:rPr>
                <w:rFonts w:hint="default"/>
                <w:color w:val="000000" w:themeColor="text1"/>
                <w14:textFill>
                  <w14:solidFill>
                    <w14:schemeClr w14:val="tx1"/>
                  </w14:solidFill>
                </w14:textFill>
              </w:rPr>
            </w:pPr>
            <w:r>
              <w:rPr>
                <w:rFonts w:hint="eastAsia" w:eastAsia="宋体"/>
                <w:color w:val="000000" w:themeColor="text1"/>
                <w:sz w:val="24"/>
                <w:szCs w:val="24"/>
                <w14:textFill>
                  <w14:solidFill>
                    <w14:schemeClr w14:val="tx1"/>
                  </w14:solidFill>
                </w14:textFill>
              </w:rPr>
              <w:t>同时，变电站的设备运行时会产生电磁噪声、母线的电晕噪声、设备振动、冷却装置产生的机械噪声，输电线路正常运行情况下绝缘子等污秽放电会产生电晕噪声等声环境影响。</w:t>
            </w:r>
          </w:p>
          <w:p w14:paraId="5E1455D9">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1.2</w:t>
            </w:r>
            <w:r>
              <w:rPr>
                <w:rFonts w:hint="eastAsia"/>
                <w:b/>
                <w:bCs/>
                <w:color w:val="000000" w:themeColor="text1"/>
                <w:sz w:val="24"/>
                <w14:textFill>
                  <w14:solidFill>
                    <w14:schemeClr w14:val="tx1"/>
                  </w14:solidFill>
                </w14:textFill>
              </w:rPr>
              <w:t>营运期</w:t>
            </w:r>
          </w:p>
          <w:p w14:paraId="170948A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本项目为输变电项目，高压输电线路作为一种电磁污染源，在所经过区域的一定范围内，都可能造成不同程度的电磁污染。工程建成运行后，输电线路会对周围环境将产生电磁环境影响。</w:t>
            </w:r>
          </w:p>
          <w:p w14:paraId="22518DE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同时，变电站的设备运行时会产生电磁噪声、母线的电晕噪声、设备振动、冷却装置产生的机械噪声，输电线路正常运行情况下绝缘子等污秽放电会产生电晕噪声等声环境影响。项目运行期的工艺流程主要包括变电站和输电线路，运行期工艺流程及产污节点见下图。</w:t>
            </w:r>
          </w:p>
          <w:p w14:paraId="17D419C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000000" w:themeColor="text1"/>
                <w:sz w:val="24"/>
                <w:lang w:eastAsia="zh-CN"/>
                <w14:textFill>
                  <w14:solidFill>
                    <w14:schemeClr w14:val="tx1"/>
                  </w14:solidFill>
                </w14:textFill>
              </w:rPr>
            </w:pPr>
            <w:r>
              <w:rPr>
                <w:rFonts w:hint="default"/>
                <w:color w:val="000000" w:themeColor="text1"/>
                <w:sz w:val="24"/>
                <w14:textFill>
                  <w14:solidFill>
                    <w14:schemeClr w14:val="tx1"/>
                  </w14:solidFill>
                </w14:textFill>
              </w:rPr>
              <w:drawing>
                <wp:inline distT="0" distB="0" distL="114300" distR="114300">
                  <wp:extent cx="3305810" cy="2197735"/>
                  <wp:effectExtent l="0" t="0" r="8890" b="12065"/>
                  <wp:docPr id="168" name="图片 17" descr="1639368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7" descr="1639368724(1)"/>
                          <pic:cNvPicPr>
                            <a:picLocks noChangeAspect="1"/>
                          </pic:cNvPicPr>
                        </pic:nvPicPr>
                        <pic:blipFill>
                          <a:blip r:embed="rId15"/>
                          <a:stretch>
                            <a:fillRect/>
                          </a:stretch>
                        </pic:blipFill>
                        <pic:spPr>
                          <a:xfrm>
                            <a:off x="0" y="0"/>
                            <a:ext cx="3305810" cy="2197735"/>
                          </a:xfrm>
                          <a:prstGeom prst="rect">
                            <a:avLst/>
                          </a:prstGeom>
                          <a:noFill/>
                          <a:ln>
                            <a:noFill/>
                          </a:ln>
                        </pic:spPr>
                      </pic:pic>
                    </a:graphicData>
                  </a:graphic>
                </wp:inline>
              </w:drawing>
            </w:r>
          </w:p>
          <w:p w14:paraId="19F72FD0">
            <w:pPr>
              <w:pStyle w:val="76"/>
              <w:keepNext w:val="0"/>
              <w:keepLines w:val="0"/>
              <w:widowControl w:val="0"/>
              <w:suppressLineNumbers w:val="0"/>
              <w:bidi w:val="0"/>
              <w:adjustRightInd/>
              <w:snapToGrid/>
              <w:spacing w:before="0" w:beforeLines="-2147483648" w:beforeAutospacing="0" w:after="0" w:afterLines="-2147483648" w:afterAutospacing="0" w:line="360" w:lineRule="auto"/>
              <w:ind w:left="0" w:right="0" w:firstLine="0" w:firstLineChars="0"/>
              <w:rPr>
                <w:rFonts w:hint="default" w:ascii="Times New Roman" w:hAnsi="Times New Roman" w:eastAsia="宋体" w:cstheme="minorBidi"/>
                <w:bCs/>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 2-</w:t>
            </w:r>
            <w:r>
              <w:rPr>
                <w:rFonts w:hint="eastAsia" w:ascii="Times New Roman" w:cs="Times New Roman"/>
                <w:b/>
                <w:bCs/>
                <w:color w:val="000000" w:themeColor="text1"/>
                <w:kern w:val="2"/>
                <w:sz w:val="24"/>
                <w:szCs w:val="24"/>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项目运行期工艺流程及产污节点图</w:t>
            </w:r>
          </w:p>
          <w:p w14:paraId="2F7440B1">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9</w:t>
            </w:r>
            <w:r>
              <w:rPr>
                <w:rFonts w:hint="eastAsia"/>
                <w:b/>
                <w:bCs/>
                <w:color w:val="000000" w:themeColor="text1"/>
                <w:sz w:val="24"/>
                <w14:textFill>
                  <w14:solidFill>
                    <w14:schemeClr w14:val="tx1"/>
                  </w14:solidFill>
                </w14:textFill>
              </w:rPr>
              <w:t>、建设周期</w:t>
            </w:r>
          </w:p>
          <w:p w14:paraId="66032074">
            <w:pPr>
              <w:pStyle w:val="71"/>
              <w:keepNext w:val="0"/>
              <w:keepLines w:val="0"/>
              <w:suppressLineNumbers w:val="0"/>
              <w:spacing w:before="0" w:beforeLines="0" w:beforeAutospacing="0" w:after="0" w:afterAutospacing="0" w:line="360" w:lineRule="auto"/>
              <w:ind w:left="0" w:right="0" w:firstLine="480" w:firstLineChars="200"/>
              <w:jc w:val="both"/>
              <w:rPr>
                <w:rFonts w:hint="default"/>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施工工期计划，</w:t>
            </w:r>
            <w:r>
              <w:rPr>
                <w:rFonts w:hint="eastAsia" w:eastAsia="宋体"/>
                <w:color w:val="000000" w:themeColor="text1"/>
                <w:sz w:val="24"/>
                <w:szCs w:val="24"/>
                <w:highlight w:val="none"/>
                <w14:textFill>
                  <w14:solidFill>
                    <w14:schemeClr w14:val="tx1"/>
                  </w14:solidFill>
                </w14:textFill>
              </w:rPr>
              <w:t>具体为</w:t>
            </w:r>
            <w:r>
              <w:rPr>
                <w:rFonts w:hint="eastAsia" w:eastAsia="宋体"/>
                <w:color w:val="000000" w:themeColor="text1"/>
                <w:sz w:val="24"/>
                <w:szCs w:val="24"/>
                <w:highlight w:val="none"/>
                <w:lang w:val="en-US" w:eastAsia="zh-CN"/>
                <w14:textFill>
                  <w14:solidFill>
                    <w14:schemeClr w14:val="tx1"/>
                  </w14:solidFill>
                </w14:textFill>
              </w:rPr>
              <w:t>20</w:t>
            </w:r>
            <w:r>
              <w:rPr>
                <w:rFonts w:hint="eastAsia" w:eastAsia="宋体"/>
                <w:color w:val="000000" w:themeColor="text1"/>
                <w:sz w:val="24"/>
                <w:szCs w:val="24"/>
                <w:highlight w:val="none"/>
                <w14:textFill>
                  <w14:solidFill>
                    <w14:schemeClr w14:val="tx1"/>
                  </w14:solidFill>
                </w14:textFill>
              </w:rPr>
              <w:t>2</w:t>
            </w:r>
            <w:r>
              <w:rPr>
                <w:rFonts w:hint="eastAsia" w:eastAsia="宋体"/>
                <w:color w:val="000000" w:themeColor="text1"/>
                <w:sz w:val="24"/>
                <w:szCs w:val="24"/>
                <w:highlight w:val="none"/>
                <w:lang w:val="en-US" w:eastAsia="zh-CN"/>
                <w14:textFill>
                  <w14:solidFill>
                    <w14:schemeClr w14:val="tx1"/>
                  </w14:solidFill>
                </w14:textFill>
              </w:rPr>
              <w:t>5</w:t>
            </w:r>
            <w:r>
              <w:rPr>
                <w:rFonts w:hint="eastAsia" w:eastAsia="宋体"/>
                <w:color w:val="000000" w:themeColor="text1"/>
                <w:sz w:val="24"/>
                <w:szCs w:val="24"/>
                <w:highlight w:val="none"/>
                <w14:textFill>
                  <w14:solidFill>
                    <w14:schemeClr w14:val="tx1"/>
                  </w14:solidFill>
                </w14:textFill>
              </w:rPr>
              <w:t>年</w:t>
            </w:r>
            <w:r>
              <w:rPr>
                <w:rFonts w:hint="eastAsia" w:eastAsia="宋体"/>
                <w:color w:val="000000" w:themeColor="text1"/>
                <w:sz w:val="24"/>
                <w:szCs w:val="24"/>
                <w:highlight w:val="none"/>
                <w:lang w:val="en-US" w:eastAsia="zh-CN"/>
                <w14:textFill>
                  <w14:solidFill>
                    <w14:schemeClr w14:val="tx1"/>
                  </w14:solidFill>
                </w14:textFill>
              </w:rPr>
              <w:t>6月</w:t>
            </w:r>
            <w:r>
              <w:rPr>
                <w:rFonts w:hint="eastAsia" w:eastAsia="宋体"/>
                <w:color w:val="000000" w:themeColor="text1"/>
                <w:sz w:val="24"/>
                <w:szCs w:val="24"/>
                <w:highlight w:val="none"/>
                <w14:textFill>
                  <w14:solidFill>
                    <w14:schemeClr w14:val="tx1"/>
                  </w14:solidFill>
                </w14:textFill>
              </w:rPr>
              <w:t>及</w:t>
            </w:r>
            <w:r>
              <w:rPr>
                <w:rFonts w:hint="eastAsia" w:eastAsia="宋体"/>
                <w:color w:val="000000" w:themeColor="text1"/>
                <w:sz w:val="24"/>
                <w:szCs w:val="24"/>
                <w:highlight w:val="none"/>
                <w:lang w:val="en-US" w:eastAsia="zh-CN"/>
                <w14:textFill>
                  <w14:solidFill>
                    <w14:schemeClr w14:val="tx1"/>
                  </w14:solidFill>
                </w14:textFill>
              </w:rPr>
              <w:t>20</w:t>
            </w:r>
            <w:r>
              <w:rPr>
                <w:rFonts w:hint="eastAsia" w:eastAsia="宋体"/>
                <w:color w:val="000000" w:themeColor="text1"/>
                <w:sz w:val="24"/>
                <w:szCs w:val="24"/>
                <w:highlight w:val="none"/>
                <w14:textFill>
                  <w14:solidFill>
                    <w14:schemeClr w14:val="tx1"/>
                  </w14:solidFill>
                </w14:textFill>
              </w:rPr>
              <w:t>2</w:t>
            </w:r>
            <w:r>
              <w:rPr>
                <w:rFonts w:hint="eastAsia" w:eastAsia="宋体"/>
                <w:color w:val="000000" w:themeColor="text1"/>
                <w:sz w:val="24"/>
                <w:szCs w:val="24"/>
                <w:highlight w:val="none"/>
                <w:lang w:val="en-US" w:eastAsia="zh-CN"/>
                <w14:textFill>
                  <w14:solidFill>
                    <w14:schemeClr w14:val="tx1"/>
                  </w14:solidFill>
                </w14:textFill>
              </w:rPr>
              <w:t>7</w:t>
            </w:r>
            <w:r>
              <w:rPr>
                <w:rFonts w:hint="eastAsia" w:eastAsia="宋体"/>
                <w:color w:val="000000" w:themeColor="text1"/>
                <w:sz w:val="24"/>
                <w:szCs w:val="24"/>
                <w:highlight w:val="none"/>
                <w14:textFill>
                  <w14:solidFill>
                    <w14:schemeClr w14:val="tx1"/>
                  </w14:solidFill>
                </w14:textFill>
              </w:rPr>
              <w:t>年</w:t>
            </w:r>
            <w:r>
              <w:rPr>
                <w:rFonts w:hint="eastAsia" w:eastAsia="宋体"/>
                <w:color w:val="000000" w:themeColor="text1"/>
                <w:sz w:val="24"/>
                <w:szCs w:val="24"/>
                <w:highlight w:val="none"/>
                <w:lang w:val="en-US" w:eastAsia="zh-CN"/>
                <w14:textFill>
                  <w14:solidFill>
                    <w14:schemeClr w14:val="tx1"/>
                  </w14:solidFill>
                </w14:textFill>
              </w:rPr>
              <w:t>6月</w:t>
            </w:r>
            <w:r>
              <w:rPr>
                <w:rFonts w:hint="eastAsia" w:eastAsia="宋体"/>
                <w:color w:val="000000" w:themeColor="text1"/>
                <w:sz w:val="24"/>
                <w:szCs w:val="24"/>
                <w:highlight w:val="none"/>
                <w14:textFill>
                  <w14:solidFill>
                    <w14:schemeClr w14:val="tx1"/>
                  </w14:solidFill>
                </w14:textFill>
              </w:rPr>
              <w:t>冬季进行线路施</w:t>
            </w:r>
            <w:r>
              <w:rPr>
                <w:rFonts w:hint="eastAsia" w:eastAsia="宋体"/>
                <w:color w:val="000000" w:themeColor="text1"/>
                <w:sz w:val="24"/>
                <w:szCs w:val="24"/>
                <w14:textFill>
                  <w14:solidFill>
                    <w14:schemeClr w14:val="tx1"/>
                  </w14:solidFill>
                </w14:textFill>
              </w:rPr>
              <w:t>工</w:t>
            </w:r>
            <w:r>
              <w:rPr>
                <w:rFonts w:hint="eastAsia" w:eastAsia="宋体"/>
                <w:color w:val="000000" w:themeColor="text1"/>
                <w:sz w:val="24"/>
                <w:szCs w:val="24"/>
                <w:lang w:eastAsia="zh-CN"/>
                <w14:textFill>
                  <w14:solidFill>
                    <w14:schemeClr w14:val="tx1"/>
                  </w14:solidFill>
                </w14:textFill>
              </w:rPr>
              <w:t>（</w:t>
            </w:r>
            <w:r>
              <w:rPr>
                <w:rFonts w:hint="eastAsia" w:eastAsia="宋体"/>
                <w:color w:val="000000" w:themeColor="text1"/>
                <w:sz w:val="24"/>
                <w:szCs w:val="24"/>
                <w:lang w:val="en-US" w:eastAsia="zh-CN"/>
                <w14:textFill>
                  <w14:solidFill>
                    <w14:schemeClr w14:val="tx1"/>
                  </w14:solidFill>
                </w14:textFill>
              </w:rPr>
              <w:t>施工时间应避开农业生产期</w:t>
            </w:r>
            <w:r>
              <w:rPr>
                <w:rFonts w:hint="eastAsia" w:eastAsia="宋体"/>
                <w:color w:val="000000" w:themeColor="text1"/>
                <w:sz w:val="24"/>
                <w:szCs w:val="24"/>
                <w:lang w:eastAsia="zh-CN"/>
                <w14:textFill>
                  <w14:solidFill>
                    <w14:schemeClr w14:val="tx1"/>
                  </w14:solidFill>
                </w14:textFill>
              </w:rPr>
              <w:t>）</w:t>
            </w:r>
            <w:r>
              <w:rPr>
                <w:rFonts w:hint="eastAsia" w:eastAsia="宋体"/>
                <w:color w:val="000000" w:themeColor="text1"/>
                <w:sz w:val="24"/>
                <w:szCs w:val="24"/>
                <w14:textFill>
                  <w14:solidFill>
                    <w14:schemeClr w14:val="tx1"/>
                  </w14:solidFill>
                </w14:textFill>
              </w:rPr>
              <w:t>，具体施工进度安排应结合建设管理单位计划施工排序进行。</w:t>
            </w:r>
          </w:p>
        </w:tc>
      </w:tr>
      <w:tr w14:paraId="0760F6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710" w:type="dxa"/>
            <w:vAlign w:val="center"/>
          </w:tcPr>
          <w:p w14:paraId="034D0F8F">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其他</w:t>
            </w:r>
          </w:p>
        </w:tc>
        <w:tc>
          <w:tcPr>
            <w:tcW w:w="8380" w:type="dxa"/>
            <w:vAlign w:val="center"/>
          </w:tcPr>
          <w:p w14:paraId="7EBDB5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本项目</w:t>
            </w:r>
            <w:r>
              <w:rPr>
                <w:rFonts w:hint="eastAsia"/>
                <w:color w:val="000000" w:themeColor="text1"/>
                <w:kern w:val="0"/>
                <w:sz w:val="24"/>
                <w:lang w:val="en-US" w:eastAsia="zh-CN"/>
                <w14:textFill>
                  <w14:solidFill>
                    <w14:schemeClr w14:val="tx1"/>
                  </w14:solidFill>
                </w14:textFill>
              </w:rPr>
              <w:t>起点位于鸡东县鸡西500kV变电站，终点位于恒山区恒山220kV变电站</w:t>
            </w:r>
            <w:r>
              <w:rPr>
                <w:rFonts w:hint="default"/>
                <w:color w:val="000000" w:themeColor="text1"/>
                <w:kern w:val="0"/>
                <w:sz w:val="24"/>
                <w14:textFill>
                  <w14:solidFill>
                    <w14:schemeClr w14:val="tx1"/>
                  </w14:solidFill>
                </w14:textFill>
              </w:rPr>
              <w:t>。</w:t>
            </w:r>
            <w:r>
              <w:rPr>
                <w:rFonts w:hint="eastAsia"/>
                <w:color w:val="000000" w:themeColor="text1"/>
                <w:sz w:val="24"/>
                <w:szCs w:val="24"/>
                <w14:textFill>
                  <w14:solidFill>
                    <w14:schemeClr w14:val="tx1"/>
                  </w14:solidFill>
                </w14:textFill>
              </w:rPr>
              <w:t>变电站工程</w:t>
            </w:r>
            <w:r>
              <w:rPr>
                <w:rFonts w:hint="eastAsia"/>
                <w:color w:val="000000" w:themeColor="text1"/>
                <w:sz w:val="24"/>
                <w:szCs w:val="24"/>
                <w:lang w:val="en-US" w:eastAsia="zh-CN"/>
                <w14:textFill>
                  <w14:solidFill>
                    <w14:schemeClr w14:val="tx1"/>
                  </w14:solidFill>
                </w14:textFill>
              </w:rPr>
              <w:t>利用原有站址进行突破围墙扩建间隔，选址具有唯一性，且变电站新增占地不涉及</w:t>
            </w:r>
            <w:r>
              <w:rPr>
                <w:rFonts w:hint="eastAsia"/>
                <w:color w:val="000000" w:themeColor="text1"/>
                <w:sz w:val="24"/>
                <w:lang w:val="en-US" w:eastAsia="zh-CN"/>
                <w14:textFill>
                  <w14:solidFill>
                    <w14:schemeClr w14:val="tx1"/>
                  </w14:solidFill>
                </w14:textFill>
              </w:rPr>
              <w:t>国家公园、自然保护区、自然公园、重要物种的天然集中分布区、栖息地、重要水生生物的产卵场、索饵场、越冬场和洄游通道，迁徙鸟类的重要繁殖地、停歇地、越冬地以及野生动物迁徙通道等生态敏感区，</w:t>
            </w:r>
            <w:r>
              <w:rPr>
                <w:rFonts w:hint="eastAsia"/>
                <w:color w:val="000000" w:themeColor="text1"/>
                <w:sz w:val="24"/>
                <w:szCs w:val="24"/>
                <w:lang w:val="en-US" w:eastAsia="zh-CN"/>
                <w14:textFill>
                  <w14:solidFill>
                    <w14:schemeClr w14:val="tx1"/>
                  </w14:solidFill>
                </w14:textFill>
              </w:rPr>
              <w:t>此处不再进行选址合理性分析。</w:t>
            </w:r>
            <w:r>
              <w:rPr>
                <w:rFonts w:hint="default" w:ascii="Times New Roman" w:hAnsi="Times New Roman" w:eastAsia="宋体" w:cs="Times New Roman"/>
                <w:color w:val="FF0000"/>
                <w:kern w:val="0"/>
                <w:sz w:val="24"/>
                <w:szCs w:val="24"/>
                <w:lang w:val="en-US" w:eastAsia="zh-CN" w:bidi="ar-SA"/>
              </w:rPr>
              <w:t>本工程方案是结合国土空间规划，地矿分部，生态红线，以及方案投资</w:t>
            </w:r>
            <w:r>
              <w:rPr>
                <w:rFonts w:hint="eastAsia" w:cs="Times New Roman"/>
                <w:color w:val="FF0000"/>
                <w:kern w:val="0"/>
                <w:sz w:val="24"/>
                <w:szCs w:val="24"/>
                <w:lang w:val="en-US" w:eastAsia="zh-CN" w:bidi="ar-SA"/>
              </w:rPr>
              <w:t>综合比选</w:t>
            </w:r>
            <w:r>
              <w:rPr>
                <w:rFonts w:hint="default" w:ascii="Times New Roman" w:hAnsi="Times New Roman" w:eastAsia="宋体" w:cs="Times New Roman"/>
                <w:color w:val="FF0000"/>
                <w:kern w:val="0"/>
                <w:sz w:val="24"/>
                <w:szCs w:val="24"/>
                <w:lang w:val="en-US" w:eastAsia="zh-CN" w:bidi="ar-SA"/>
              </w:rPr>
              <w:t>下得出的优选方案，路径经过地区耕作面积广泛，大部分为基本农田。</w:t>
            </w:r>
            <w:r>
              <w:rPr>
                <w:rFonts w:hint="eastAsia" w:ascii="Times New Roman" w:hAnsi="Times New Roman" w:eastAsia="宋体" w:cs="Times New Roman"/>
                <w:color w:val="FF0000"/>
                <w:kern w:val="0"/>
                <w:sz w:val="24"/>
                <w:szCs w:val="24"/>
                <w:lang w:val="en-US" w:eastAsia="zh-CN" w:bidi="ar-SA"/>
              </w:rPr>
              <w:t>根据</w:t>
            </w:r>
            <w:r>
              <w:rPr>
                <w:rFonts w:hint="default" w:ascii="Times New Roman" w:hAnsi="Times New Roman" w:eastAsia="宋体" w:cs="Times New Roman"/>
                <w:color w:val="FF0000"/>
                <w:kern w:val="0"/>
                <w:sz w:val="24"/>
                <w:szCs w:val="24"/>
                <w:lang w:val="en-US" w:eastAsia="zh-CN" w:bidi="ar-SA"/>
              </w:rPr>
              <w:t>拟建的</w:t>
            </w:r>
            <w:r>
              <w:rPr>
                <w:rFonts w:hint="eastAsia" w:cs="Times New Roman"/>
                <w:color w:val="FF0000"/>
                <w:kern w:val="0"/>
                <w:sz w:val="24"/>
                <w:szCs w:val="24"/>
                <w:lang w:val="en-US" w:eastAsia="zh-CN" w:bidi="ar-SA"/>
              </w:rPr>
              <w:t>22</w:t>
            </w:r>
            <w:r>
              <w:rPr>
                <w:rFonts w:hint="eastAsia" w:eastAsia="宋体" w:cs="Times New Roman"/>
                <w:color w:val="FF0000"/>
                <w:kern w:val="0"/>
                <w:sz w:val="24"/>
                <w:szCs w:val="24"/>
                <w:lang w:val="en-US" w:eastAsia="zh-CN" w:bidi="ar-SA"/>
              </w:rPr>
              <w:t>0</w:t>
            </w:r>
            <w:r>
              <w:rPr>
                <w:rFonts w:hint="default" w:ascii="Times New Roman" w:hAnsi="Times New Roman" w:eastAsia="宋体" w:cs="Times New Roman"/>
                <w:color w:val="FF0000"/>
                <w:kern w:val="0"/>
                <w:sz w:val="24"/>
                <w:szCs w:val="24"/>
                <w:lang w:val="en-US" w:eastAsia="zh-CN" w:bidi="ar-SA"/>
              </w:rPr>
              <w:t>千伏线路</w:t>
            </w:r>
            <w:r>
              <w:rPr>
                <w:rFonts w:hint="eastAsia" w:ascii="Times New Roman" w:hAnsi="Times New Roman" w:eastAsia="宋体" w:cs="Times New Roman"/>
                <w:color w:val="FF0000"/>
                <w:kern w:val="0"/>
                <w:sz w:val="24"/>
                <w:szCs w:val="24"/>
                <w:lang w:val="en-US" w:eastAsia="zh-CN" w:bidi="ar-SA"/>
              </w:rPr>
              <w:t>确实</w:t>
            </w:r>
            <w:r>
              <w:rPr>
                <w:rFonts w:hint="default" w:ascii="Times New Roman" w:hAnsi="Times New Roman" w:eastAsia="宋体" w:cs="Times New Roman"/>
                <w:color w:val="FF0000"/>
                <w:kern w:val="0"/>
                <w:sz w:val="24"/>
                <w:szCs w:val="24"/>
                <w:lang w:val="en-US" w:eastAsia="zh-CN" w:bidi="ar-SA"/>
              </w:rPr>
              <w:t>无法避让大面积基本农田</w:t>
            </w:r>
            <w:r>
              <w:rPr>
                <w:rFonts w:hint="eastAsia" w:cs="Times New Roman"/>
                <w:color w:val="FF0000"/>
                <w:kern w:val="0"/>
                <w:sz w:val="24"/>
                <w:szCs w:val="24"/>
                <w:lang w:val="en-US" w:eastAsia="zh-CN" w:bidi="ar-SA"/>
              </w:rPr>
              <w:t>（见附图7）</w:t>
            </w:r>
            <w:r>
              <w:rPr>
                <w:rFonts w:hint="default" w:ascii="Times New Roman" w:hAnsi="Times New Roman" w:eastAsia="宋体" w:cs="Times New Roman"/>
                <w:color w:val="FF0000"/>
                <w:kern w:val="0"/>
                <w:sz w:val="24"/>
                <w:szCs w:val="24"/>
                <w:lang w:val="en-US" w:eastAsia="zh-CN" w:bidi="ar-SA"/>
              </w:rPr>
              <w:t>。</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输电线路工程为新建工程，选址选线需要进行方案比选。</w:t>
            </w:r>
          </w:p>
          <w:p w14:paraId="796EC448">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textAlignment w:val="auto"/>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（1）方案一：</w:t>
            </w:r>
          </w:p>
          <w:p w14:paraId="3F0A3589">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textAlignment w:val="auto"/>
              <w:rPr>
                <w:rFonts w:hint="eastAsia" w:ascii="Times New Roman" w:hAnsi="Times New Roman"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bCs/>
                <w:color w:val="000000" w:themeColor="text1"/>
                <w:kern w:val="2"/>
                <w:sz w:val="24"/>
                <w:szCs w:val="24"/>
                <w:lang w:val="en-US" w:eastAsia="zh-CN" w:bidi="ar-SA"/>
                <w14:textFill>
                  <w14:solidFill>
                    <w14:schemeClr w14:val="tx1"/>
                  </w14:solidFill>
                </w14:textFill>
              </w:rPr>
              <w:t>由鸡西500千伏变电站220kV侧构架起，利用双回路终端塔（JYXJ1）出线，向西方向出线经过曲河水库南侧、四排村南侧、久太村南侧、复兴村南侧、金生村东南侧、希贤村南侧、小新城村南侧至（JXJ7、YXJ7），(JXJ2-JXJ7、YXJ2-YXJ7)为平行于既有线路500千伏鸡林线在其北侧架设，后继续向西北方向前进至小石兴河南侧（JXJ8、YXJ8），继续向西南方向前进至果木园子屯南侧（JXJ9、YXJ9），继续向西北方向前进至曾家沟南侧（JXJ10、YXJ10），继续向西北方向前进至胜利村北侧、毛家村西南侧（JXJ11、YXJ11），继续向西南方向前进至胜利村西北侧(JXJ12、YXJ12),继续向西北方向前进至界丰屯北侧（JXJ13、YXJ13），继续向西南方向前进至（JXJ14、YXJ14），继续向西北方向前进跨越220千伏鸡梨线至梨树沟东侧（JXJ15、YXJ15），继续向东北方向前进至（JXJ16、YXJ16），继续向东北方向前进至长安屯西南侧（JXJ17、YXJ17），继续向西北方向前进跨越220千伏西梨线（风场外送线路）至长安屯西北侧（JXJ18、YXJ18），继续向东北方向前进至长安屯东北侧、永安屯西北侧至（JXJ19、YXJ19）,继续向东北方向前进跨越66千伏梨恒线、66千伏恒柳线、66千伏恒浩线至（JXJ20、YXJ20），继续向东北方向前再次跨越66千伏恒普甲线、66千伏恒普乙线、220千伏鸡梨线至（JXJ21、YXJ21）后，同塔双回架设，经4基双回路耐张塔（JYXJ22-JYXJ25)，最终接至220千伏恒山变电站</w:t>
            </w:r>
            <w:r>
              <w:rPr>
                <w:rFonts w:hint="eastAsia" w:cs="Times New Roman"/>
                <w:bCs/>
                <w:color w:val="000000" w:themeColor="text1"/>
                <w:kern w:val="2"/>
                <w:sz w:val="24"/>
                <w:szCs w:val="24"/>
                <w:lang w:val="en-US" w:eastAsia="zh-CN" w:bidi="ar-SA"/>
                <w14:textFill>
                  <w14:solidFill>
                    <w14:schemeClr w14:val="tx1"/>
                  </w14:solidFill>
                </w14:textFill>
              </w:rPr>
              <w:t>，新建线路全长约2×66公里，转角共计45次。曲折系数为1.37。</w:t>
            </w:r>
          </w:p>
          <w:p w14:paraId="35D143F5">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textAlignment w:val="auto"/>
              <w:rPr>
                <w:rFonts w:hint="eastAsia" w:ascii="Times New Roman" w:hAnsi="Times New Roman"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bCs/>
                <w:color w:val="000000" w:themeColor="text1"/>
                <w:kern w:val="2"/>
                <w:sz w:val="24"/>
                <w:szCs w:val="24"/>
                <w:lang w:val="en-US" w:eastAsia="zh-CN" w:bidi="ar-SA"/>
                <w14:textFill>
                  <w14:solidFill>
                    <w14:schemeClr w14:val="tx1"/>
                  </w14:solidFill>
                </w14:textFill>
              </w:rPr>
              <w:t>（2）方案二：</w:t>
            </w:r>
          </w:p>
          <w:p w14:paraId="59171A02">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textAlignment w:val="auto"/>
              <w:rPr>
                <w:rFonts w:hint="default" w:ascii="Times New Roman" w:hAnsi="Times New Roman" w:cs="Times New Roman"/>
                <w:bCs/>
                <w:color w:val="000000" w:themeColor="text1"/>
                <w:kern w:val="2"/>
                <w:sz w:val="24"/>
                <w:szCs w:val="24"/>
                <w:lang w:val="en-US" w:eastAsia="zh-CN" w:bidi="ar-SA"/>
                <w14:textFill>
                  <w14:solidFill>
                    <w14:schemeClr w14:val="tx1"/>
                  </w14:solidFill>
                </w14:textFill>
              </w:rPr>
            </w:pPr>
            <w:r>
              <w:rPr>
                <w:rFonts w:hint="default" w:ascii="Times New Roman" w:hAnsi="Times New Roman" w:cs="Times New Roman"/>
                <w:bCs/>
                <w:color w:val="000000" w:themeColor="text1"/>
                <w:kern w:val="2"/>
                <w:sz w:val="24"/>
                <w:szCs w:val="24"/>
                <w:lang w:val="en-US" w:eastAsia="zh-CN" w:bidi="ar-SA"/>
                <w14:textFill>
                  <w14:solidFill>
                    <w14:schemeClr w14:val="tx1"/>
                  </w14:solidFill>
                </w14:textFill>
              </w:rPr>
              <w:t>由鸡西500千伏变电站2</w:t>
            </w:r>
            <w:r>
              <w:rPr>
                <w:rFonts w:hint="eastAsia" w:cs="Times New Roman"/>
                <w:bCs/>
                <w:color w:val="000000" w:themeColor="text1"/>
                <w:kern w:val="2"/>
                <w:sz w:val="24"/>
                <w:szCs w:val="24"/>
                <w:lang w:val="en-US" w:eastAsia="zh-CN" w:bidi="ar-SA"/>
                <w14:textFill>
                  <w14:solidFill>
                    <w14:schemeClr w14:val="tx1"/>
                  </w14:solidFill>
                </w14:textFill>
              </w:rPr>
              <w:t>2</w:t>
            </w:r>
            <w:r>
              <w:rPr>
                <w:rFonts w:hint="default" w:ascii="Times New Roman" w:hAnsi="Times New Roman" w:cs="Times New Roman"/>
                <w:bCs/>
                <w:color w:val="000000" w:themeColor="text1"/>
                <w:kern w:val="2"/>
                <w:sz w:val="24"/>
                <w:szCs w:val="24"/>
                <w:lang w:val="en-US" w:eastAsia="zh-CN" w:bidi="ar-SA"/>
                <w14:textFill>
                  <w14:solidFill>
                    <w14:schemeClr w14:val="tx1"/>
                  </w14:solidFill>
                </w14:textFill>
              </w:rPr>
              <w:t>0kV侧构架起，利用双回路终端塔（JYXJ1）出线，J10之前与北方案路径一致，后向西南方向前进至大五排沟北侧（J11），继续向西方向前进至五间房屯西南侧（J12），继续向西北方向前进跨越220千伏鸡梨线至梨树沟东侧（J13），后与北方案一致，最终双回路终端接至220千伏恒山变电站，新建线路全长约2</w:t>
            </w:r>
            <w:r>
              <w:rPr>
                <w:rFonts w:hint="eastAsia" w:cs="Times New Roman"/>
                <w:bCs/>
                <w:color w:val="000000" w:themeColor="text1"/>
                <w:kern w:val="2"/>
                <w:sz w:val="24"/>
                <w:szCs w:val="24"/>
                <w:lang w:val="en-US" w:eastAsia="zh-CN" w:bidi="ar-SA"/>
                <w14:textFill>
                  <w14:solidFill>
                    <w14:schemeClr w14:val="tx1"/>
                  </w14:solidFill>
                </w14:textFill>
              </w:rPr>
              <w:t>×</w:t>
            </w:r>
            <w:r>
              <w:rPr>
                <w:rFonts w:hint="default" w:ascii="Times New Roman" w:hAnsi="Times New Roman" w:cs="Times New Roman"/>
                <w:bCs/>
                <w:color w:val="000000" w:themeColor="text1"/>
                <w:kern w:val="2"/>
                <w:sz w:val="24"/>
                <w:szCs w:val="24"/>
                <w:lang w:val="en-US" w:eastAsia="zh-CN" w:bidi="ar-SA"/>
                <w14:textFill>
                  <w14:solidFill>
                    <w14:schemeClr w14:val="tx1"/>
                  </w14:solidFill>
                </w14:textFill>
              </w:rPr>
              <w:t>67公里，转角共计41次。曲折系数为1.40。</w:t>
            </w:r>
          </w:p>
          <w:p w14:paraId="32CD934A">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5122545" cy="2457450"/>
                  <wp:effectExtent l="0" t="0" r="1905" b="0"/>
                  <wp:docPr id="1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
                          <pic:cNvPicPr>
                            <a:picLocks noChangeAspect="1"/>
                          </pic:cNvPicPr>
                        </pic:nvPicPr>
                        <pic:blipFill>
                          <a:blip r:embed="rId16"/>
                          <a:stretch>
                            <a:fillRect/>
                          </a:stretch>
                        </pic:blipFill>
                        <pic:spPr>
                          <a:xfrm>
                            <a:off x="0" y="0"/>
                            <a:ext cx="5122545" cy="2457450"/>
                          </a:xfrm>
                          <a:prstGeom prst="rect">
                            <a:avLst/>
                          </a:prstGeom>
                          <a:noFill/>
                          <a:ln>
                            <a:noFill/>
                          </a:ln>
                        </pic:spPr>
                      </pic:pic>
                    </a:graphicData>
                  </a:graphic>
                </wp:inline>
              </w:drawing>
            </w:r>
          </w:p>
          <w:p w14:paraId="19698055">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 2-</w:t>
            </w:r>
            <w:r>
              <w:rPr>
                <w:rFonts w:hint="eastAsia" w:cs="Times New Roman"/>
                <w:b/>
                <w:bCs/>
                <w:color w:val="000000" w:themeColor="text1"/>
                <w:kern w:val="2"/>
                <w:sz w:val="24"/>
                <w:szCs w:val="24"/>
                <w:lang w:val="en-US" w:eastAsia="zh-CN" w:bidi="ar-SA"/>
                <w14:textFill>
                  <w14:solidFill>
                    <w14:schemeClr w14:val="tx1"/>
                  </w14:solidFill>
                </w14:textFill>
              </w:rPr>
              <w:t>4</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cs="Times New Roman"/>
                <w:b/>
                <w:bCs/>
                <w:color w:val="000000" w:themeColor="text1"/>
                <w:kern w:val="2"/>
                <w:sz w:val="24"/>
                <w:szCs w:val="24"/>
                <w:lang w:val="en-US" w:eastAsia="zh-CN" w:bidi="ar-SA"/>
                <w14:textFill>
                  <w14:solidFill>
                    <w14:schemeClr w14:val="tx1"/>
                  </w14:solidFill>
                </w14:textFill>
              </w:rPr>
              <w:t>路径对比示意图</w:t>
            </w:r>
            <w:r>
              <w:rPr>
                <w:rFonts w:hint="eastAsia" w:cs="Times New Roman"/>
                <w:b/>
                <w:bCs/>
                <w:color w:val="000000" w:themeColor="text1"/>
                <w:kern w:val="2"/>
                <w:sz w:val="24"/>
                <w:szCs w:val="24"/>
                <w:lang w:val="en-US" w:eastAsia="zh-CN" w:bidi="ar-SA"/>
                <w14:textFill>
                  <w14:solidFill>
                    <w14:schemeClr w14:val="tx1"/>
                  </w14:solidFill>
                </w14:textFill>
              </w:rPr>
              <w:t>（蓝色为方案一，红色为方案二）</w:t>
            </w:r>
          </w:p>
          <w:p w14:paraId="577A5D80">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表 2-</w:t>
            </w:r>
            <w:r>
              <w:rPr>
                <w:rFonts w:hint="eastAsia" w:ascii="Times New Roman" w:hAnsi="Times New Roman" w:cs="Times New Roman"/>
                <w:b/>
                <w:bCs/>
                <w:color w:val="000000" w:themeColor="text1"/>
                <w:sz w:val="24"/>
                <w:szCs w:val="24"/>
                <w:lang w:val="en-US" w:eastAsia="zh-CN"/>
                <w14:textFill>
                  <w14:solidFill>
                    <w14:schemeClr w14:val="tx1"/>
                  </w14:solidFill>
                </w14:textFill>
              </w:rPr>
              <w:t>9</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24"/>
                <w:lang w:val="en-US" w:eastAsia="zh-CN"/>
                <w14:textFill>
                  <w14:solidFill>
                    <w14:schemeClr w14:val="tx1"/>
                  </w14:solidFill>
                </w14:textFill>
              </w:rPr>
              <w:t>路径方案技术比较表</w:t>
            </w:r>
          </w:p>
          <w:tbl>
            <w:tblPr>
              <w:tblStyle w:val="30"/>
              <w:tblW w:w="0" w:type="auto"/>
              <w:tblInd w:w="1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108" w:type="dxa"/>
                <w:bottom w:w="0" w:type="dxa"/>
                <w:right w:w="108" w:type="dxa"/>
              </w:tblCellMar>
            </w:tblPr>
            <w:tblGrid>
              <w:gridCol w:w="1950"/>
              <w:gridCol w:w="2702"/>
              <w:gridCol w:w="2003"/>
              <w:gridCol w:w="1489"/>
            </w:tblGrid>
            <w:tr w14:paraId="38ADDD5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4652" w:type="dxa"/>
                  <w:gridSpan w:val="2"/>
                  <w:tcBorders>
                    <w:bottom w:val="single" w:color="auto" w:sz="4" w:space="0"/>
                    <w:right w:val="single" w:color="auto" w:sz="4" w:space="0"/>
                  </w:tcBorders>
                  <w:shd w:val="clear" w:color="auto" w:fill="auto"/>
                  <w:noWrap w:val="0"/>
                  <w:vAlign w:val="center"/>
                </w:tcPr>
                <w:p w14:paraId="2EF25F69">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鸡西~恒山220kV线路</w:t>
                  </w:r>
                </w:p>
              </w:tc>
              <w:tc>
                <w:tcPr>
                  <w:tcW w:w="2003" w:type="dxa"/>
                  <w:tcBorders>
                    <w:left w:val="single" w:color="auto" w:sz="4" w:space="0"/>
                    <w:bottom w:val="single" w:color="auto" w:sz="4" w:space="0"/>
                    <w:right w:val="single" w:color="auto" w:sz="4" w:space="0"/>
                  </w:tcBorders>
                  <w:shd w:val="clear" w:color="auto" w:fill="auto"/>
                  <w:noWrap w:val="0"/>
                  <w:vAlign w:val="center"/>
                </w:tcPr>
                <w:p w14:paraId="047010DD">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方案一</w:t>
                  </w:r>
                </w:p>
              </w:tc>
              <w:tc>
                <w:tcPr>
                  <w:tcW w:w="1489" w:type="dxa"/>
                  <w:tcBorders>
                    <w:left w:val="single" w:color="auto" w:sz="8" w:space="0"/>
                    <w:bottom w:val="single" w:color="auto" w:sz="4" w:space="0"/>
                  </w:tcBorders>
                  <w:shd w:val="clear" w:color="auto" w:fill="FFFFFF"/>
                  <w:noWrap w:val="0"/>
                  <w:vAlign w:val="center"/>
                </w:tcPr>
                <w:p w14:paraId="269636C0">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方案二</w:t>
                  </w:r>
                </w:p>
              </w:tc>
            </w:tr>
            <w:tr w14:paraId="7EF1C27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4652" w:type="dxa"/>
                  <w:gridSpan w:val="2"/>
                  <w:tcBorders>
                    <w:top w:val="double" w:color="auto" w:sz="4" w:space="0"/>
                    <w:bottom w:val="single" w:color="auto" w:sz="4" w:space="0"/>
                    <w:right w:val="single" w:color="auto" w:sz="4" w:space="0"/>
                  </w:tcBorders>
                  <w:shd w:val="clear" w:color="auto" w:fill="auto"/>
                  <w:noWrap w:val="0"/>
                  <w:vAlign w:val="center"/>
                </w:tcPr>
                <w:p w14:paraId="24627298">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线路长度（km）</w:t>
                  </w:r>
                </w:p>
              </w:tc>
              <w:tc>
                <w:tcPr>
                  <w:tcW w:w="2003" w:type="dxa"/>
                  <w:tcBorders>
                    <w:top w:val="double" w:color="auto" w:sz="4" w:space="0"/>
                    <w:left w:val="single" w:color="auto" w:sz="4" w:space="0"/>
                    <w:bottom w:val="single" w:color="auto" w:sz="4" w:space="0"/>
                    <w:right w:val="single" w:color="auto" w:sz="4" w:space="0"/>
                  </w:tcBorders>
                  <w:shd w:val="clear" w:color="auto" w:fill="auto"/>
                  <w:noWrap w:val="0"/>
                  <w:vAlign w:val="top"/>
                </w:tcPr>
                <w:p w14:paraId="0DC4EA0E">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2×66</w:t>
                  </w:r>
                </w:p>
              </w:tc>
              <w:tc>
                <w:tcPr>
                  <w:tcW w:w="1489" w:type="dxa"/>
                  <w:tcBorders>
                    <w:top w:val="double" w:color="auto" w:sz="4" w:space="0"/>
                    <w:left w:val="single" w:color="auto" w:sz="8" w:space="0"/>
                    <w:bottom w:val="single" w:color="auto" w:sz="4" w:space="0"/>
                  </w:tcBorders>
                  <w:shd w:val="clear" w:color="auto" w:fill="FFFFFF"/>
                  <w:noWrap w:val="0"/>
                  <w:vAlign w:val="top"/>
                </w:tcPr>
                <w:p w14:paraId="1A01DBDC">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2×67</w:t>
                  </w:r>
                </w:p>
              </w:tc>
            </w:tr>
            <w:tr w14:paraId="3D65F6F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4652" w:type="dxa"/>
                  <w:gridSpan w:val="2"/>
                  <w:tcBorders>
                    <w:top w:val="single" w:color="auto" w:sz="4" w:space="0"/>
                    <w:bottom w:val="single" w:color="auto" w:sz="4" w:space="0"/>
                    <w:right w:val="single" w:color="auto" w:sz="4" w:space="0"/>
                  </w:tcBorders>
                  <w:shd w:val="clear" w:color="auto" w:fill="auto"/>
                  <w:noWrap w:val="0"/>
                  <w:vAlign w:val="center"/>
                </w:tcPr>
                <w:p w14:paraId="55F3C54A">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曲折系数</w:t>
                  </w:r>
                </w:p>
              </w:tc>
              <w:tc>
                <w:tcPr>
                  <w:tcW w:w="200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B73F576">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w:t>
                  </w:r>
                  <w:r>
                    <w:rPr>
                      <w:rFonts w:hint="eastAsia" w:cs="Times New Roman"/>
                      <w:color w:val="000000" w:themeColor="text1"/>
                      <w:szCs w:val="21"/>
                      <w:lang w:val="en-US" w:eastAsia="zh-CN"/>
                      <w14:textFill>
                        <w14:solidFill>
                          <w14:schemeClr w14:val="tx1"/>
                        </w14:solidFill>
                      </w14:textFill>
                    </w:rPr>
                    <w:t>37</w:t>
                  </w:r>
                </w:p>
              </w:tc>
              <w:tc>
                <w:tcPr>
                  <w:tcW w:w="1489" w:type="dxa"/>
                  <w:tcBorders>
                    <w:top w:val="single" w:color="auto" w:sz="4" w:space="0"/>
                    <w:left w:val="single" w:color="auto" w:sz="8" w:space="0"/>
                    <w:bottom w:val="single" w:color="auto" w:sz="4" w:space="0"/>
                  </w:tcBorders>
                  <w:shd w:val="clear" w:color="auto" w:fill="FFFFFF"/>
                  <w:noWrap w:val="0"/>
                  <w:vAlign w:val="center"/>
                </w:tcPr>
                <w:p w14:paraId="7BE9972F">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w:t>
                  </w:r>
                  <w:r>
                    <w:rPr>
                      <w:rFonts w:hint="eastAsia" w:cs="Times New Roman"/>
                      <w:color w:val="000000" w:themeColor="text1"/>
                      <w:szCs w:val="21"/>
                      <w:lang w:val="en-US" w:eastAsia="zh-CN"/>
                      <w14:textFill>
                        <w14:solidFill>
                          <w14:schemeClr w14:val="tx1"/>
                        </w14:solidFill>
                      </w14:textFill>
                    </w:rPr>
                    <w:t>40</w:t>
                  </w:r>
                </w:p>
              </w:tc>
            </w:tr>
            <w:tr w14:paraId="69C3813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4652" w:type="dxa"/>
                  <w:gridSpan w:val="2"/>
                  <w:tcBorders>
                    <w:top w:val="single" w:color="auto" w:sz="4" w:space="0"/>
                    <w:bottom w:val="single" w:color="auto" w:sz="4" w:space="0"/>
                    <w:right w:val="single" w:color="auto" w:sz="4" w:space="0"/>
                  </w:tcBorders>
                  <w:shd w:val="clear" w:color="auto" w:fill="auto"/>
                  <w:noWrap w:val="0"/>
                  <w:vAlign w:val="center"/>
                </w:tcPr>
                <w:p w14:paraId="55290035">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交通条件</w:t>
                  </w:r>
                </w:p>
              </w:tc>
              <w:tc>
                <w:tcPr>
                  <w:tcW w:w="200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F87BFAE">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一般</w:t>
                  </w:r>
                </w:p>
              </w:tc>
              <w:tc>
                <w:tcPr>
                  <w:tcW w:w="1489" w:type="dxa"/>
                  <w:tcBorders>
                    <w:top w:val="single" w:color="auto" w:sz="4" w:space="0"/>
                    <w:left w:val="single" w:color="auto" w:sz="8" w:space="0"/>
                    <w:bottom w:val="single" w:color="auto" w:sz="4" w:space="0"/>
                  </w:tcBorders>
                  <w:shd w:val="clear" w:color="auto" w:fill="FFFFFF"/>
                  <w:noWrap w:val="0"/>
                  <w:vAlign w:val="center"/>
                </w:tcPr>
                <w:p w14:paraId="7E5842A1">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一般</w:t>
                  </w:r>
                </w:p>
              </w:tc>
            </w:tr>
            <w:tr w14:paraId="5CB1C75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restart"/>
                  <w:tcBorders>
                    <w:top w:val="single" w:color="auto" w:sz="4" w:space="0"/>
                    <w:right w:val="single" w:color="auto" w:sz="4" w:space="0"/>
                  </w:tcBorders>
                  <w:noWrap w:val="0"/>
                  <w:vAlign w:val="center"/>
                </w:tcPr>
                <w:p w14:paraId="6D70708A">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地形比例</w:t>
                  </w:r>
                </w:p>
                <w:p w14:paraId="2E8A6BF5">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p>
              </w:tc>
              <w:tc>
                <w:tcPr>
                  <w:tcW w:w="2702" w:type="dxa"/>
                  <w:tcBorders>
                    <w:top w:val="single" w:color="auto" w:sz="4" w:space="0"/>
                    <w:left w:val="single" w:color="auto" w:sz="4" w:space="0"/>
                    <w:right w:val="single" w:color="auto" w:sz="4" w:space="0"/>
                  </w:tcBorders>
                  <w:noWrap w:val="0"/>
                  <w:vAlign w:val="top"/>
                </w:tcPr>
                <w:p w14:paraId="4180425C">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平地</w:t>
                  </w:r>
                </w:p>
              </w:tc>
              <w:tc>
                <w:tcPr>
                  <w:tcW w:w="2003" w:type="dxa"/>
                  <w:tcBorders>
                    <w:top w:val="single" w:color="auto" w:sz="4" w:space="0"/>
                    <w:left w:val="single" w:color="auto" w:sz="4" w:space="0"/>
                    <w:right w:val="single" w:color="auto" w:sz="4" w:space="0"/>
                  </w:tcBorders>
                  <w:noWrap w:val="0"/>
                  <w:vAlign w:val="top"/>
                </w:tcPr>
                <w:p w14:paraId="3BC78AC3">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25.76</w:t>
                  </w:r>
                </w:p>
              </w:tc>
              <w:tc>
                <w:tcPr>
                  <w:tcW w:w="1489" w:type="dxa"/>
                  <w:tcBorders>
                    <w:top w:val="single" w:color="auto" w:sz="4" w:space="0"/>
                    <w:left w:val="nil"/>
                    <w:bottom w:val="single" w:color="auto" w:sz="4" w:space="0"/>
                  </w:tcBorders>
                  <w:noWrap w:val="0"/>
                  <w:vAlign w:val="top"/>
                </w:tcPr>
                <w:p w14:paraId="5B10CFA6">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23.5</w:t>
                  </w:r>
                </w:p>
              </w:tc>
            </w:tr>
            <w:tr w14:paraId="449E9DC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3600E357">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right w:val="single" w:color="auto" w:sz="4" w:space="0"/>
                  </w:tcBorders>
                  <w:noWrap w:val="0"/>
                  <w:vAlign w:val="top"/>
                </w:tcPr>
                <w:p w14:paraId="66E5356C">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一般山地</w:t>
                  </w:r>
                </w:p>
              </w:tc>
              <w:tc>
                <w:tcPr>
                  <w:tcW w:w="2003" w:type="dxa"/>
                  <w:tcBorders>
                    <w:top w:val="single" w:color="auto" w:sz="4" w:space="0"/>
                    <w:left w:val="single" w:color="auto" w:sz="4" w:space="0"/>
                    <w:right w:val="single" w:color="auto" w:sz="4" w:space="0"/>
                  </w:tcBorders>
                  <w:noWrap w:val="0"/>
                  <w:vAlign w:val="top"/>
                </w:tcPr>
                <w:p w14:paraId="15453509">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40.91</w:t>
                  </w:r>
                </w:p>
              </w:tc>
              <w:tc>
                <w:tcPr>
                  <w:tcW w:w="1489" w:type="dxa"/>
                  <w:tcBorders>
                    <w:top w:val="single" w:color="auto" w:sz="4" w:space="0"/>
                    <w:left w:val="nil"/>
                    <w:bottom w:val="single" w:color="auto" w:sz="4" w:space="0"/>
                  </w:tcBorders>
                  <w:noWrap w:val="0"/>
                  <w:vAlign w:val="top"/>
                </w:tcPr>
                <w:p w14:paraId="40E414C8">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42</w:t>
                  </w:r>
                </w:p>
              </w:tc>
            </w:tr>
            <w:tr w14:paraId="5FCE9EF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40D6225B">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right w:val="single" w:color="auto" w:sz="4" w:space="0"/>
                  </w:tcBorders>
                  <w:noWrap w:val="0"/>
                  <w:vAlign w:val="top"/>
                </w:tcPr>
                <w:p w14:paraId="096C2C9B">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河网</w:t>
                  </w:r>
                </w:p>
              </w:tc>
              <w:tc>
                <w:tcPr>
                  <w:tcW w:w="2003" w:type="dxa"/>
                  <w:tcBorders>
                    <w:top w:val="single" w:color="auto" w:sz="4" w:space="0"/>
                    <w:left w:val="single" w:color="auto" w:sz="4" w:space="0"/>
                    <w:right w:val="single" w:color="auto" w:sz="4" w:space="0"/>
                  </w:tcBorders>
                  <w:noWrap w:val="0"/>
                  <w:vAlign w:val="top"/>
                </w:tcPr>
                <w:p w14:paraId="444B2AC9">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3.03</w:t>
                  </w:r>
                </w:p>
              </w:tc>
              <w:tc>
                <w:tcPr>
                  <w:tcW w:w="1489" w:type="dxa"/>
                  <w:tcBorders>
                    <w:top w:val="single" w:color="auto" w:sz="4" w:space="0"/>
                    <w:left w:val="nil"/>
                    <w:bottom w:val="single" w:color="auto" w:sz="4" w:space="0"/>
                  </w:tcBorders>
                  <w:noWrap w:val="0"/>
                  <w:vAlign w:val="top"/>
                </w:tcPr>
                <w:p w14:paraId="52D206A3">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3</w:t>
                  </w:r>
                </w:p>
              </w:tc>
            </w:tr>
            <w:tr w14:paraId="300EF18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4C7EB96D">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right w:val="single" w:color="auto" w:sz="4" w:space="0"/>
                  </w:tcBorders>
                  <w:noWrap w:val="0"/>
                  <w:vAlign w:val="top"/>
                </w:tcPr>
                <w:p w14:paraId="0E2DBC0B">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丘陵</w:t>
                  </w:r>
                </w:p>
              </w:tc>
              <w:tc>
                <w:tcPr>
                  <w:tcW w:w="2003" w:type="dxa"/>
                  <w:tcBorders>
                    <w:top w:val="single" w:color="auto" w:sz="4" w:space="0"/>
                    <w:left w:val="single" w:color="auto" w:sz="4" w:space="0"/>
                    <w:right w:val="single" w:color="auto" w:sz="4" w:space="0"/>
                  </w:tcBorders>
                  <w:noWrap w:val="0"/>
                  <w:vAlign w:val="top"/>
                </w:tcPr>
                <w:p w14:paraId="37E32181">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30.3</w:t>
                  </w:r>
                </w:p>
              </w:tc>
              <w:tc>
                <w:tcPr>
                  <w:tcW w:w="1489" w:type="dxa"/>
                  <w:tcBorders>
                    <w:top w:val="single" w:color="auto" w:sz="4" w:space="0"/>
                    <w:left w:val="nil"/>
                    <w:bottom w:val="single" w:color="auto" w:sz="4" w:space="0"/>
                  </w:tcBorders>
                  <w:noWrap w:val="0"/>
                  <w:vAlign w:val="top"/>
                </w:tcPr>
                <w:p w14:paraId="2988FCE7">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31.5</w:t>
                  </w:r>
                </w:p>
              </w:tc>
            </w:tr>
            <w:tr w14:paraId="398FB7D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restart"/>
                  <w:tcBorders>
                    <w:top w:val="single" w:color="auto" w:sz="4" w:space="0"/>
                    <w:right w:val="single" w:color="auto" w:sz="4" w:space="0"/>
                  </w:tcBorders>
                  <w:noWrap w:val="0"/>
                  <w:vAlign w:val="center"/>
                </w:tcPr>
                <w:p w14:paraId="5E37A32A">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地形植被</w:t>
                  </w:r>
                </w:p>
                <w:p w14:paraId="1C5D12B2">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（km）</w:t>
                  </w:r>
                </w:p>
              </w:tc>
              <w:tc>
                <w:tcPr>
                  <w:tcW w:w="2702" w:type="dxa"/>
                  <w:tcBorders>
                    <w:top w:val="single" w:color="auto" w:sz="4" w:space="0"/>
                    <w:left w:val="single" w:color="auto" w:sz="4" w:space="0"/>
                    <w:bottom w:val="single" w:color="auto" w:sz="4" w:space="0"/>
                    <w:right w:val="single" w:color="auto" w:sz="4" w:space="0"/>
                  </w:tcBorders>
                  <w:noWrap w:val="0"/>
                  <w:vAlign w:val="center"/>
                </w:tcPr>
                <w:p w14:paraId="7C837644">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旱田</w:t>
                  </w:r>
                </w:p>
              </w:tc>
              <w:tc>
                <w:tcPr>
                  <w:tcW w:w="2003" w:type="dxa"/>
                  <w:tcBorders>
                    <w:top w:val="single" w:color="auto" w:sz="4" w:space="0"/>
                    <w:left w:val="single" w:color="auto" w:sz="4" w:space="0"/>
                    <w:bottom w:val="single" w:color="auto" w:sz="4" w:space="0"/>
                    <w:right w:val="single" w:color="auto" w:sz="4" w:space="0"/>
                  </w:tcBorders>
                  <w:noWrap w:val="0"/>
                  <w:vAlign w:val="center"/>
                </w:tcPr>
                <w:p w14:paraId="26D78DFD">
                  <w:pPr>
                    <w:pStyle w:val="68"/>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69.54%</w:t>
                  </w:r>
                </w:p>
              </w:tc>
              <w:tc>
                <w:tcPr>
                  <w:tcW w:w="1489" w:type="dxa"/>
                  <w:tcBorders>
                    <w:top w:val="single" w:color="auto" w:sz="4" w:space="0"/>
                    <w:left w:val="nil"/>
                    <w:bottom w:val="single" w:color="auto" w:sz="4" w:space="0"/>
                  </w:tcBorders>
                  <w:noWrap w:val="0"/>
                  <w:vAlign w:val="center"/>
                </w:tcPr>
                <w:p w14:paraId="3FB5B570">
                  <w:pPr>
                    <w:pStyle w:val="68"/>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68.71%</w:t>
                  </w:r>
                </w:p>
              </w:tc>
            </w:tr>
            <w:tr w14:paraId="59CA556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77" w:hRule="atLeast"/>
              </w:trPr>
              <w:tc>
                <w:tcPr>
                  <w:tcW w:w="1950" w:type="dxa"/>
                  <w:vMerge w:val="continue"/>
                  <w:tcBorders>
                    <w:bottom w:val="single" w:color="auto" w:sz="4" w:space="0"/>
                    <w:right w:val="single" w:color="auto" w:sz="4" w:space="0"/>
                  </w:tcBorders>
                  <w:noWrap w:val="0"/>
                  <w:vAlign w:val="center"/>
                </w:tcPr>
                <w:p w14:paraId="5DF69356">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right w:val="single" w:color="auto" w:sz="4" w:space="0"/>
                  </w:tcBorders>
                  <w:noWrap w:val="0"/>
                  <w:vAlign w:val="center"/>
                </w:tcPr>
                <w:p w14:paraId="760DDEC8">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林地</w:t>
                  </w:r>
                </w:p>
              </w:tc>
              <w:tc>
                <w:tcPr>
                  <w:tcW w:w="2003" w:type="dxa"/>
                  <w:tcBorders>
                    <w:top w:val="single" w:color="auto" w:sz="4" w:space="0"/>
                    <w:left w:val="single" w:color="auto" w:sz="4" w:space="0"/>
                    <w:right w:val="single" w:color="auto" w:sz="4" w:space="0"/>
                  </w:tcBorders>
                  <w:noWrap w:val="0"/>
                  <w:vAlign w:val="center"/>
                </w:tcPr>
                <w:p w14:paraId="6FAE5EAF">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30.46%</w:t>
                  </w:r>
                </w:p>
              </w:tc>
              <w:tc>
                <w:tcPr>
                  <w:tcW w:w="1489" w:type="dxa"/>
                  <w:tcBorders>
                    <w:top w:val="single" w:color="auto" w:sz="4" w:space="0"/>
                    <w:left w:val="nil"/>
                    <w:bottom w:val="single" w:color="auto" w:sz="4" w:space="0"/>
                  </w:tcBorders>
                  <w:noWrap w:val="0"/>
                  <w:vAlign w:val="center"/>
                </w:tcPr>
                <w:p w14:paraId="55858C35">
                  <w:pPr>
                    <w:pStyle w:val="68"/>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31.29%</w:t>
                  </w:r>
                </w:p>
              </w:tc>
            </w:tr>
            <w:tr w14:paraId="620D73C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restart"/>
                  <w:tcBorders>
                    <w:top w:val="single" w:color="auto" w:sz="4" w:space="0"/>
                    <w:right w:val="single" w:color="auto" w:sz="4" w:space="0"/>
                  </w:tcBorders>
                  <w:noWrap w:val="0"/>
                  <w:vAlign w:val="center"/>
                </w:tcPr>
                <w:p w14:paraId="316AA0B5">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交叉跨越</w:t>
                  </w:r>
                </w:p>
              </w:tc>
              <w:tc>
                <w:tcPr>
                  <w:tcW w:w="2702" w:type="dxa"/>
                  <w:tcBorders>
                    <w:top w:val="single" w:color="auto" w:sz="4" w:space="0"/>
                    <w:left w:val="single" w:color="auto" w:sz="4" w:space="0"/>
                    <w:bottom w:val="single" w:color="auto" w:sz="4" w:space="0"/>
                    <w:right w:val="single" w:color="auto" w:sz="4" w:space="0"/>
                  </w:tcBorders>
                  <w:noWrap w:val="0"/>
                  <w:vAlign w:val="top"/>
                </w:tcPr>
                <w:p w14:paraId="784F1F96">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县、乡道</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4580471A">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18</w:t>
                  </w:r>
                </w:p>
              </w:tc>
              <w:tc>
                <w:tcPr>
                  <w:tcW w:w="1489" w:type="dxa"/>
                  <w:tcBorders>
                    <w:top w:val="single" w:color="auto" w:sz="4" w:space="0"/>
                    <w:left w:val="nil"/>
                    <w:bottom w:val="single" w:color="auto" w:sz="4" w:space="0"/>
                  </w:tcBorders>
                  <w:noWrap w:val="0"/>
                  <w:vAlign w:val="top"/>
                </w:tcPr>
                <w:p w14:paraId="071DB434">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20</w:t>
                  </w:r>
                </w:p>
              </w:tc>
            </w:tr>
            <w:tr w14:paraId="0DDA23D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3BE6DBFD">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095D91FF">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土道</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4A3E2218">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120</w:t>
                  </w:r>
                </w:p>
              </w:tc>
              <w:tc>
                <w:tcPr>
                  <w:tcW w:w="1489" w:type="dxa"/>
                  <w:tcBorders>
                    <w:top w:val="single" w:color="auto" w:sz="4" w:space="0"/>
                    <w:left w:val="nil"/>
                    <w:bottom w:val="single" w:color="auto" w:sz="4" w:space="0"/>
                  </w:tcBorders>
                  <w:noWrap w:val="0"/>
                  <w:vAlign w:val="top"/>
                </w:tcPr>
                <w:p w14:paraId="29A48F68">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126</w:t>
                  </w:r>
                </w:p>
              </w:tc>
            </w:tr>
            <w:tr w14:paraId="076213B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6E335CB9">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209BDCAF">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220kV电力线</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5D749328">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6</w:t>
                  </w:r>
                </w:p>
              </w:tc>
              <w:tc>
                <w:tcPr>
                  <w:tcW w:w="1489" w:type="dxa"/>
                  <w:tcBorders>
                    <w:top w:val="single" w:color="auto" w:sz="4" w:space="0"/>
                    <w:left w:val="nil"/>
                    <w:bottom w:val="single" w:color="auto" w:sz="4" w:space="0"/>
                  </w:tcBorders>
                  <w:noWrap w:val="0"/>
                  <w:vAlign w:val="top"/>
                </w:tcPr>
                <w:p w14:paraId="53BEC57E">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6</w:t>
                  </w:r>
                </w:p>
              </w:tc>
            </w:tr>
            <w:tr w14:paraId="22F30AF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2019743B">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4422561E">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66kV电力线</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62B09585">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9</w:t>
                  </w:r>
                </w:p>
              </w:tc>
              <w:tc>
                <w:tcPr>
                  <w:tcW w:w="1489" w:type="dxa"/>
                  <w:tcBorders>
                    <w:top w:val="single" w:color="auto" w:sz="4" w:space="0"/>
                    <w:left w:val="nil"/>
                    <w:bottom w:val="single" w:color="auto" w:sz="4" w:space="0"/>
                  </w:tcBorders>
                  <w:noWrap w:val="0"/>
                  <w:vAlign w:val="top"/>
                </w:tcPr>
                <w:p w14:paraId="4086AEBA">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9</w:t>
                  </w:r>
                </w:p>
              </w:tc>
            </w:tr>
            <w:tr w14:paraId="2EA36DE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PrEx>
              <w:tc>
                <w:tcPr>
                  <w:tcW w:w="1950" w:type="dxa"/>
                  <w:vMerge w:val="continue"/>
                  <w:tcBorders>
                    <w:right w:val="single" w:color="auto" w:sz="4" w:space="0"/>
                  </w:tcBorders>
                  <w:noWrap w:val="0"/>
                  <w:vAlign w:val="center"/>
                </w:tcPr>
                <w:p w14:paraId="50439D66">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0AF122C2">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35kV电力线</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4CDD949A">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4</w:t>
                  </w:r>
                </w:p>
              </w:tc>
              <w:tc>
                <w:tcPr>
                  <w:tcW w:w="1489" w:type="dxa"/>
                  <w:tcBorders>
                    <w:top w:val="single" w:color="auto" w:sz="4" w:space="0"/>
                    <w:left w:val="nil"/>
                    <w:bottom w:val="single" w:color="auto" w:sz="4" w:space="0"/>
                  </w:tcBorders>
                  <w:noWrap w:val="0"/>
                  <w:vAlign w:val="top"/>
                </w:tcPr>
                <w:p w14:paraId="057805FF">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4</w:t>
                  </w:r>
                </w:p>
              </w:tc>
            </w:tr>
            <w:tr w14:paraId="092453B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3C4E2347">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4B210D85">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10kV及以下电力线</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6AB58DD8">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70</w:t>
                  </w:r>
                </w:p>
              </w:tc>
              <w:tc>
                <w:tcPr>
                  <w:tcW w:w="1489" w:type="dxa"/>
                  <w:tcBorders>
                    <w:top w:val="single" w:color="auto" w:sz="4" w:space="0"/>
                    <w:left w:val="nil"/>
                    <w:bottom w:val="single" w:color="auto" w:sz="4" w:space="0"/>
                  </w:tcBorders>
                  <w:noWrap w:val="0"/>
                  <w:vAlign w:val="top"/>
                </w:tcPr>
                <w:p w14:paraId="5FDF6FD4">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72</w:t>
                  </w:r>
                </w:p>
              </w:tc>
            </w:tr>
            <w:tr w14:paraId="762E8BF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58CEE448">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57989253">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通信线</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21AB6A05">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66</w:t>
                  </w:r>
                </w:p>
              </w:tc>
              <w:tc>
                <w:tcPr>
                  <w:tcW w:w="1489" w:type="dxa"/>
                  <w:tcBorders>
                    <w:top w:val="single" w:color="auto" w:sz="4" w:space="0"/>
                    <w:left w:val="nil"/>
                    <w:bottom w:val="single" w:color="auto" w:sz="4" w:space="0"/>
                  </w:tcBorders>
                  <w:noWrap w:val="0"/>
                  <w:vAlign w:val="top"/>
                </w:tcPr>
                <w:p w14:paraId="22DB8650">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68</w:t>
                  </w:r>
                </w:p>
              </w:tc>
            </w:tr>
            <w:tr w14:paraId="30BD565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59A0CE7F">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4CB74320">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不通航河流</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2E8DDEBF">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10</w:t>
                  </w:r>
                </w:p>
              </w:tc>
              <w:tc>
                <w:tcPr>
                  <w:tcW w:w="1489" w:type="dxa"/>
                  <w:tcBorders>
                    <w:top w:val="single" w:color="auto" w:sz="4" w:space="0"/>
                    <w:left w:val="nil"/>
                    <w:bottom w:val="single" w:color="auto" w:sz="4" w:space="0"/>
                  </w:tcBorders>
                  <w:noWrap w:val="0"/>
                  <w:vAlign w:val="top"/>
                </w:tcPr>
                <w:p w14:paraId="0049AAAB">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10</w:t>
                  </w:r>
                </w:p>
              </w:tc>
            </w:tr>
            <w:tr w14:paraId="0718C6D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4B219D5F">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6DA09250">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大棚</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6284E49E">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10</w:t>
                  </w:r>
                </w:p>
              </w:tc>
              <w:tc>
                <w:tcPr>
                  <w:tcW w:w="1489" w:type="dxa"/>
                  <w:tcBorders>
                    <w:top w:val="single" w:color="auto" w:sz="4" w:space="0"/>
                    <w:left w:val="nil"/>
                    <w:bottom w:val="single" w:color="auto" w:sz="4" w:space="0"/>
                  </w:tcBorders>
                  <w:noWrap w:val="0"/>
                  <w:vAlign w:val="top"/>
                </w:tcPr>
                <w:p w14:paraId="3902C344">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12</w:t>
                  </w:r>
                </w:p>
              </w:tc>
            </w:tr>
            <w:tr w14:paraId="5E2C36C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16EA6818">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bottom w:val="single" w:color="auto" w:sz="4" w:space="0"/>
                    <w:right w:val="single" w:color="auto" w:sz="4" w:space="0"/>
                  </w:tcBorders>
                  <w:noWrap w:val="0"/>
                  <w:vAlign w:val="top"/>
                </w:tcPr>
                <w:p w14:paraId="13D325F6">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鱼池</w:t>
                  </w:r>
                </w:p>
              </w:tc>
              <w:tc>
                <w:tcPr>
                  <w:tcW w:w="2003" w:type="dxa"/>
                  <w:tcBorders>
                    <w:top w:val="single" w:color="auto" w:sz="4" w:space="0"/>
                    <w:left w:val="single" w:color="auto" w:sz="4" w:space="0"/>
                    <w:bottom w:val="single" w:color="auto" w:sz="4" w:space="0"/>
                    <w:right w:val="single" w:color="auto" w:sz="4" w:space="0"/>
                  </w:tcBorders>
                  <w:noWrap w:val="0"/>
                  <w:vAlign w:val="top"/>
                </w:tcPr>
                <w:p w14:paraId="40795AC9">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w:t>
                  </w:r>
                </w:p>
              </w:tc>
              <w:tc>
                <w:tcPr>
                  <w:tcW w:w="1489" w:type="dxa"/>
                  <w:tcBorders>
                    <w:top w:val="single" w:color="auto" w:sz="4" w:space="0"/>
                    <w:left w:val="nil"/>
                    <w:bottom w:val="single" w:color="auto" w:sz="4" w:space="0"/>
                  </w:tcBorders>
                  <w:noWrap w:val="0"/>
                  <w:vAlign w:val="top"/>
                </w:tcPr>
                <w:p w14:paraId="13DEF788">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w:t>
                  </w:r>
                </w:p>
              </w:tc>
            </w:tr>
            <w:tr w14:paraId="7E0097A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c>
                <w:tcPr>
                  <w:tcW w:w="1950" w:type="dxa"/>
                  <w:vMerge w:val="continue"/>
                  <w:tcBorders>
                    <w:right w:val="single" w:color="auto" w:sz="4" w:space="0"/>
                  </w:tcBorders>
                  <w:noWrap w:val="0"/>
                  <w:vAlign w:val="center"/>
                </w:tcPr>
                <w:p w14:paraId="3A9651AA">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p>
              </w:tc>
              <w:tc>
                <w:tcPr>
                  <w:tcW w:w="2702" w:type="dxa"/>
                  <w:tcBorders>
                    <w:top w:val="single" w:color="auto" w:sz="4" w:space="0"/>
                    <w:left w:val="single" w:color="auto" w:sz="4" w:space="0"/>
                    <w:right w:val="single" w:color="auto" w:sz="4" w:space="0"/>
                  </w:tcBorders>
                  <w:noWrap w:val="0"/>
                  <w:vAlign w:val="top"/>
                </w:tcPr>
                <w:p w14:paraId="4F843618">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坟地</w:t>
                  </w:r>
                </w:p>
              </w:tc>
              <w:tc>
                <w:tcPr>
                  <w:tcW w:w="2003" w:type="dxa"/>
                  <w:tcBorders>
                    <w:top w:val="single" w:color="auto" w:sz="4" w:space="0"/>
                    <w:left w:val="single" w:color="auto" w:sz="4" w:space="0"/>
                    <w:right w:val="single" w:color="auto" w:sz="4" w:space="0"/>
                  </w:tcBorders>
                  <w:noWrap w:val="0"/>
                  <w:vAlign w:val="top"/>
                </w:tcPr>
                <w:p w14:paraId="2E752058">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5</w:t>
                  </w:r>
                </w:p>
              </w:tc>
              <w:tc>
                <w:tcPr>
                  <w:tcW w:w="1489" w:type="dxa"/>
                  <w:tcBorders>
                    <w:top w:val="single" w:color="auto" w:sz="4" w:space="0"/>
                    <w:left w:val="nil"/>
                  </w:tcBorders>
                  <w:noWrap w:val="0"/>
                  <w:vAlign w:val="top"/>
                </w:tcPr>
                <w:p w14:paraId="5B62BEE2">
                  <w:pPr>
                    <w:pStyle w:val="68"/>
                    <w:keepNext w:val="0"/>
                    <w:keepLines w:val="0"/>
                    <w:suppressLineNumbers w:val="0"/>
                    <w:spacing w:before="0" w:beforeAutospacing="0" w:after="0" w:afterAutospacing="0"/>
                    <w:ind w:left="0" w:right="0"/>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6</w:t>
                  </w:r>
                </w:p>
              </w:tc>
            </w:tr>
          </w:tbl>
          <w:p w14:paraId="5632B8BF">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textAlignment w:val="auto"/>
              <w:rPr>
                <w:rFonts w:hint="default" w:ascii="Times New Roman" w:hAnsi="Times New Roman" w:cs="Times New Roman"/>
                <w:bCs/>
                <w:color w:val="000000" w:themeColor="text1"/>
                <w:kern w:val="2"/>
                <w:sz w:val="24"/>
                <w:szCs w:val="24"/>
                <w:lang w:val="en-US" w:eastAsia="zh-CN" w:bidi="ar-SA"/>
                <w14:textFill>
                  <w14:solidFill>
                    <w14:schemeClr w14:val="tx1"/>
                  </w14:solidFill>
                </w14:textFill>
              </w:rPr>
            </w:pPr>
            <w:r>
              <w:rPr>
                <w:rFonts w:hint="default" w:ascii="Times New Roman" w:hAnsi="Times New Roman" w:cs="Times New Roman"/>
                <w:bCs/>
                <w:color w:val="000000" w:themeColor="text1"/>
                <w:kern w:val="2"/>
                <w:sz w:val="24"/>
                <w:szCs w:val="24"/>
                <w:lang w:val="en-US" w:eastAsia="zh-CN" w:bidi="ar-SA"/>
                <w14:textFill>
                  <w14:solidFill>
                    <w14:schemeClr w14:val="tx1"/>
                  </w14:solidFill>
                </w14:textFill>
              </w:rPr>
              <w:t>根据本工程起落点位置、线路走向，综合考虑沿线交通、地形条件、沿线已有设施等情况。方案一与方案二相比交叉跨越数量更少，施工难度降低，施工场地交通更便利。且线路沿线不涉及生态保护红线、自然保护区和饮用水水源地保护区。本项目方案一输电线路塔基工程区、牵张场、跨越施工场地及施工便道辅助工程设计合理，充分考虑了当地的规划和对工程周围环境敏感点的影响，减少临时占地。通过选线的方案比选，确定后的线路路径充分避开了居民区等敏感目标，项目运行对周边环境的影响可被接受，项目的总平面布置合理，不在工业污染影响范围内，线路</w:t>
            </w:r>
            <w:r>
              <w:rPr>
                <w:rFonts w:hint="eastAsia" w:cs="Times New Roman"/>
                <w:bCs/>
                <w:color w:val="000000" w:themeColor="text1"/>
                <w:kern w:val="2"/>
                <w:sz w:val="24"/>
                <w:szCs w:val="24"/>
                <w:lang w:val="en-US" w:eastAsia="zh-CN" w:bidi="ar-SA"/>
                <w14:textFill>
                  <w14:solidFill>
                    <w14:schemeClr w14:val="tx1"/>
                  </w14:solidFill>
                </w14:textFill>
              </w:rPr>
              <w:t>周边</w:t>
            </w:r>
            <w:r>
              <w:rPr>
                <w:rFonts w:hint="default" w:ascii="Times New Roman" w:hAnsi="Times New Roman" w:cs="Times New Roman"/>
                <w:bCs/>
                <w:color w:val="000000" w:themeColor="text1"/>
                <w:kern w:val="2"/>
                <w:sz w:val="24"/>
                <w:szCs w:val="24"/>
                <w:lang w:val="en-US" w:eastAsia="zh-CN" w:bidi="ar-SA"/>
                <w14:textFill>
                  <w14:solidFill>
                    <w14:schemeClr w14:val="tx1"/>
                  </w14:solidFill>
                </w14:textFill>
              </w:rPr>
              <w:t>环境良好，选线基本合理。</w:t>
            </w:r>
          </w:p>
        </w:tc>
      </w:tr>
    </w:tbl>
    <w:p w14:paraId="039B19E3">
      <w:pPr>
        <w:pStyle w:val="25"/>
        <w:jc w:val="center"/>
        <w:outlineLvl w:val="0"/>
        <w:rPr>
          <w:rFonts w:ascii="黑体" w:hAnsi="黑体" w:eastAsia="黑体"/>
          <w:snapToGrid w:val="0"/>
        </w:rPr>
      </w:pPr>
      <w:r>
        <w:rPr>
          <w:rFonts w:eastAsia="仿宋_GB2312"/>
          <w:b/>
          <w:bCs/>
        </w:rPr>
        <w:br w:type="page"/>
      </w:r>
      <w:bookmarkStart w:id="8" w:name="_Toc5739"/>
      <w:bookmarkStart w:id="9" w:name="_Toc1643"/>
      <w:bookmarkStart w:id="10" w:name="_Toc20620"/>
      <w:r>
        <w:rPr>
          <w:rFonts w:hint="eastAsia" w:ascii="黑体" w:hAnsi="黑体" w:eastAsia="黑体"/>
          <w:snapToGrid w:val="0"/>
          <w:sz w:val="30"/>
          <w:szCs w:val="30"/>
        </w:rPr>
        <w:t>三、生态环境现状、保护目标及评价标准</w:t>
      </w:r>
      <w:bookmarkEnd w:id="8"/>
      <w:bookmarkEnd w:id="9"/>
      <w:bookmarkEnd w:id="10"/>
    </w:p>
    <w:tbl>
      <w:tblPr>
        <w:tblStyle w:val="30"/>
        <w:tblW w:w="98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403"/>
      </w:tblGrid>
      <w:tr w14:paraId="4BA1C0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56" w:type="dxa"/>
            <w:vAlign w:val="center"/>
          </w:tcPr>
          <w:p w14:paraId="1B792BEF">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生态环境现状</w:t>
            </w:r>
          </w:p>
        </w:tc>
        <w:tc>
          <w:tcPr>
            <w:tcW w:w="9403" w:type="dxa"/>
            <w:tcBorders>
              <w:top w:val="single" w:color="auto" w:sz="4" w:space="0"/>
              <w:right w:val="single" w:color="auto" w:sz="4" w:space="0"/>
            </w:tcBorders>
            <w:vAlign w:val="center"/>
          </w:tcPr>
          <w:p w14:paraId="5FE78E72">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1、生态环境现状</w:t>
            </w:r>
          </w:p>
          <w:p w14:paraId="0E6FF7BE">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eastAsia" w:eastAsia="宋体"/>
                <w:b/>
                <w:bCs/>
                <w:color w:val="000000" w:themeColor="text1"/>
                <w:sz w:val="24"/>
                <w:lang w:eastAsia="zh-CN"/>
                <w14:textFill>
                  <w14:solidFill>
                    <w14:schemeClr w14:val="tx1"/>
                  </w14:solidFill>
                </w14:textFill>
              </w:rPr>
            </w:pPr>
            <w:r>
              <w:rPr>
                <w:rFonts w:hint="eastAsia"/>
                <w:b/>
                <w:bCs/>
                <w:color w:val="000000" w:themeColor="text1"/>
                <w:sz w:val="24"/>
                <w14:textFill>
                  <w14:solidFill>
                    <w14:schemeClr w14:val="tx1"/>
                  </w14:solidFill>
                </w14:textFill>
              </w:rPr>
              <w:t>1.1 主体功能</w:t>
            </w:r>
            <w:r>
              <w:rPr>
                <w:rFonts w:hint="eastAsia"/>
                <w:b/>
                <w:bCs/>
                <w:color w:val="000000" w:themeColor="text1"/>
                <w:sz w:val="24"/>
                <w:lang w:val="en-US" w:eastAsia="zh-CN"/>
                <w14:textFill>
                  <w14:solidFill>
                    <w14:schemeClr w14:val="tx1"/>
                  </w14:solidFill>
                </w14:textFill>
              </w:rPr>
              <w:t>规划</w:t>
            </w:r>
          </w:p>
          <w:p w14:paraId="65DA5767">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olor w:val="000000" w:themeColor="text1"/>
                <w:sz w:val="24"/>
                <w:shd w:val="clear" w:color="auto" w:fill="FFFF00"/>
                <w14:textFill>
                  <w14:solidFill>
                    <w14:schemeClr w14:val="tx1"/>
                  </w14:solidFill>
                </w14:textFill>
              </w:rPr>
            </w:pPr>
            <w:r>
              <w:rPr>
                <w:rFonts w:hint="eastAsia"/>
                <w:color w:val="000000" w:themeColor="text1"/>
                <w:sz w:val="24"/>
                <w14:textFill>
                  <w14:solidFill>
                    <w14:schemeClr w14:val="tx1"/>
                  </w14:solidFill>
                </w14:textFill>
              </w:rPr>
              <w:t>根据《黑龙江省主体功能区</w:t>
            </w:r>
            <w:r>
              <w:rPr>
                <w:rFonts w:hint="eastAsia"/>
                <w:color w:val="000000" w:themeColor="text1"/>
                <w:sz w:val="24"/>
                <w:lang w:val="en-US" w:eastAsia="zh-CN"/>
                <w14:textFill>
                  <w14:solidFill>
                    <w14:schemeClr w14:val="tx1"/>
                  </w14:solidFill>
                </w14:textFill>
              </w:rPr>
              <w:t>规</w:t>
            </w:r>
            <w:r>
              <w:rPr>
                <w:rFonts w:hint="eastAsia"/>
                <w:color w:val="000000" w:themeColor="text1"/>
                <w:sz w:val="24"/>
                <w14:textFill>
                  <w14:solidFill>
                    <w14:schemeClr w14:val="tx1"/>
                  </w14:solidFill>
                </w14:textFill>
              </w:rPr>
              <w:t>划》，本项目位于</w:t>
            </w:r>
            <w:r>
              <w:rPr>
                <w:rFonts w:hint="eastAsia"/>
                <w:color w:val="000000" w:themeColor="text1"/>
                <w:sz w:val="24"/>
                <w:lang w:val="en-US" w:eastAsia="zh-CN"/>
                <w14:textFill>
                  <w14:solidFill>
                    <w14:schemeClr w14:val="tx1"/>
                  </w14:solidFill>
                </w14:textFill>
              </w:rPr>
              <w:t>省级开发重点及</w:t>
            </w:r>
            <w:r>
              <w:rPr>
                <w:rFonts w:hint="eastAsia"/>
                <w:color w:val="000000" w:themeColor="text1"/>
                <w:sz w:val="24"/>
                <w14:textFill>
                  <w14:solidFill>
                    <w14:schemeClr w14:val="tx1"/>
                  </w14:solidFill>
                </w14:textFill>
              </w:rPr>
              <w:t>国家级限制开发区域（</w:t>
            </w:r>
            <w:r>
              <w:rPr>
                <w:rFonts w:hint="eastAsia"/>
                <w:color w:val="000000" w:themeColor="text1"/>
                <w:sz w:val="24"/>
                <w:lang w:val="en-US" w:eastAsia="zh-CN"/>
                <w14:textFill>
                  <w14:solidFill>
                    <w14:schemeClr w14:val="tx1"/>
                  </w14:solidFill>
                </w14:textFill>
              </w:rPr>
              <w:t>农产品主产区</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省级开发重点</w:t>
            </w:r>
            <w:r>
              <w:rPr>
                <w:rFonts w:hint="eastAsia"/>
                <w:color w:val="000000" w:themeColor="text1"/>
                <w:sz w:val="24"/>
                <w14:textFill>
                  <w14:solidFill>
                    <w14:schemeClr w14:val="tx1"/>
                  </w14:solidFill>
                </w14:textFill>
              </w:rPr>
              <w:t>功能定位：全省重要的能源、电力和煤化工基地，区域性的农产品加工和生物产业基地，东北对外开放的重要地区和物流基地，重要的绿色特色农产品生产及加工基地。国家级限制开发区域（</w:t>
            </w:r>
            <w:r>
              <w:rPr>
                <w:rFonts w:hint="eastAsia"/>
                <w:color w:val="000000" w:themeColor="text1"/>
                <w:sz w:val="24"/>
                <w:lang w:val="en-US" w:eastAsia="zh-CN"/>
                <w14:textFill>
                  <w14:solidFill>
                    <w14:schemeClr w14:val="tx1"/>
                  </w14:solidFill>
                </w14:textFill>
              </w:rPr>
              <w:t>农产品主产区</w:t>
            </w:r>
            <w:r>
              <w:rPr>
                <w:rFonts w:hint="eastAsia"/>
                <w:color w:val="000000" w:themeColor="text1"/>
                <w:sz w:val="24"/>
                <w14:textFill>
                  <w14:solidFill>
                    <w14:schemeClr w14:val="tx1"/>
                  </w14:solidFill>
                </w14:textFill>
              </w:rPr>
              <w:t>）功能定位：以提供农产品为主体功能，保障农产品供给安全的重要区域。重要的商品粮生产基地、绿色食品生产基地、畜牧业生产基地和农产品深加工区、农业综合开发试验区、社会主义新农村建设的示范区。项目所在地见图3-1。</w:t>
            </w:r>
          </w:p>
          <w:p w14:paraId="72F3E5D0">
            <w:pPr>
              <w:pStyle w:val="29"/>
              <w:keepNext w:val="0"/>
              <w:keepLines w:val="0"/>
              <w:suppressLineNumbers w:val="0"/>
              <w:spacing w:before="0" w:beforeAutospacing="0" w:afterAutospacing="0"/>
              <w:ind w:left="0" w:leftChars="0" w:right="0" w:firstLine="0" w:firstLineChars="0"/>
              <w:jc w:val="center"/>
              <w:rPr>
                <w:rFonts w:hint="eastAsia" w:eastAsia="宋体"/>
                <w:color w:val="000000" w:themeColor="text1"/>
                <w:sz w:val="24"/>
                <w:lang w:eastAsia="zh-CN"/>
                <w14:textFill>
                  <w14:solidFill>
                    <w14:schemeClr w14:val="tx1"/>
                  </w14:solidFill>
                </w14:textFill>
              </w:rPr>
            </w:pPr>
            <w:r>
              <w:rPr>
                <w:rFonts w:hint="default"/>
                <w:sz w:val="24"/>
              </w:rPr>
              <mc:AlternateContent>
                <mc:Choice Requires="wps">
                  <w:drawing>
                    <wp:anchor distT="0" distB="0" distL="114300" distR="114300" simplePos="0" relativeHeight="251671552" behindDoc="0" locked="0" layoutInCell="1" allowOverlap="1">
                      <wp:simplePos x="0" y="0"/>
                      <wp:positionH relativeFrom="column">
                        <wp:posOffset>2870200</wp:posOffset>
                      </wp:positionH>
                      <wp:positionV relativeFrom="paragraph">
                        <wp:posOffset>2663825</wp:posOffset>
                      </wp:positionV>
                      <wp:extent cx="1176655" cy="372110"/>
                      <wp:effectExtent l="6350" t="6350" r="17145" b="459740"/>
                      <wp:wrapNone/>
                      <wp:docPr id="172" name="矩形标注 172"/>
                      <wp:cNvGraphicFramePr/>
                      <a:graphic xmlns:a="http://schemas.openxmlformats.org/drawingml/2006/main">
                        <a:graphicData uri="http://schemas.microsoft.com/office/word/2010/wordprocessingShape">
                          <wps:wsp>
                            <wps:cNvSpPr/>
                            <wps:spPr>
                              <a:xfrm>
                                <a:off x="3620135" y="5155565"/>
                                <a:ext cx="1176655" cy="372110"/>
                              </a:xfrm>
                              <a:prstGeom prst="wedgeRectCallout">
                                <a:avLst>
                                  <a:gd name="adj1" fmla="val 21289"/>
                                  <a:gd name="adj2" fmla="val 171331"/>
                                </a:avLst>
                              </a:prstGeom>
                              <a:solidFill>
                                <a:schemeClr val="bg1"/>
                              </a:solid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1B1391B4">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本项目输电线路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6pt;margin-top:209.75pt;height:29.3pt;width:92.65pt;z-index:251671552;v-text-anchor:middle;mso-width-relative:page;mso-height-relative:page;" fillcolor="#FFFFFF [3212]" filled="t" stroked="t" coordsize="21600,21600" o:gfxdata="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HmZweraAAAACwEAAA8AAAAAAAAAAQAgAAAAIgAA&#10;AGRycy9kb3ducmV2LnhtbFBLAQIUABQAAAAIAIdO4kCAGgcTsQIAAFwFAAAOAAAAAAAAAAEAIAAA&#10;ACkBAABkcnMvZTJvRG9jLnhtbFBLBQYAAAAABgAGAFkBAABMBgAAAAA=&#10;" adj="15398,47807">
                      <v:fill on="t" focussize="0,0"/>
                      <v:stroke weight="1pt" color="#000000 [3213]" joinstyle="round"/>
                      <v:imagedata o:title=""/>
                      <o:lock v:ext="edit" aspectratio="f"/>
                      <v:textbox>
                        <w:txbxContent>
                          <w:p w14:paraId="1B1391B4">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本项目输电线路</w:t>
                            </w:r>
                          </w:p>
                        </w:txbxContent>
                      </v:textbox>
                    </v:shape>
                  </w:pict>
                </mc:Fallback>
              </mc:AlternateContent>
            </w:r>
            <w:r>
              <w:rPr>
                <w:rFonts w:hint="default"/>
                <w:sz w:val="24"/>
              </w:rPr>
              <mc:AlternateContent>
                <mc:Choice Requires="wps">
                  <w:drawing>
                    <wp:anchor distT="0" distB="0" distL="114300" distR="114300" simplePos="0" relativeHeight="251670528" behindDoc="0" locked="0" layoutInCell="1" allowOverlap="1">
                      <wp:simplePos x="0" y="0"/>
                      <wp:positionH relativeFrom="column">
                        <wp:posOffset>3682365</wp:posOffset>
                      </wp:positionH>
                      <wp:positionV relativeFrom="paragraph">
                        <wp:posOffset>3451860</wp:posOffset>
                      </wp:positionV>
                      <wp:extent cx="83820" cy="76200"/>
                      <wp:effectExtent l="12700" t="12700" r="17780" b="25400"/>
                      <wp:wrapNone/>
                      <wp:docPr id="171" name="五角星 171"/>
                      <wp:cNvGraphicFramePr/>
                      <a:graphic xmlns:a="http://schemas.openxmlformats.org/drawingml/2006/main">
                        <a:graphicData uri="http://schemas.microsoft.com/office/word/2010/wordprocessingShape">
                          <wps:wsp>
                            <wps:cNvSpPr/>
                            <wps:spPr>
                              <a:xfrm>
                                <a:off x="4857750" y="6490970"/>
                                <a:ext cx="8382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9.95pt;margin-top:271.8pt;height:6pt;width:6.6pt;z-index:251670528;v-text-anchor:middle;mso-width-relative:page;mso-height-relative:page;" fillcolor="#FF0000" filled="t" stroked="t" coordsize="83820,76200" o:gfxdata="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fa0PnYAAAACwEAAA8AAAAAAAAAAQAgAAAAIgAAAGRycy9kb3du&#10;cmV2LnhtbFBLAQIUABQAAAAIAIdO4kAOFd8OcQIAAO4EAAAOAAAAAAAAAAEAIAAAACcBAABkcnMv&#10;ZTJvRG9jLnhtbFBLBQYAAAAABgAGAFkBAAAKBgAAAAA=&#10;" path="m0,29105l32016,29105,41910,0,51803,29105,83819,29105,57917,47093,67811,76199,41910,58211,16008,76199,25902,47093xe">
                      <v:path o:connectlocs="41910,0;0,29105;16008,76199;67811,76199;83819,29105" o:connectangles="247,164,82,82,0"/>
                      <v:fill on="t" focussize="0,0"/>
                      <v:stroke weight="2pt" color="#FF0000 [2404]" joinstyle="round"/>
                      <v:imagedata o:title=""/>
                      <o:lock v:ext="edit" aspectratio="f"/>
                    </v:shape>
                  </w:pict>
                </mc:Fallback>
              </mc:AlternateContent>
            </w:r>
            <w:r>
              <w:rPr>
                <w:rFonts w:hint="eastAsia" w:eastAsia="宋体"/>
                <w:color w:val="000000" w:themeColor="text1"/>
                <w:sz w:val="24"/>
                <w:lang w:eastAsia="zh-CN"/>
                <w14:textFill>
                  <w14:solidFill>
                    <w14:schemeClr w14:val="tx1"/>
                  </w14:solidFill>
                </w14:textFill>
              </w:rPr>
              <w:drawing>
                <wp:inline distT="0" distB="0" distL="114300" distR="114300">
                  <wp:extent cx="5832475" cy="4395470"/>
                  <wp:effectExtent l="0" t="0" r="15875" b="5080"/>
                  <wp:docPr id="170" name="图片 17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图片1"/>
                          <pic:cNvPicPr>
                            <a:picLocks noChangeAspect="1"/>
                          </pic:cNvPicPr>
                        </pic:nvPicPr>
                        <pic:blipFill>
                          <a:blip r:embed="rId17"/>
                          <a:stretch>
                            <a:fillRect/>
                          </a:stretch>
                        </pic:blipFill>
                        <pic:spPr>
                          <a:xfrm>
                            <a:off x="0" y="0"/>
                            <a:ext cx="5832475" cy="4395470"/>
                          </a:xfrm>
                          <a:prstGeom prst="rect">
                            <a:avLst/>
                          </a:prstGeom>
                        </pic:spPr>
                      </pic:pic>
                    </a:graphicData>
                  </a:graphic>
                </wp:inline>
              </w:drawing>
            </w:r>
          </w:p>
          <w:p w14:paraId="05ACC58F">
            <w:pPr>
              <w:pStyle w:val="76"/>
              <w:keepNext w:val="0"/>
              <w:keepLines w:val="0"/>
              <w:widowControl w:val="0"/>
              <w:suppressLineNumbers w:val="0"/>
              <w:bidi w:val="0"/>
              <w:adjustRightInd/>
              <w:snapToGrid/>
              <w:spacing w:before="0" w:beforeLines="-2147483648" w:beforeAutospacing="0" w:after="0" w:afterLines="-2147483648" w:afterAutospacing="0" w:line="360" w:lineRule="auto"/>
              <w:ind w:left="0" w:right="0" w:firstLine="0" w:firstLineChars="0"/>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3-1 黑龙江省主体功能区</w:t>
            </w:r>
            <w:r>
              <w:rPr>
                <w:rFonts w:hint="eastAsia" w:ascii="Times New Roman" w:cs="Times New Roman"/>
                <w:b/>
                <w:bCs/>
                <w:color w:val="000000" w:themeColor="text1"/>
                <w:kern w:val="2"/>
                <w:sz w:val="24"/>
                <w:szCs w:val="24"/>
                <w:lang w:val="en-US" w:eastAsia="zh-CN" w:bidi="ar-SA"/>
                <w14:textFill>
                  <w14:solidFill>
                    <w14:schemeClr w14:val="tx1"/>
                  </w14:solidFill>
                </w14:textFill>
              </w:rPr>
              <w:t>规</w:t>
            </w: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划图</w:t>
            </w:r>
          </w:p>
          <w:p w14:paraId="6A71BB99">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b/>
                <w:bCs/>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属于电网改造与建设项目，为公共基础设施建设；本项目的建设投产可提高电网供电可靠性、供电能力和电能质量，满足经济发展对电力供应的要求，符合《黑龙江省主体功能区规划》中对于该区域的相关要求。</w:t>
            </w:r>
          </w:p>
          <w:p w14:paraId="4F5B39A9">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1.2 生态功能区划</w:t>
            </w:r>
          </w:p>
          <w:p w14:paraId="6EE147A2">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根据《黑龙江省生态功能区划》，本项目位置隶属于黑龙江省生态功能区划I-3-</w:t>
            </w:r>
            <w:r>
              <w:rPr>
                <w:rFonts w:hint="eastAsia"/>
                <w:color w:val="000000" w:themeColor="text1"/>
                <w:sz w:val="24"/>
                <w:lang w:val="en-US" w:eastAsia="zh-CN"/>
                <w14:textFill>
                  <w14:solidFill>
                    <w14:schemeClr w14:val="tx1"/>
                  </w14:solidFill>
                </w14:textFill>
              </w:rPr>
              <w:t>2</w:t>
            </w:r>
            <w:r>
              <w:rPr>
                <w:rFonts w:hint="default"/>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6鸡西矿、农、林产业生态功能区</w:t>
            </w:r>
            <w:r>
              <w:rPr>
                <w:rFonts w:hint="default"/>
                <w:color w:val="000000" w:themeColor="text1"/>
                <w:sz w:val="24"/>
                <w14:textFill>
                  <w14:solidFill>
                    <w14:schemeClr w14:val="tx1"/>
                  </w14:solidFill>
                </w14:textFill>
              </w:rPr>
              <w:t>。本区域主要生态环境问题为</w:t>
            </w:r>
            <w:r>
              <w:rPr>
                <w:rFonts w:hint="eastAsia"/>
                <w:color w:val="000000" w:themeColor="text1"/>
                <w:sz w:val="24"/>
                <w:lang w:val="en-US" w:eastAsia="zh-CN"/>
                <w14:textFill>
                  <w14:solidFill>
                    <w14:schemeClr w14:val="tx1"/>
                  </w14:solidFill>
                </w14:textFill>
              </w:rPr>
              <w:t>植被覆盖率低，矿产开采的生态措施未跟上，引发严重的次生生态环境问题</w:t>
            </w:r>
            <w:r>
              <w:rPr>
                <w:rFonts w:hint="default"/>
                <w:color w:val="000000" w:themeColor="text1"/>
                <w:sz w:val="24"/>
                <w14:textFill>
                  <w14:solidFill>
                    <w14:schemeClr w14:val="tx1"/>
                  </w14:solidFill>
                </w14:textFill>
              </w:rPr>
              <w:t>。生态环境敏感性为</w:t>
            </w:r>
            <w:r>
              <w:rPr>
                <w:rFonts w:hint="eastAsia"/>
                <w:color w:val="000000" w:themeColor="text1"/>
                <w:sz w:val="24"/>
                <w:lang w:val="en-US" w:eastAsia="zh-CN"/>
                <w14:textFill>
                  <w14:solidFill>
                    <w14:schemeClr w14:val="tx1"/>
                  </w14:solidFill>
                </w14:textFill>
              </w:rPr>
              <w:t>南部小片地区土壤侵蚀敏感性为高度敏感。</w:t>
            </w:r>
            <w:r>
              <w:rPr>
                <w:rFonts w:hint="default"/>
                <w:color w:val="000000" w:themeColor="text1"/>
                <w:sz w:val="24"/>
                <w14:textFill>
                  <w14:solidFill>
                    <w14:schemeClr w14:val="tx1"/>
                  </w14:solidFill>
                </w14:textFill>
              </w:rPr>
              <w:t>本区主要生态系统服务功能为土壤保持</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林矿农业生产</w:t>
            </w:r>
            <w:r>
              <w:rPr>
                <w:rFonts w:hint="default"/>
                <w:color w:val="000000" w:themeColor="text1"/>
                <w:sz w:val="24"/>
                <w14:textFill>
                  <w14:solidFill>
                    <w14:schemeClr w14:val="tx1"/>
                  </w14:solidFill>
                </w14:textFill>
              </w:rPr>
              <w:t>。保护措施与发展方向为</w:t>
            </w:r>
            <w:r>
              <w:rPr>
                <w:rFonts w:hint="eastAsia"/>
                <w:color w:val="000000" w:themeColor="text1"/>
                <w:sz w:val="24"/>
                <w:lang w:val="en-US" w:eastAsia="zh-CN"/>
                <w14:textFill>
                  <w14:solidFill>
                    <w14:schemeClr w14:val="tx1"/>
                  </w14:solidFill>
                </w14:textFill>
              </w:rPr>
              <w:t>合理的进行矿产开发，禁止野蛮开采的情况出现，大力发展生态林业和生态农业</w:t>
            </w:r>
            <w:r>
              <w:rPr>
                <w:rFonts w:hint="default"/>
                <w:color w:val="000000" w:themeColor="text1"/>
                <w:sz w:val="24"/>
                <w14:textFill>
                  <w14:solidFill>
                    <w14:schemeClr w14:val="tx1"/>
                  </w14:solidFill>
                </w14:textFill>
              </w:rPr>
              <w:t>。</w:t>
            </w:r>
          </w:p>
          <w:p w14:paraId="65A4637D">
            <w:pPr>
              <w:pStyle w:val="10"/>
              <w:keepNext w:val="0"/>
              <w:keepLines w:val="0"/>
              <w:suppressLineNumbers w:val="0"/>
              <w:spacing w:beforeAutospacing="0" w:afterAutospacing="0" w:line="240" w:lineRule="auto"/>
              <w:ind w:left="0"/>
              <w:jc w:val="center"/>
              <w:rPr>
                <w:rFonts w:hint="eastAsia" w:eastAsia="宋体"/>
                <w:color w:val="000000" w:themeColor="text1"/>
                <w:lang w:eastAsia="zh-CN"/>
                <w14:textFill>
                  <w14:solidFill>
                    <w14:schemeClr w14:val="tx1"/>
                  </w14:solidFill>
                </w14:textFill>
              </w:rPr>
            </w:pPr>
            <w:r>
              <w:rPr>
                <w:rFonts w:hint="default"/>
                <w:sz w:val="24"/>
              </w:rPr>
              <mc:AlternateContent>
                <mc:Choice Requires="wps">
                  <w:drawing>
                    <wp:anchor distT="0" distB="0" distL="114300" distR="114300" simplePos="0" relativeHeight="251673600" behindDoc="0" locked="0" layoutInCell="1" allowOverlap="1">
                      <wp:simplePos x="0" y="0"/>
                      <wp:positionH relativeFrom="column">
                        <wp:posOffset>2870200</wp:posOffset>
                      </wp:positionH>
                      <wp:positionV relativeFrom="paragraph">
                        <wp:posOffset>3467100</wp:posOffset>
                      </wp:positionV>
                      <wp:extent cx="1176655" cy="372110"/>
                      <wp:effectExtent l="6350" t="6350" r="17145" b="459740"/>
                      <wp:wrapNone/>
                      <wp:docPr id="175" name="矩形标注 175"/>
                      <wp:cNvGraphicFramePr/>
                      <a:graphic xmlns:a="http://schemas.openxmlformats.org/drawingml/2006/main">
                        <a:graphicData uri="http://schemas.microsoft.com/office/word/2010/wordprocessingShape">
                          <wps:wsp>
                            <wps:cNvSpPr/>
                            <wps:spPr>
                              <a:xfrm>
                                <a:off x="0" y="0"/>
                                <a:ext cx="1176655" cy="372110"/>
                              </a:xfrm>
                              <a:prstGeom prst="wedgeRectCallout">
                                <a:avLst>
                                  <a:gd name="adj1" fmla="val 21289"/>
                                  <a:gd name="adj2" fmla="val 171331"/>
                                </a:avLst>
                              </a:prstGeom>
                              <a:solidFill>
                                <a:schemeClr val="bg1"/>
                              </a:solid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433C1B0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本项目输电线路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6pt;margin-top:273pt;height:29.3pt;width:92.65pt;z-index:251673600;v-text-anchor:middle;mso-width-relative:page;mso-height-relative:page;" fillcolor="#FFFFFF [3212]" filled="t" stroked="t" coordsize="21600,21600" o:gfxdata="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BCXfHvZAAAACwEAAA8AAAAAAAAAAQAgAAAAIgAAAGRycy9kb3ducmV2Lnht&#10;bFBLAQIUABQAAAAIAIdO4kCfU7FyowIAAFAFAAAOAAAAAAAAAAEAIAAAACgBAABkcnMvZTJvRG9j&#10;LnhtbFBLBQYAAAAABgAGAFkBAAA9BgAAAAA=&#10;" adj="15398,47807">
                      <v:fill on="t" focussize="0,0"/>
                      <v:stroke weight="1pt" color="#000000 [3213]" joinstyle="round"/>
                      <v:imagedata o:title=""/>
                      <o:lock v:ext="edit" aspectratio="f"/>
                      <v:textbox>
                        <w:txbxContent>
                          <w:p w14:paraId="433C1B0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本项目输电线路</w:t>
                            </w:r>
                          </w:p>
                        </w:txbxContent>
                      </v:textbox>
                    </v:shape>
                  </w:pict>
                </mc:Fallback>
              </mc:AlternateContent>
            </w:r>
            <w:r>
              <w:rPr>
                <w:rFonts w:hint="default"/>
                <w:sz w:val="24"/>
              </w:rPr>
              <mc:AlternateContent>
                <mc:Choice Requires="wps">
                  <w:drawing>
                    <wp:anchor distT="0" distB="0" distL="114300" distR="114300" simplePos="0" relativeHeight="251672576" behindDoc="0" locked="0" layoutInCell="1" allowOverlap="1">
                      <wp:simplePos x="0" y="0"/>
                      <wp:positionH relativeFrom="column">
                        <wp:posOffset>3656330</wp:posOffset>
                      </wp:positionH>
                      <wp:positionV relativeFrom="paragraph">
                        <wp:posOffset>4272915</wp:posOffset>
                      </wp:positionV>
                      <wp:extent cx="83820" cy="76200"/>
                      <wp:effectExtent l="12700" t="12700" r="17780" b="25400"/>
                      <wp:wrapNone/>
                      <wp:docPr id="174" name="五角星 174"/>
                      <wp:cNvGraphicFramePr/>
                      <a:graphic xmlns:a="http://schemas.openxmlformats.org/drawingml/2006/main">
                        <a:graphicData uri="http://schemas.microsoft.com/office/word/2010/wordprocessingShape">
                          <wps:wsp>
                            <wps:cNvSpPr/>
                            <wps:spPr>
                              <a:xfrm>
                                <a:off x="0" y="0"/>
                                <a:ext cx="8382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7.9pt;margin-top:336.45pt;height:6pt;width:6.6pt;z-index:251672576;v-text-anchor:middle;mso-width-relative:page;mso-height-relative:page;" fillcolor="#FF0000" filled="t" stroked="t" coordsize="83820,76200" o:gfxdata="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9PynvYAAAACwEAAA8AAAAAAAAAAQAgAAAAIgAAAGRycy9kb3ducmV2LnhtbFBLAQIU&#10;ABQAAAAIAIdO4kB8GkxpZQIAAOIEAAAOAAAAAAAAAAEAIAAAACcBAABkcnMvZTJvRG9jLnhtbFBL&#10;BQYAAAAABgAGAFkBAAD+BQAAAAA=&#10;" path="m0,29105l32016,29105,41910,0,51803,29105,83819,29105,57917,47093,67811,76199,41910,58211,16008,76199,25902,47093xe">
                      <v:path o:connectlocs="41910,0;0,29105;16008,76199;67811,76199;83819,29105" o:connectangles="247,164,82,82,0"/>
                      <v:fill on="t" focussize="0,0"/>
                      <v:stroke weight="2pt" color="#FF0000 [2404]" joinstyle="round"/>
                      <v:imagedata o:title=""/>
                      <o:lock v:ext="edit" aspectratio="f"/>
                    </v:shape>
                  </w:pict>
                </mc:Fallback>
              </mc:AlternateContent>
            </w:r>
            <w:r>
              <w:rPr>
                <w:rFonts w:hint="eastAsia" w:eastAsia="宋体"/>
                <w:color w:val="000000" w:themeColor="text1"/>
                <w:lang w:eastAsia="zh-CN"/>
                <w14:textFill>
                  <w14:solidFill>
                    <w14:schemeClr w14:val="tx1"/>
                  </w14:solidFill>
                </w14:textFill>
              </w:rPr>
              <w:drawing>
                <wp:inline distT="0" distB="0" distL="114300" distR="114300">
                  <wp:extent cx="4239260" cy="5616575"/>
                  <wp:effectExtent l="0" t="0" r="8890" b="3175"/>
                  <wp:docPr id="173" name="图片 173" descr="微信图片_2024021910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微信图片_20240219101637"/>
                          <pic:cNvPicPr>
                            <a:picLocks noChangeAspect="1"/>
                          </pic:cNvPicPr>
                        </pic:nvPicPr>
                        <pic:blipFill>
                          <a:blip r:embed="rId18"/>
                          <a:stretch>
                            <a:fillRect/>
                          </a:stretch>
                        </pic:blipFill>
                        <pic:spPr>
                          <a:xfrm>
                            <a:off x="0" y="0"/>
                            <a:ext cx="4239260" cy="5616575"/>
                          </a:xfrm>
                          <a:prstGeom prst="rect">
                            <a:avLst/>
                          </a:prstGeom>
                        </pic:spPr>
                      </pic:pic>
                    </a:graphicData>
                  </a:graphic>
                </wp:inline>
              </w:drawing>
            </w:r>
          </w:p>
          <w:p w14:paraId="59F0CE64">
            <w:pPr>
              <w:pStyle w:val="76"/>
              <w:keepNext w:val="0"/>
              <w:keepLines w:val="0"/>
              <w:widowControl w:val="0"/>
              <w:suppressLineNumbers w:val="0"/>
              <w:bidi w:val="0"/>
              <w:adjustRightInd/>
              <w:snapToGrid/>
              <w:spacing w:before="0" w:beforeLines="-2147483648" w:beforeAutospacing="0" w:after="0" w:afterLines="-2147483648" w:afterAutospacing="0" w:line="360" w:lineRule="auto"/>
              <w:ind w:left="0" w:right="0" w:firstLine="0" w:firstLineChars="0"/>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 3-2 黑龙江省生态功能区划图</w:t>
            </w:r>
          </w:p>
          <w:p w14:paraId="4ED5E6C5">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所在区域内不是野生动物的栖息地，也不是候鸟迁徙的主要路线。项目区域无自然保护区、饮用水水源地保护区，据调查本项目所在区域地下均无有价值文物。本项目评价区范围内植物主要为农作物和杂草，评价区域内无珍稀濒危保护植物物种，无名木古树。项目建设区域及周围无大型兽类，未发现当地分布的特有种和保护动物，也无珍稀濒危动物。</w:t>
            </w:r>
          </w:p>
          <w:p w14:paraId="32B5CDF0">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1.3 生态环境现状调查</w:t>
            </w:r>
          </w:p>
          <w:p w14:paraId="0E03DAA6">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本项目所在区域位于黑龙江省</w:t>
            </w:r>
            <w:r>
              <w:rPr>
                <w:rFonts w:hint="eastAsia"/>
                <w:color w:val="000000" w:themeColor="text1"/>
                <w:sz w:val="24"/>
                <w:lang w:val="en-US" w:eastAsia="zh-CN"/>
                <w14:textFill>
                  <w14:solidFill>
                    <w14:schemeClr w14:val="tx1"/>
                  </w14:solidFill>
                </w14:textFill>
              </w:rPr>
              <w:t>鸡西市恒山区、鸡东县</w:t>
            </w:r>
            <w:r>
              <w:rPr>
                <w:rFonts w:hint="default"/>
                <w:color w:val="000000" w:themeColor="text1"/>
                <w:sz w:val="24"/>
                <w14:textFill>
                  <w14:solidFill>
                    <w14:schemeClr w14:val="tx1"/>
                  </w14:solidFill>
                </w14:textFill>
              </w:rPr>
              <w:t>，周边无珍稀保护动植物，所在区域环境影响评价范围内无国家公园、风景名胜区、自然保护区、文物保护区，未发现国家级濒危动、植物等。</w:t>
            </w:r>
          </w:p>
          <w:p w14:paraId="7CC74554">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本项目周边无国家公园、自然保护区、自然公园、重要物种的天然集中分布区、栖息地、重要水生生物的产卵场、索饵场、越冬场和洄游通道，迁徙鸟类的重要繁殖地、停歇地、越冬地以及野生动物迁徙通道等生态敏感区，根据《环境影响评价技术导则 生态影响》（HJ 19-2022），本项目生态评价范围为变电站站址外扩500m，输电线路外扩300m；现状调查主要以资料收集为主。</w:t>
            </w:r>
          </w:p>
          <w:p w14:paraId="3B108FCF">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1.4 陆生生态现状调查</w:t>
            </w:r>
          </w:p>
          <w:p w14:paraId="3F4176A8">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①植被及植物多样性调查</w:t>
            </w:r>
          </w:p>
          <w:p w14:paraId="2BF6FE7C">
            <w:pPr>
              <w:pStyle w:val="74"/>
              <w:keepNext w:val="0"/>
              <w:keepLines w:val="0"/>
              <w:suppressLineNumbers w:val="0"/>
              <w:spacing w:before="0" w:beforeAutospacing="0" w:after="0" w:afterAutospacing="0"/>
              <w:ind w:left="0" w:right="0" w:firstLine="480"/>
              <w:rPr>
                <w:rFonts w:hint="default"/>
                <w:color w:val="FF0000"/>
                <w:sz w:val="24"/>
              </w:rPr>
            </w:pPr>
            <w:r>
              <w:rPr>
                <w:rFonts w:hint="eastAsia"/>
                <w:color w:val="000000" w:themeColor="text1"/>
                <w:sz w:val="24"/>
                <w:lang w:val="en-US" w:eastAsia="zh-CN"/>
                <w14:textFill>
                  <w14:solidFill>
                    <w14:schemeClr w14:val="tx1"/>
                  </w14:solidFill>
                </w14:textFill>
              </w:rPr>
              <w:t>鸡西市恒山区、鸡东县</w:t>
            </w:r>
            <w:r>
              <w:rPr>
                <w:rFonts w:hint="default"/>
                <w:color w:val="000000" w:themeColor="text1"/>
                <w:sz w:val="24"/>
                <w14:textFill>
                  <w14:solidFill>
                    <w14:schemeClr w14:val="tx1"/>
                  </w14:solidFill>
                </w14:textFill>
              </w:rPr>
              <w:t>境内主要有食用植物和药用植物，食用真菌有真松茸、黑木耳、猴头蘑、元蘑、榛蘑、花脸蘑等</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野菜有蕨菜、薇菜、黄瓜香、山芹菜、黄花菜、四叶菜等</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野果类有山核桃、毛棒子、刺玫果、山葡萄、草莓、山丁子、山里红、山杏等。药用植物有防风、黄芪、龙胆草、黄柏、五味子、人参、党参、甘草、刺五加、桔梗、柴胡、山杏、满山红、黄苓、大力子、赤芍、苍术、车前子等</w:t>
            </w:r>
            <w:r>
              <w:rPr>
                <w:rFonts w:hint="eastAsia"/>
                <w:color w:val="000000" w:themeColor="text1"/>
                <w:sz w:val="24"/>
                <w:lang w:eastAsia="zh-CN"/>
                <w14:textFill>
                  <w14:solidFill>
                    <w14:schemeClr w14:val="tx1"/>
                  </w14:solidFill>
                </w14:textFill>
              </w:rPr>
              <w:t>；</w:t>
            </w:r>
            <w:r>
              <w:rPr>
                <w:rFonts w:hint="eastAsia"/>
                <w:color w:val="FF0000"/>
                <w:sz w:val="24"/>
                <w:lang w:eastAsia="zh-CN"/>
              </w:rPr>
              <w:t>草类有樟茅（洋草）、大叶樟、小叶樟、水稗草、兰花菜、蓼吊子、柳蒿、五花草、三棱草、大马莲、菱角、金盏草等。菌类：蘑菇、猴头、马粪包、木耳等</w:t>
            </w:r>
            <w:r>
              <w:rPr>
                <w:rFonts w:hint="default"/>
                <w:color w:val="FF0000"/>
                <w:sz w:val="24"/>
              </w:rPr>
              <w:t>。</w:t>
            </w:r>
          </w:p>
          <w:p w14:paraId="3E879B35">
            <w:pPr>
              <w:pStyle w:val="74"/>
              <w:keepNext w:val="0"/>
              <w:keepLines w:val="0"/>
              <w:suppressLineNumbers w:val="0"/>
              <w:spacing w:before="0" w:beforeAutospacing="0" w:after="0" w:afterAutospacing="0"/>
              <w:ind w:left="0" w:right="0" w:firstLine="480"/>
              <w:rPr>
                <w:rFonts w:hint="default"/>
                <w:color w:val="FF0000"/>
                <w:lang w:val="en-US" w:eastAsia="zh-CN"/>
              </w:rPr>
            </w:pPr>
            <w:r>
              <w:rPr>
                <w:rFonts w:hint="eastAsia"/>
                <w:color w:val="FF0000"/>
                <w:sz w:val="24"/>
                <w:lang w:val="en-US" w:eastAsia="zh-CN"/>
              </w:rPr>
              <w:t>本项目输电线路外扩300m内，主要以耕地为主，种植稻米。草类主要为樟茅（洋草）、大叶樟、小叶樟、金盏草。菌类主要为野生菇种。</w:t>
            </w:r>
            <w:r>
              <w:rPr>
                <w:rFonts w:hint="eastAsia" w:ascii="Times New Roman" w:hAnsi="Times New Roman" w:eastAsia="宋体" w:cs="Times New Roman"/>
                <w:color w:val="FF0000"/>
                <w:sz w:val="24"/>
                <w:lang w:val="en-US" w:eastAsia="zh-CN"/>
              </w:rPr>
              <w:t>林木主要以</w:t>
            </w:r>
            <w:r>
              <w:rPr>
                <w:rFonts w:hint="default" w:ascii="Times New Roman" w:hAnsi="Times New Roman" w:eastAsia="宋体" w:cs="Times New Roman"/>
                <w:color w:val="FF0000"/>
                <w:sz w:val="24"/>
                <w:lang w:val="en-US" w:eastAsia="zh-CN"/>
              </w:rPr>
              <w:t>杨、桦、柞树林分布，</w:t>
            </w:r>
            <w:r>
              <w:rPr>
                <w:rFonts w:hint="eastAsia" w:ascii="Times New Roman" w:hAnsi="Times New Roman" w:eastAsia="宋体" w:cs="Times New Roman"/>
                <w:color w:val="FF0000"/>
                <w:sz w:val="24"/>
                <w:lang w:val="en-US" w:eastAsia="zh-CN"/>
              </w:rPr>
              <w:t>本项目以零散杨树为主，不涉及国家重点公益林及自然林地。</w:t>
            </w:r>
          </w:p>
          <w:p w14:paraId="16EECC11">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②动物多样性调查</w:t>
            </w:r>
          </w:p>
          <w:p w14:paraId="662C3CF1">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本项目位于</w:t>
            </w:r>
            <w:r>
              <w:rPr>
                <w:rFonts w:hint="eastAsia"/>
                <w:color w:val="000000" w:themeColor="text1"/>
                <w:sz w:val="24"/>
                <w:lang w:val="en-US" w:eastAsia="zh-CN"/>
                <w14:textFill>
                  <w14:solidFill>
                    <w14:schemeClr w14:val="tx1"/>
                  </w14:solidFill>
                </w14:textFill>
              </w:rPr>
              <w:t>鸡西市恒山区、鸡东县</w:t>
            </w:r>
            <w:r>
              <w:rPr>
                <w:rFonts w:hint="default"/>
                <w:color w:val="000000" w:themeColor="text1"/>
                <w:sz w:val="24"/>
                <w14:textFill>
                  <w14:solidFill>
                    <w14:schemeClr w14:val="tx1"/>
                  </w14:solidFill>
                </w14:textFill>
              </w:rPr>
              <w:t>境内</w:t>
            </w:r>
            <w:r>
              <w:rPr>
                <w:rFonts w:hint="eastAsia"/>
                <w:color w:val="000000" w:themeColor="text1"/>
                <w:sz w:val="24"/>
                <w14:textFill>
                  <w14:solidFill>
                    <w14:schemeClr w14:val="tx1"/>
                  </w14:solidFill>
                </w14:textFill>
              </w:rPr>
              <w:t>，经现场调查，主要分布的野生动物为一些常见的鸟类，包括喜鹊、麻雀及家燕等，站址周边和输电线路沿线无国家重点保护野生动物及栖息地、繁殖地、觅食、活动区域、迁徙路径等。</w:t>
            </w:r>
          </w:p>
          <w:p w14:paraId="3515CF47">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③土地利用类型调查</w:t>
            </w:r>
          </w:p>
          <w:p w14:paraId="7DBC97DD">
            <w:pPr>
              <w:pStyle w:val="74"/>
              <w:keepNext w:val="0"/>
              <w:keepLines w:val="0"/>
              <w:suppressLineNumbers w:val="0"/>
              <w:spacing w:before="0" w:beforeAutospacing="0" w:after="0" w:afterAutospacing="0"/>
              <w:ind w:left="0" w:right="0" w:firstLine="480"/>
              <w:rPr>
                <w:rFonts w:hint="default"/>
                <w:color w:val="FF0000"/>
                <w:sz w:val="24"/>
              </w:rPr>
            </w:pPr>
            <w:r>
              <w:rPr>
                <w:rFonts w:hint="eastAsia"/>
                <w:color w:val="FF0000"/>
                <w:sz w:val="24"/>
              </w:rPr>
              <w:t>评价区土地利用类型主要以建设用地、耕地、林地</w:t>
            </w:r>
            <w:r>
              <w:rPr>
                <w:rFonts w:hint="eastAsia"/>
                <w:color w:val="FF0000"/>
                <w:sz w:val="24"/>
                <w:lang w:eastAsia="zh-CN"/>
              </w:rPr>
              <w:t>、</w:t>
            </w:r>
            <w:r>
              <w:rPr>
                <w:rFonts w:hint="eastAsia"/>
                <w:color w:val="FF0000"/>
                <w:sz w:val="24"/>
                <w:lang w:val="en-US" w:eastAsia="zh-CN"/>
              </w:rPr>
              <w:t>草地</w:t>
            </w:r>
            <w:r>
              <w:rPr>
                <w:rFonts w:hint="eastAsia"/>
                <w:color w:val="FF0000"/>
                <w:sz w:val="24"/>
              </w:rPr>
              <w:t>用地为主。参照全国土地利用现状分类系统，根据按照《环境影响评价技术导则 生态影响》（HJ 19-2022）要求，通过遥感影像及现场调查核实，将评价范围内的土地利用类型按GB/T 21010-2017土地利用分类体系进行分类，将评价区</w:t>
            </w:r>
            <w:r>
              <w:rPr>
                <w:rFonts w:hint="eastAsia"/>
                <w:color w:val="FF0000"/>
                <w:sz w:val="24"/>
                <w:lang w:val="en-US" w:eastAsia="zh-CN"/>
              </w:rPr>
              <w:t>内</w:t>
            </w:r>
            <w:r>
              <w:rPr>
                <w:rFonts w:hint="eastAsia"/>
                <w:color w:val="FF0000"/>
                <w:sz w:val="24"/>
              </w:rPr>
              <w:t>土地利用情况划分为建设用地、耕地、林地</w:t>
            </w:r>
            <w:r>
              <w:rPr>
                <w:rFonts w:hint="eastAsia"/>
                <w:color w:val="FF0000"/>
                <w:sz w:val="24"/>
                <w:lang w:eastAsia="zh-CN"/>
              </w:rPr>
              <w:t>、</w:t>
            </w:r>
            <w:r>
              <w:rPr>
                <w:rFonts w:hint="eastAsia"/>
                <w:color w:val="FF0000"/>
                <w:sz w:val="24"/>
                <w:lang w:val="en-US" w:eastAsia="zh-CN"/>
              </w:rPr>
              <w:t>草地4</w:t>
            </w:r>
            <w:r>
              <w:rPr>
                <w:rFonts w:hint="eastAsia"/>
                <w:color w:val="FF0000"/>
                <w:sz w:val="24"/>
              </w:rPr>
              <w:t>种类型。区域土地利用现状如下图。</w:t>
            </w:r>
          </w:p>
          <w:p w14:paraId="5BCF9AAF">
            <w:pPr>
              <w:pStyle w:val="29"/>
              <w:keepNext w:val="0"/>
              <w:keepLines w:val="0"/>
              <w:suppressLineNumbers w:val="0"/>
              <w:spacing w:before="0" w:beforeAutospacing="0" w:after="0" w:afterAutospacing="0"/>
              <w:ind w:left="0" w:leftChars="0" w:right="0" w:firstLine="0" w:firstLineChars="0"/>
              <w:jc w:val="center"/>
              <w:rPr>
                <w:rFonts w:hint="default"/>
                <w:color w:val="000000" w:themeColor="text1"/>
                <w14:textFill>
                  <w14:solidFill>
                    <w14:schemeClr w14:val="tx1"/>
                  </w14:solidFill>
                </w14:textFill>
              </w:rPr>
            </w:pPr>
            <w:r>
              <w:rPr>
                <w:rFonts w:hint="default"/>
              </w:rPr>
              <w:drawing>
                <wp:inline distT="0" distB="0" distL="114300" distR="114300">
                  <wp:extent cx="5754370" cy="2464435"/>
                  <wp:effectExtent l="0" t="0" r="17780" b="12065"/>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pic:cNvPicPr>
                            <a:picLocks noChangeAspect="1"/>
                          </pic:cNvPicPr>
                        </pic:nvPicPr>
                        <pic:blipFill>
                          <a:blip r:embed="rId19"/>
                          <a:stretch>
                            <a:fillRect/>
                          </a:stretch>
                        </pic:blipFill>
                        <pic:spPr>
                          <a:xfrm>
                            <a:off x="0" y="0"/>
                            <a:ext cx="5754370" cy="2464435"/>
                          </a:xfrm>
                          <a:prstGeom prst="rect">
                            <a:avLst/>
                          </a:prstGeom>
                          <a:noFill/>
                          <a:ln>
                            <a:noFill/>
                          </a:ln>
                        </pic:spPr>
                      </pic:pic>
                    </a:graphicData>
                  </a:graphic>
                </wp:inline>
              </w:drawing>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1438910</wp:posOffset>
                      </wp:positionH>
                      <wp:positionV relativeFrom="paragraph">
                        <wp:posOffset>528955</wp:posOffset>
                      </wp:positionV>
                      <wp:extent cx="47625" cy="4445"/>
                      <wp:effectExtent l="0" t="0" r="0" b="0"/>
                      <wp:wrapNone/>
                      <wp:docPr id="137" name="直接连接符 137"/>
                      <wp:cNvGraphicFramePr/>
                      <a:graphic xmlns:a="http://schemas.openxmlformats.org/drawingml/2006/main">
                        <a:graphicData uri="http://schemas.microsoft.com/office/word/2010/wordprocessingShape">
                          <wps:wsp>
                            <wps:cNvCnPr/>
                            <wps:spPr>
                              <a:xfrm>
                                <a:off x="2954020" y="1456055"/>
                                <a:ext cx="47625" cy="4445"/>
                              </a:xfrm>
                              <a:prstGeom prst="line">
                                <a:avLst/>
                              </a:prstGeom>
                              <a:ln w="127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13.3pt;margin-top:41.65pt;height:0.35pt;width:3.75pt;z-index:251663360;mso-width-relative:page;mso-height-relative:page;" filled="f" stroked="t" coordsize="21600,21600" o:gfxdata="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T&#10;eLQt1wAAAAkBAAAPAAAAAAAAAAEAIAAAACIAAABkcnMvZG93bnJldi54bWxQSwECFAAUAAAACACH&#10;TuJAuclw3uwBAACsAwAADgAAAAAAAAABACAAAAAmAQAAZHJzL2Uyb0RvYy54bWxQSwUGAAAAAAYA&#10;BgBZAQAAhAUAAAAA&#10;">
                      <v:fill on="f" focussize="0,0"/>
                      <v:stroke weight="1pt" color="#FFC000 [3204]" joinstyle="round"/>
                      <v:imagedata o:title=""/>
                      <o:lock v:ext="edit" aspectratio="f"/>
                    </v:line>
                  </w:pict>
                </mc:Fallback>
              </mc:AlternateContent>
            </w:r>
          </w:p>
          <w:p w14:paraId="479A073A">
            <w:pPr>
              <w:pStyle w:val="76"/>
              <w:keepNext w:val="0"/>
              <w:keepLines w:val="0"/>
              <w:widowControl w:val="0"/>
              <w:suppressLineNumbers w:val="0"/>
              <w:bidi w:val="0"/>
              <w:adjustRightInd/>
              <w:snapToGrid/>
              <w:spacing w:before="0" w:beforeLines="-2147483648" w:beforeAutospacing="0" w:after="0" w:afterLines="-2147483648" w:afterAutospacing="0" w:line="360" w:lineRule="auto"/>
              <w:ind w:left="0" w:right="0" w:firstLine="0" w:firstLineChars="0"/>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图</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 xml:space="preserve"> 本项目区域土地利用现状图</w:t>
            </w:r>
          </w:p>
          <w:p w14:paraId="653C6098">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1.5 生态敏感区调查</w:t>
            </w:r>
          </w:p>
          <w:p w14:paraId="2D3E6F0D">
            <w:pPr>
              <w:pStyle w:val="74"/>
              <w:keepNext w:val="0"/>
              <w:keepLines w:val="0"/>
              <w:suppressLineNumbers w:val="0"/>
              <w:spacing w:before="0" w:beforeAutospacing="0" w:after="0" w:afterAutospacing="0"/>
              <w:ind w:left="0" w:right="0" w:firstLine="480"/>
              <w:jc w:val="both"/>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依据《建设项目环境影响评价分类管理名录（2021版）》（生态环境部令 第16号）以及《环境影响评价技术导则 生态影响》（HJ 19-2022），输变电工程的生态环境敏感区包括国家公园、自然保护区、自然公园、风景名胜区、世界文化和自然遗产地、海洋特别保护区、饮用水水源保护区、生态保护红线区等。</w:t>
            </w:r>
          </w:p>
          <w:p w14:paraId="3A760C2C">
            <w:pPr>
              <w:pStyle w:val="74"/>
              <w:keepNext w:val="0"/>
              <w:keepLines w:val="0"/>
              <w:suppressLineNumbers w:val="0"/>
              <w:spacing w:before="0" w:beforeAutospacing="0" w:after="0" w:afterAutospacing="0"/>
              <w:ind w:left="0" w:right="0" w:firstLine="480"/>
              <w:jc w:val="both"/>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本工程变电站及线路工程的生态环境影响评价范围内不涉及国家公园、自然保护区、风景名胜区、世界文化和自然遗产地、海洋特别保护区、饮用水水源保护区、公益林、湿地等生态环境敏感区。</w:t>
            </w:r>
          </w:p>
          <w:p w14:paraId="089BBDFE">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w:t>
            </w:r>
            <w:r>
              <w:rPr>
                <w:rFonts w:hint="default"/>
                <w:b/>
                <w:bCs/>
                <w:color w:val="000000" w:themeColor="text1"/>
                <w:sz w:val="24"/>
                <w14:textFill>
                  <w14:solidFill>
                    <w14:schemeClr w14:val="tx1"/>
                  </w14:solidFill>
                </w14:textFill>
              </w:rPr>
              <w:t>环境空气</w:t>
            </w:r>
            <w:r>
              <w:rPr>
                <w:rFonts w:hint="eastAsia"/>
                <w:b/>
                <w:bCs/>
                <w:color w:val="000000" w:themeColor="text1"/>
                <w:sz w:val="24"/>
                <w14:textFill>
                  <w14:solidFill>
                    <w14:schemeClr w14:val="tx1"/>
                  </w14:solidFill>
                </w14:textFill>
              </w:rPr>
              <w:t>现状</w:t>
            </w:r>
          </w:p>
          <w:p w14:paraId="4551131E">
            <w:pPr>
              <w:pStyle w:val="74"/>
              <w:keepNext w:val="0"/>
              <w:keepLines w:val="0"/>
              <w:suppressLineNumbers w:val="0"/>
              <w:spacing w:before="0" w:beforeAutospacing="0" w:after="0" w:afterAutospacing="0"/>
              <w:ind w:left="0" w:right="0" w:firstLine="480"/>
              <w:rPr>
                <w:rFonts w:hint="default"/>
                <w:color w:val="000000" w:themeColor="text1"/>
                <w:kern w:val="0"/>
                <w:sz w:val="24"/>
                <w14:textFill>
                  <w14:solidFill>
                    <w14:schemeClr w14:val="tx1"/>
                  </w14:solidFill>
                </w14:textFill>
              </w:rPr>
            </w:pPr>
            <w:r>
              <w:rPr>
                <w:rFonts w:hint="default"/>
                <w:color w:val="000000" w:themeColor="text1"/>
                <w:kern w:val="0"/>
                <w:sz w:val="24"/>
                <w14:textFill>
                  <w14:solidFill>
                    <w14:schemeClr w14:val="tx1"/>
                  </w14:solidFill>
                </w14:textFill>
              </w:rPr>
              <w:t>本项目位于</w:t>
            </w:r>
            <w:r>
              <w:rPr>
                <w:rFonts w:hint="eastAsia"/>
                <w:color w:val="000000" w:themeColor="text1"/>
                <w:kern w:val="0"/>
                <w:sz w:val="24"/>
                <w:lang w:val="en-US" w:eastAsia="zh-CN"/>
                <w14:textFill>
                  <w14:solidFill>
                    <w14:schemeClr w14:val="tx1"/>
                  </w14:solidFill>
                </w14:textFill>
              </w:rPr>
              <w:t>鸡西</w:t>
            </w:r>
            <w:r>
              <w:rPr>
                <w:rFonts w:hint="default"/>
                <w:color w:val="000000" w:themeColor="text1"/>
                <w:kern w:val="0"/>
                <w:sz w:val="24"/>
                <w14:textFill>
                  <w14:solidFill>
                    <w14:schemeClr w14:val="tx1"/>
                  </w14:solidFill>
                </w14:textFill>
              </w:rPr>
              <w:t>市，项目所在地属环境空气质量功能区划中的二类区。</w:t>
            </w:r>
            <w:r>
              <w:rPr>
                <w:rFonts w:hint="eastAsia"/>
                <w:color w:val="000000" w:themeColor="text1"/>
                <w:kern w:val="0"/>
                <w:sz w:val="24"/>
                <w:lang w:val="en-US" w:eastAsia="zh-CN"/>
                <w14:textFill>
                  <w14:solidFill>
                    <w14:schemeClr w14:val="tx1"/>
                  </w14:solidFill>
                </w14:textFill>
              </w:rPr>
              <w:t>根据《2023年黑龙江省生态环境质量状况》可知，鸡西</w:t>
            </w:r>
            <w:r>
              <w:rPr>
                <w:rFonts w:hint="default"/>
                <w:color w:val="000000" w:themeColor="text1"/>
                <w:kern w:val="0"/>
                <w:sz w:val="24"/>
                <w14:textFill>
                  <w14:solidFill>
                    <w14:schemeClr w14:val="tx1"/>
                  </w14:solidFill>
                </w14:textFill>
              </w:rPr>
              <w:t>市环境空气质量现状如下：</w:t>
            </w:r>
            <w:r>
              <w:rPr>
                <w:rFonts w:hint="eastAsia"/>
                <w:color w:val="000000" w:themeColor="text1"/>
                <w:kern w:val="0"/>
                <w:sz w:val="24"/>
                <w:lang w:val="en-US" w:eastAsia="zh-CN"/>
                <w14:textFill>
                  <w14:solidFill>
                    <w14:schemeClr w14:val="tx1"/>
                  </w14:solidFill>
                </w14:textFill>
              </w:rPr>
              <w:t>鸡西</w:t>
            </w:r>
            <w:r>
              <w:rPr>
                <w:rFonts w:hint="default"/>
                <w:color w:val="000000" w:themeColor="text1"/>
                <w:kern w:val="0"/>
                <w:sz w:val="24"/>
                <w14:textFill>
                  <w14:solidFill>
                    <w14:schemeClr w14:val="tx1"/>
                  </w14:solidFill>
                </w14:textFill>
              </w:rPr>
              <w:t>市202</w:t>
            </w:r>
            <w:r>
              <w:rPr>
                <w:rFonts w:hint="eastAsia"/>
                <w:color w:val="000000" w:themeColor="text1"/>
                <w:kern w:val="0"/>
                <w:sz w:val="24"/>
                <w:lang w:val="en-US" w:eastAsia="zh-CN"/>
                <w14:textFill>
                  <w14:solidFill>
                    <w14:schemeClr w14:val="tx1"/>
                  </w14:solidFill>
                </w14:textFill>
              </w:rPr>
              <w:t>3</w:t>
            </w:r>
            <w:r>
              <w:rPr>
                <w:rFonts w:hint="default"/>
                <w:color w:val="000000" w:themeColor="text1"/>
                <w:kern w:val="0"/>
                <w:sz w:val="24"/>
                <w14:textFill>
                  <w14:solidFill>
                    <w14:schemeClr w14:val="tx1"/>
                  </w14:solidFill>
                </w14:textFill>
              </w:rPr>
              <w:t>年SO</w:t>
            </w:r>
            <w:r>
              <w:rPr>
                <w:rFonts w:hint="default"/>
                <w:color w:val="000000" w:themeColor="text1"/>
                <w:kern w:val="0"/>
                <w:sz w:val="24"/>
                <w:vertAlign w:val="subscript"/>
                <w14:textFill>
                  <w14:solidFill>
                    <w14:schemeClr w14:val="tx1"/>
                  </w14:solidFill>
                </w14:textFill>
              </w:rPr>
              <w:t>2</w:t>
            </w:r>
            <w:r>
              <w:rPr>
                <w:rFonts w:hint="default"/>
                <w:color w:val="000000" w:themeColor="text1"/>
                <w:kern w:val="0"/>
                <w:sz w:val="24"/>
                <w14:textFill>
                  <w14:solidFill>
                    <w14:schemeClr w14:val="tx1"/>
                  </w14:solidFill>
                </w14:textFill>
              </w:rPr>
              <w:t>、NO</w:t>
            </w:r>
            <w:r>
              <w:rPr>
                <w:rFonts w:hint="default"/>
                <w:color w:val="000000" w:themeColor="text1"/>
                <w:kern w:val="0"/>
                <w:sz w:val="24"/>
                <w:vertAlign w:val="subscript"/>
                <w14:textFill>
                  <w14:solidFill>
                    <w14:schemeClr w14:val="tx1"/>
                  </w14:solidFill>
                </w14:textFill>
              </w:rPr>
              <w:t>2</w:t>
            </w:r>
            <w:r>
              <w:rPr>
                <w:rFonts w:hint="default"/>
                <w:color w:val="000000" w:themeColor="text1"/>
                <w:kern w:val="0"/>
                <w:sz w:val="24"/>
                <w14:textFill>
                  <w14:solidFill>
                    <w14:schemeClr w14:val="tx1"/>
                  </w14:solidFill>
                </w14:textFill>
              </w:rPr>
              <w:t>、PM</w:t>
            </w:r>
            <w:r>
              <w:rPr>
                <w:rFonts w:hint="default"/>
                <w:color w:val="000000" w:themeColor="text1"/>
                <w:kern w:val="0"/>
                <w:sz w:val="24"/>
                <w:vertAlign w:val="subscript"/>
                <w14:textFill>
                  <w14:solidFill>
                    <w14:schemeClr w14:val="tx1"/>
                  </w14:solidFill>
                </w14:textFill>
              </w:rPr>
              <w:t>10</w:t>
            </w:r>
            <w:r>
              <w:rPr>
                <w:rFonts w:hint="default"/>
                <w:color w:val="000000" w:themeColor="text1"/>
                <w:kern w:val="0"/>
                <w:sz w:val="24"/>
                <w14:textFill>
                  <w14:solidFill>
                    <w14:schemeClr w14:val="tx1"/>
                  </w14:solidFill>
                </w14:textFill>
              </w:rPr>
              <w:t>、PM</w:t>
            </w:r>
            <w:r>
              <w:rPr>
                <w:rFonts w:hint="default"/>
                <w:color w:val="000000" w:themeColor="text1"/>
                <w:kern w:val="0"/>
                <w:sz w:val="24"/>
                <w:vertAlign w:val="subscript"/>
                <w14:textFill>
                  <w14:solidFill>
                    <w14:schemeClr w14:val="tx1"/>
                  </w14:solidFill>
                </w14:textFill>
              </w:rPr>
              <w:t>2.5</w:t>
            </w:r>
            <w:r>
              <w:rPr>
                <w:rFonts w:hint="default"/>
                <w:color w:val="000000" w:themeColor="text1"/>
                <w:kern w:val="0"/>
                <w:sz w:val="24"/>
                <w14:textFill>
                  <w14:solidFill>
                    <w14:schemeClr w14:val="tx1"/>
                  </w14:solidFill>
                </w14:textFill>
              </w:rPr>
              <w:t>年均浓度分别为</w:t>
            </w:r>
            <w:r>
              <w:rPr>
                <w:rFonts w:hint="eastAsia"/>
                <w:color w:val="000000" w:themeColor="text1"/>
                <w:kern w:val="0"/>
                <w:sz w:val="24"/>
                <w:lang w:val="en-US" w:eastAsia="zh-CN"/>
                <w14:textFill>
                  <w14:solidFill>
                    <w14:schemeClr w14:val="tx1"/>
                  </w14:solidFill>
                </w14:textFill>
              </w:rPr>
              <w:t>8</w:t>
            </w:r>
            <w:r>
              <w:rPr>
                <w:rFonts w:hint="default"/>
                <w:color w:val="000000" w:themeColor="text1"/>
                <w:kern w:val="0"/>
                <w:sz w:val="24"/>
                <w14:textFill>
                  <w14:solidFill>
                    <w14:schemeClr w14:val="tx1"/>
                  </w14:solidFill>
                </w14:textFill>
              </w:rPr>
              <w:t>ug/m</w:t>
            </w:r>
            <w:r>
              <w:rPr>
                <w:rFonts w:hint="default"/>
                <w:color w:val="000000" w:themeColor="text1"/>
                <w:kern w:val="0"/>
                <w:sz w:val="24"/>
                <w:vertAlign w:val="superscript"/>
                <w14:textFill>
                  <w14:solidFill>
                    <w14:schemeClr w14:val="tx1"/>
                  </w14:solidFill>
                </w14:textFill>
              </w:rPr>
              <w:t>3</w:t>
            </w:r>
            <w:r>
              <w:rPr>
                <w:rFonts w:hint="default"/>
                <w:color w:val="000000" w:themeColor="text1"/>
                <w:kern w:val="0"/>
                <w:sz w:val="24"/>
                <w14:textFill>
                  <w14:solidFill>
                    <w14:schemeClr w14:val="tx1"/>
                  </w14:solidFill>
                </w14:textFill>
              </w:rPr>
              <w:t>、</w:t>
            </w:r>
            <w:r>
              <w:rPr>
                <w:rFonts w:hint="eastAsia"/>
                <w:color w:val="000000" w:themeColor="text1"/>
                <w:kern w:val="0"/>
                <w:sz w:val="24"/>
                <w:lang w:val="en-US" w:eastAsia="zh-CN"/>
                <w14:textFill>
                  <w14:solidFill>
                    <w14:schemeClr w14:val="tx1"/>
                  </w14:solidFill>
                </w14:textFill>
              </w:rPr>
              <w:t>20</w:t>
            </w:r>
            <w:r>
              <w:rPr>
                <w:rFonts w:hint="default"/>
                <w:color w:val="000000" w:themeColor="text1"/>
                <w:kern w:val="0"/>
                <w:sz w:val="24"/>
                <w14:textFill>
                  <w14:solidFill>
                    <w14:schemeClr w14:val="tx1"/>
                  </w14:solidFill>
                </w14:textFill>
              </w:rPr>
              <w:t>ug/m</w:t>
            </w:r>
            <w:r>
              <w:rPr>
                <w:rFonts w:hint="default"/>
                <w:color w:val="000000" w:themeColor="text1"/>
                <w:kern w:val="0"/>
                <w:sz w:val="24"/>
                <w:vertAlign w:val="superscript"/>
                <w14:textFill>
                  <w14:solidFill>
                    <w14:schemeClr w14:val="tx1"/>
                  </w14:solidFill>
                </w14:textFill>
              </w:rPr>
              <w:t>3</w:t>
            </w:r>
            <w:r>
              <w:rPr>
                <w:rFonts w:hint="default"/>
                <w:color w:val="000000" w:themeColor="text1"/>
                <w:kern w:val="0"/>
                <w:sz w:val="24"/>
                <w14:textFill>
                  <w14:solidFill>
                    <w14:schemeClr w14:val="tx1"/>
                  </w14:solidFill>
                </w14:textFill>
              </w:rPr>
              <w:t>、</w:t>
            </w:r>
            <w:r>
              <w:rPr>
                <w:rFonts w:hint="eastAsia"/>
                <w:color w:val="000000" w:themeColor="text1"/>
                <w:kern w:val="0"/>
                <w:sz w:val="24"/>
                <w:lang w:val="en-US" w:eastAsia="zh-CN"/>
                <w14:textFill>
                  <w14:solidFill>
                    <w14:schemeClr w14:val="tx1"/>
                  </w14:solidFill>
                </w14:textFill>
              </w:rPr>
              <w:t>50</w:t>
            </w:r>
            <w:r>
              <w:rPr>
                <w:rFonts w:hint="default"/>
                <w:color w:val="000000" w:themeColor="text1"/>
                <w:kern w:val="0"/>
                <w:sz w:val="24"/>
                <w14:textFill>
                  <w14:solidFill>
                    <w14:schemeClr w14:val="tx1"/>
                  </w14:solidFill>
                </w14:textFill>
              </w:rPr>
              <w:t>ug/m</w:t>
            </w:r>
            <w:r>
              <w:rPr>
                <w:rFonts w:hint="default"/>
                <w:color w:val="000000" w:themeColor="text1"/>
                <w:kern w:val="0"/>
                <w:sz w:val="24"/>
                <w:vertAlign w:val="superscript"/>
                <w14:textFill>
                  <w14:solidFill>
                    <w14:schemeClr w14:val="tx1"/>
                  </w14:solidFill>
                </w14:textFill>
              </w:rPr>
              <w:t>3</w:t>
            </w:r>
            <w:r>
              <w:rPr>
                <w:rFonts w:hint="default"/>
                <w:color w:val="000000" w:themeColor="text1"/>
                <w:kern w:val="0"/>
                <w:sz w:val="24"/>
                <w14:textFill>
                  <w14:solidFill>
                    <w14:schemeClr w14:val="tx1"/>
                  </w14:solidFill>
                </w14:textFill>
              </w:rPr>
              <w:t>、</w:t>
            </w:r>
            <w:r>
              <w:rPr>
                <w:rFonts w:hint="eastAsia"/>
                <w:color w:val="000000" w:themeColor="text1"/>
                <w:kern w:val="0"/>
                <w:sz w:val="24"/>
                <w:lang w:val="en-US" w:eastAsia="zh-CN"/>
                <w14:textFill>
                  <w14:solidFill>
                    <w14:schemeClr w14:val="tx1"/>
                  </w14:solidFill>
                </w14:textFill>
              </w:rPr>
              <w:t>28</w:t>
            </w:r>
            <w:r>
              <w:rPr>
                <w:rFonts w:hint="default"/>
                <w:color w:val="000000" w:themeColor="text1"/>
                <w:kern w:val="0"/>
                <w:sz w:val="24"/>
                <w14:textFill>
                  <w14:solidFill>
                    <w14:schemeClr w14:val="tx1"/>
                  </w14:solidFill>
                </w14:textFill>
              </w:rPr>
              <w:t>ug/m</w:t>
            </w:r>
            <w:r>
              <w:rPr>
                <w:rFonts w:hint="default"/>
                <w:color w:val="000000" w:themeColor="text1"/>
                <w:kern w:val="0"/>
                <w:sz w:val="24"/>
                <w:vertAlign w:val="superscript"/>
                <w14:textFill>
                  <w14:solidFill>
                    <w14:schemeClr w14:val="tx1"/>
                  </w14:solidFill>
                </w14:textFill>
              </w:rPr>
              <w:t>3</w:t>
            </w:r>
            <w:r>
              <w:rPr>
                <w:rFonts w:hint="default"/>
                <w:color w:val="000000" w:themeColor="text1"/>
                <w:kern w:val="0"/>
                <w:sz w:val="24"/>
                <w14:textFill>
                  <w14:solidFill>
                    <w14:schemeClr w14:val="tx1"/>
                  </w14:solidFill>
                </w14:textFill>
              </w:rPr>
              <w:t>；</w:t>
            </w:r>
            <w:r>
              <w:rPr>
                <w:rFonts w:hint="default"/>
                <w:color w:val="000000" w:themeColor="text1"/>
                <w:kern w:val="0"/>
                <w:sz w:val="24"/>
                <w:highlight w:val="none"/>
                <w14:textFill>
                  <w14:solidFill>
                    <w14:schemeClr w14:val="tx1"/>
                  </w14:solidFill>
                </w14:textFill>
              </w:rPr>
              <w:t>CO</w:t>
            </w:r>
            <w:r>
              <w:rPr>
                <w:rFonts w:hint="eastAsia"/>
                <w:color w:val="000000" w:themeColor="text1"/>
                <w:kern w:val="0"/>
                <w:sz w:val="24"/>
                <w:highlight w:val="none"/>
                <w:lang w:val="en-US" w:eastAsia="zh-CN"/>
                <w14:textFill>
                  <w14:solidFill>
                    <w14:schemeClr w14:val="tx1"/>
                  </w14:solidFill>
                </w14:textFill>
              </w:rPr>
              <w:t xml:space="preserve"> </w:t>
            </w:r>
            <w:r>
              <w:rPr>
                <w:rFonts w:hint="default"/>
                <w:color w:val="000000" w:themeColor="text1"/>
                <w:kern w:val="0"/>
                <w:sz w:val="24"/>
                <w:highlight w:val="none"/>
                <w14:textFill>
                  <w14:solidFill>
                    <w14:schemeClr w14:val="tx1"/>
                  </w14:solidFill>
                </w14:textFill>
              </w:rPr>
              <w:t>24小时平均第95百分位数为1</w:t>
            </w:r>
            <w:r>
              <w:rPr>
                <w:rFonts w:hint="eastAsia"/>
                <w:color w:val="000000" w:themeColor="text1"/>
                <w:kern w:val="0"/>
                <w:sz w:val="24"/>
                <w:highlight w:val="none"/>
                <w:lang w:val="en-US" w:eastAsia="zh-CN"/>
                <w14:textFill>
                  <w14:solidFill>
                    <w14:schemeClr w14:val="tx1"/>
                  </w14:solidFill>
                </w14:textFill>
              </w:rPr>
              <w:t>.0</w:t>
            </w:r>
            <w:r>
              <w:rPr>
                <w:rFonts w:hint="default"/>
                <w:color w:val="000000" w:themeColor="text1"/>
                <w:kern w:val="0"/>
                <w:sz w:val="24"/>
                <w:highlight w:val="none"/>
                <w14:textFill>
                  <w14:solidFill>
                    <w14:schemeClr w14:val="tx1"/>
                  </w14:solidFill>
                </w14:textFill>
              </w:rPr>
              <w:t>mg/m</w:t>
            </w:r>
            <w:r>
              <w:rPr>
                <w:rFonts w:hint="default"/>
                <w:color w:val="000000" w:themeColor="text1"/>
                <w:kern w:val="0"/>
                <w:sz w:val="24"/>
                <w:highlight w:val="none"/>
                <w:vertAlign w:val="superscript"/>
                <w14:textFill>
                  <w14:solidFill>
                    <w14:schemeClr w14:val="tx1"/>
                  </w14:solidFill>
                </w14:textFill>
              </w:rPr>
              <w:t>3</w:t>
            </w:r>
            <w:r>
              <w:rPr>
                <w:rFonts w:hint="default"/>
                <w:color w:val="000000" w:themeColor="text1"/>
                <w:kern w:val="0"/>
                <w:sz w:val="24"/>
                <w:highlight w:val="none"/>
                <w14:textFill>
                  <w14:solidFill>
                    <w14:schemeClr w14:val="tx1"/>
                  </w14:solidFill>
                </w14:textFill>
              </w:rPr>
              <w:t>，O</w:t>
            </w:r>
            <w:r>
              <w:rPr>
                <w:rFonts w:hint="default"/>
                <w:color w:val="000000" w:themeColor="text1"/>
                <w:kern w:val="0"/>
                <w:sz w:val="24"/>
                <w:highlight w:val="none"/>
                <w:vertAlign w:val="subscript"/>
                <w14:textFill>
                  <w14:solidFill>
                    <w14:schemeClr w14:val="tx1"/>
                  </w14:solidFill>
                </w14:textFill>
              </w:rPr>
              <w:t>3</w:t>
            </w:r>
            <w:r>
              <w:rPr>
                <w:rFonts w:hint="default"/>
                <w:color w:val="000000" w:themeColor="text1"/>
                <w:kern w:val="0"/>
                <w:sz w:val="24"/>
                <w:highlight w:val="none"/>
                <w14:textFill>
                  <w14:solidFill>
                    <w14:schemeClr w14:val="tx1"/>
                  </w14:solidFill>
                </w14:textFill>
              </w:rPr>
              <w:t>日最大8小时平均第90百分位数为</w:t>
            </w:r>
            <w:r>
              <w:rPr>
                <w:rFonts w:hint="eastAsia"/>
                <w:color w:val="000000" w:themeColor="text1"/>
                <w:kern w:val="0"/>
                <w:sz w:val="24"/>
                <w:highlight w:val="none"/>
                <w:lang w:val="en-US" w:eastAsia="zh-CN"/>
                <w14:textFill>
                  <w14:solidFill>
                    <w14:schemeClr w14:val="tx1"/>
                  </w14:solidFill>
                </w14:textFill>
              </w:rPr>
              <w:t>98</w:t>
            </w:r>
            <w:r>
              <w:rPr>
                <w:rFonts w:hint="default"/>
                <w:color w:val="000000" w:themeColor="text1"/>
                <w:kern w:val="0"/>
                <w:sz w:val="24"/>
                <w:highlight w:val="none"/>
                <w14:textFill>
                  <w14:solidFill>
                    <w14:schemeClr w14:val="tx1"/>
                  </w14:solidFill>
                </w14:textFill>
              </w:rPr>
              <w:t>ug/m</w:t>
            </w:r>
            <w:r>
              <w:rPr>
                <w:rFonts w:hint="default"/>
                <w:color w:val="000000" w:themeColor="text1"/>
                <w:kern w:val="0"/>
                <w:sz w:val="24"/>
                <w:highlight w:val="none"/>
                <w:vertAlign w:val="superscript"/>
                <w14:textFill>
                  <w14:solidFill>
                    <w14:schemeClr w14:val="tx1"/>
                  </w14:solidFill>
                </w14:textFill>
              </w:rPr>
              <w:t>3</w:t>
            </w:r>
            <w:r>
              <w:rPr>
                <w:rFonts w:hint="default"/>
                <w:color w:val="000000" w:themeColor="text1"/>
                <w:kern w:val="0"/>
                <w:sz w:val="24"/>
                <w:highlight w:val="none"/>
                <w14:textFill>
                  <w14:solidFill>
                    <w14:schemeClr w14:val="tx1"/>
                  </w14:solidFill>
                </w14:textFill>
              </w:rPr>
              <w:t>；各</w:t>
            </w:r>
            <w:r>
              <w:rPr>
                <w:rFonts w:hint="default"/>
                <w:color w:val="000000" w:themeColor="text1"/>
                <w:kern w:val="0"/>
                <w:sz w:val="24"/>
                <w14:textFill>
                  <w14:solidFill>
                    <w14:schemeClr w14:val="tx1"/>
                  </w14:solidFill>
                </w14:textFill>
              </w:rPr>
              <w:t>污染物平均浓度均优于《环境空气质量标准》（GB 3095-2012）中二级标准限值。本项目环境空气质量达标区判定情况见下表：</w:t>
            </w:r>
          </w:p>
          <w:p w14:paraId="70B3C42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3-1 区域环境空气质量现状评价表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3356"/>
              <w:gridCol w:w="1256"/>
              <w:gridCol w:w="1129"/>
              <w:gridCol w:w="986"/>
              <w:gridCol w:w="1122"/>
            </w:tblGrid>
            <w:tr w14:paraId="75FBB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2" w:type="pct"/>
                  <w:noWrap w:val="0"/>
                  <w:vAlign w:val="center"/>
                </w:tcPr>
                <w:p w14:paraId="682965D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污染物</w:t>
                  </w:r>
                </w:p>
              </w:tc>
              <w:tc>
                <w:tcPr>
                  <w:tcW w:w="1828" w:type="pct"/>
                  <w:noWrap w:val="0"/>
                  <w:vAlign w:val="center"/>
                </w:tcPr>
                <w:p w14:paraId="52ADE49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年评价指标</w:t>
                  </w:r>
                </w:p>
              </w:tc>
              <w:tc>
                <w:tcPr>
                  <w:tcW w:w="684" w:type="pct"/>
                  <w:noWrap w:val="0"/>
                  <w:vAlign w:val="center"/>
                </w:tcPr>
                <w:p w14:paraId="3DEA4D9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现状浓度</w:t>
                  </w:r>
                </w:p>
                <w:p w14:paraId="3D87B2D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（μg/m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615" w:type="pct"/>
                  <w:noWrap w:val="0"/>
                  <w:vAlign w:val="center"/>
                </w:tcPr>
                <w:p w14:paraId="08AB2E1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标准值</w:t>
                  </w:r>
                </w:p>
                <w:p w14:paraId="254427A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（μg/m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537" w:type="pct"/>
                  <w:noWrap w:val="0"/>
                  <w:vAlign w:val="center"/>
                </w:tcPr>
                <w:p w14:paraId="3ACBBC9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占标率（%）</w:t>
                  </w:r>
                </w:p>
              </w:tc>
              <w:tc>
                <w:tcPr>
                  <w:tcW w:w="611" w:type="pct"/>
                  <w:noWrap w:val="0"/>
                  <w:vAlign w:val="center"/>
                </w:tcPr>
                <w:p w14:paraId="0BC9079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达标情况</w:t>
                  </w:r>
                </w:p>
              </w:tc>
            </w:tr>
            <w:tr w14:paraId="0ED90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2" w:type="pct"/>
                  <w:noWrap w:val="0"/>
                  <w:vAlign w:val="center"/>
                </w:tcPr>
                <w:p w14:paraId="64165D4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SO</w:t>
                  </w:r>
                  <w:r>
                    <w:rPr>
                      <w:rFonts w:hint="default" w:ascii="Times New Roman" w:hAnsi="Times New Roman" w:eastAsia="宋体" w:cs="Times New Roman"/>
                      <w:color w:val="000000" w:themeColor="text1"/>
                      <w:szCs w:val="21"/>
                      <w:vertAlign w:val="subscript"/>
                      <w14:textFill>
                        <w14:solidFill>
                          <w14:schemeClr w14:val="tx1"/>
                        </w14:solidFill>
                      </w14:textFill>
                    </w:rPr>
                    <w:t>2</w:t>
                  </w:r>
                </w:p>
              </w:tc>
              <w:tc>
                <w:tcPr>
                  <w:tcW w:w="1828" w:type="pct"/>
                  <w:noWrap w:val="0"/>
                  <w:vAlign w:val="center"/>
                </w:tcPr>
                <w:p w14:paraId="297DD73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年平均质量浓度</w:t>
                  </w:r>
                </w:p>
              </w:tc>
              <w:tc>
                <w:tcPr>
                  <w:tcW w:w="684" w:type="pct"/>
                  <w:noWrap w:val="0"/>
                  <w:vAlign w:val="center"/>
                </w:tcPr>
                <w:p w14:paraId="6D34C73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8</w:t>
                  </w:r>
                </w:p>
              </w:tc>
              <w:tc>
                <w:tcPr>
                  <w:tcW w:w="615" w:type="pct"/>
                  <w:noWrap w:val="0"/>
                  <w:vAlign w:val="center"/>
                </w:tcPr>
                <w:p w14:paraId="6C273A6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60</w:t>
                  </w:r>
                </w:p>
              </w:tc>
              <w:tc>
                <w:tcPr>
                  <w:tcW w:w="986" w:type="dxa"/>
                  <w:noWrap w:val="0"/>
                  <w:vAlign w:val="center"/>
                </w:tcPr>
                <w:p w14:paraId="4FFDF37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 xml:space="preserve">0.13 </w:t>
                  </w:r>
                </w:p>
              </w:tc>
              <w:tc>
                <w:tcPr>
                  <w:tcW w:w="611" w:type="pct"/>
                  <w:noWrap w:val="0"/>
                  <w:vAlign w:val="center"/>
                </w:tcPr>
                <w:p w14:paraId="53C1375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达标</w:t>
                  </w:r>
                </w:p>
              </w:tc>
            </w:tr>
            <w:tr w14:paraId="4CF73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2" w:type="pct"/>
                  <w:noWrap w:val="0"/>
                  <w:vAlign w:val="center"/>
                </w:tcPr>
                <w:p w14:paraId="7604487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NO</w:t>
                  </w:r>
                  <w:r>
                    <w:rPr>
                      <w:rFonts w:hint="default" w:ascii="Times New Roman" w:hAnsi="Times New Roman" w:eastAsia="宋体" w:cs="Times New Roman"/>
                      <w:color w:val="000000" w:themeColor="text1"/>
                      <w:szCs w:val="21"/>
                      <w:vertAlign w:val="subscript"/>
                      <w14:textFill>
                        <w14:solidFill>
                          <w14:schemeClr w14:val="tx1"/>
                        </w14:solidFill>
                      </w14:textFill>
                    </w:rPr>
                    <w:t>2</w:t>
                  </w:r>
                </w:p>
              </w:tc>
              <w:tc>
                <w:tcPr>
                  <w:tcW w:w="1828" w:type="pct"/>
                  <w:noWrap w:val="0"/>
                  <w:vAlign w:val="center"/>
                </w:tcPr>
                <w:p w14:paraId="5B5B800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年平均质量浓度</w:t>
                  </w:r>
                </w:p>
              </w:tc>
              <w:tc>
                <w:tcPr>
                  <w:tcW w:w="684" w:type="pct"/>
                  <w:noWrap w:val="0"/>
                  <w:vAlign w:val="center"/>
                </w:tcPr>
                <w:p w14:paraId="5D8FA39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20</w:t>
                  </w:r>
                </w:p>
              </w:tc>
              <w:tc>
                <w:tcPr>
                  <w:tcW w:w="615" w:type="pct"/>
                  <w:noWrap w:val="0"/>
                  <w:vAlign w:val="center"/>
                </w:tcPr>
                <w:p w14:paraId="1A0D419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40</w:t>
                  </w:r>
                </w:p>
              </w:tc>
              <w:tc>
                <w:tcPr>
                  <w:tcW w:w="986" w:type="dxa"/>
                  <w:noWrap w:val="0"/>
                  <w:vAlign w:val="center"/>
                </w:tcPr>
                <w:p w14:paraId="2C0F463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 xml:space="preserve">0.50 </w:t>
                  </w:r>
                </w:p>
              </w:tc>
              <w:tc>
                <w:tcPr>
                  <w:tcW w:w="611" w:type="pct"/>
                  <w:noWrap w:val="0"/>
                  <w:vAlign w:val="center"/>
                </w:tcPr>
                <w:p w14:paraId="0AE814E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达标</w:t>
                  </w:r>
                </w:p>
              </w:tc>
            </w:tr>
            <w:tr w14:paraId="7BE91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2" w:type="pct"/>
                  <w:noWrap w:val="0"/>
                  <w:vAlign w:val="center"/>
                </w:tcPr>
                <w:p w14:paraId="155954A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PM</w:t>
                  </w:r>
                  <w:r>
                    <w:rPr>
                      <w:rFonts w:hint="default" w:ascii="Times New Roman" w:hAnsi="Times New Roman" w:eastAsia="宋体" w:cs="Times New Roman"/>
                      <w:color w:val="000000" w:themeColor="text1"/>
                      <w:szCs w:val="21"/>
                      <w:vertAlign w:val="subscript"/>
                      <w14:textFill>
                        <w14:solidFill>
                          <w14:schemeClr w14:val="tx1"/>
                        </w14:solidFill>
                      </w14:textFill>
                    </w:rPr>
                    <w:t>10</w:t>
                  </w:r>
                </w:p>
              </w:tc>
              <w:tc>
                <w:tcPr>
                  <w:tcW w:w="1828" w:type="pct"/>
                  <w:noWrap w:val="0"/>
                  <w:vAlign w:val="center"/>
                </w:tcPr>
                <w:p w14:paraId="79D6AF3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年平均质量浓度</w:t>
                  </w:r>
                </w:p>
              </w:tc>
              <w:tc>
                <w:tcPr>
                  <w:tcW w:w="684" w:type="pct"/>
                  <w:noWrap w:val="0"/>
                  <w:vAlign w:val="center"/>
                </w:tcPr>
                <w:p w14:paraId="7CF8658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50</w:t>
                  </w:r>
                </w:p>
              </w:tc>
              <w:tc>
                <w:tcPr>
                  <w:tcW w:w="615" w:type="pct"/>
                  <w:noWrap w:val="0"/>
                  <w:vAlign w:val="center"/>
                </w:tcPr>
                <w:p w14:paraId="3DE8571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70</w:t>
                  </w:r>
                </w:p>
              </w:tc>
              <w:tc>
                <w:tcPr>
                  <w:tcW w:w="986" w:type="dxa"/>
                  <w:noWrap w:val="0"/>
                  <w:vAlign w:val="center"/>
                </w:tcPr>
                <w:p w14:paraId="1CFFDEA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 xml:space="preserve">0.71 </w:t>
                  </w:r>
                </w:p>
              </w:tc>
              <w:tc>
                <w:tcPr>
                  <w:tcW w:w="611" w:type="pct"/>
                  <w:noWrap w:val="0"/>
                  <w:vAlign w:val="center"/>
                </w:tcPr>
                <w:p w14:paraId="7BB9097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达标</w:t>
                  </w:r>
                </w:p>
              </w:tc>
            </w:tr>
            <w:tr w14:paraId="35CFF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2" w:type="pct"/>
                  <w:noWrap w:val="0"/>
                  <w:vAlign w:val="center"/>
                </w:tcPr>
                <w:p w14:paraId="21944B9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PM</w:t>
                  </w:r>
                  <w:r>
                    <w:rPr>
                      <w:rFonts w:hint="default" w:ascii="Times New Roman" w:hAnsi="Times New Roman" w:eastAsia="宋体" w:cs="Times New Roman"/>
                      <w:color w:val="000000" w:themeColor="text1"/>
                      <w:szCs w:val="21"/>
                      <w:vertAlign w:val="subscript"/>
                      <w14:textFill>
                        <w14:solidFill>
                          <w14:schemeClr w14:val="tx1"/>
                        </w14:solidFill>
                      </w14:textFill>
                    </w:rPr>
                    <w:t>2.5</w:t>
                  </w:r>
                </w:p>
              </w:tc>
              <w:tc>
                <w:tcPr>
                  <w:tcW w:w="1828" w:type="pct"/>
                  <w:noWrap w:val="0"/>
                  <w:vAlign w:val="center"/>
                </w:tcPr>
                <w:p w14:paraId="5F36F8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年平均质量浓度</w:t>
                  </w:r>
                </w:p>
              </w:tc>
              <w:tc>
                <w:tcPr>
                  <w:tcW w:w="684" w:type="pct"/>
                  <w:noWrap w:val="0"/>
                  <w:vAlign w:val="center"/>
                </w:tcPr>
                <w:p w14:paraId="3552C51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28</w:t>
                  </w:r>
                </w:p>
              </w:tc>
              <w:tc>
                <w:tcPr>
                  <w:tcW w:w="615" w:type="pct"/>
                  <w:noWrap w:val="0"/>
                  <w:vAlign w:val="center"/>
                </w:tcPr>
                <w:p w14:paraId="5057868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35</w:t>
                  </w:r>
                </w:p>
              </w:tc>
              <w:tc>
                <w:tcPr>
                  <w:tcW w:w="986" w:type="dxa"/>
                  <w:noWrap w:val="0"/>
                  <w:vAlign w:val="center"/>
                </w:tcPr>
                <w:p w14:paraId="596E213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 xml:space="preserve">0.80 </w:t>
                  </w:r>
                </w:p>
              </w:tc>
              <w:tc>
                <w:tcPr>
                  <w:tcW w:w="611" w:type="pct"/>
                  <w:noWrap w:val="0"/>
                  <w:vAlign w:val="center"/>
                </w:tcPr>
                <w:p w14:paraId="5E40271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达标</w:t>
                  </w:r>
                </w:p>
              </w:tc>
            </w:tr>
            <w:tr w14:paraId="44698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2" w:type="pct"/>
                  <w:noWrap w:val="0"/>
                  <w:vAlign w:val="center"/>
                </w:tcPr>
                <w:p w14:paraId="2F1BF10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CO（per95）mg/m</w:t>
                  </w:r>
                  <w:r>
                    <w:rPr>
                      <w:rFonts w:hint="default" w:ascii="Times New Roman" w:hAnsi="Times New Roman" w:eastAsia="宋体" w:cs="Times New Roman"/>
                      <w:color w:val="000000" w:themeColor="text1"/>
                      <w:szCs w:val="21"/>
                      <w:vertAlign w:val="superscript"/>
                      <w14:textFill>
                        <w14:solidFill>
                          <w14:schemeClr w14:val="tx1"/>
                        </w14:solidFill>
                      </w14:textFill>
                    </w:rPr>
                    <w:t>3</w:t>
                  </w:r>
                </w:p>
              </w:tc>
              <w:tc>
                <w:tcPr>
                  <w:tcW w:w="1828" w:type="pct"/>
                  <w:noWrap w:val="0"/>
                  <w:vAlign w:val="center"/>
                </w:tcPr>
                <w:p w14:paraId="76CC120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24小时平均第95位百分位数</w:t>
                  </w:r>
                </w:p>
              </w:tc>
              <w:tc>
                <w:tcPr>
                  <w:tcW w:w="684" w:type="pct"/>
                  <w:noWrap w:val="0"/>
                  <w:vAlign w:val="center"/>
                </w:tcPr>
                <w:p w14:paraId="39C4425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1000</w:t>
                  </w:r>
                </w:p>
              </w:tc>
              <w:tc>
                <w:tcPr>
                  <w:tcW w:w="615" w:type="pct"/>
                  <w:noWrap w:val="0"/>
                  <w:vAlign w:val="center"/>
                </w:tcPr>
                <w:p w14:paraId="7791CC1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4000</w:t>
                  </w:r>
                </w:p>
              </w:tc>
              <w:tc>
                <w:tcPr>
                  <w:tcW w:w="986" w:type="dxa"/>
                  <w:noWrap w:val="0"/>
                  <w:vAlign w:val="center"/>
                </w:tcPr>
                <w:p w14:paraId="786FF9F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 xml:space="preserve">0.25 </w:t>
                  </w:r>
                </w:p>
              </w:tc>
              <w:tc>
                <w:tcPr>
                  <w:tcW w:w="611" w:type="pct"/>
                  <w:noWrap w:val="0"/>
                  <w:vAlign w:val="center"/>
                </w:tcPr>
                <w:p w14:paraId="23E073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达标</w:t>
                  </w:r>
                </w:p>
              </w:tc>
            </w:tr>
            <w:tr w14:paraId="5F6B2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2" w:type="pct"/>
                  <w:noWrap w:val="0"/>
                  <w:vAlign w:val="center"/>
                </w:tcPr>
                <w:p w14:paraId="0869A1C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O</w:t>
                  </w:r>
                  <w:r>
                    <w:rPr>
                      <w:rFonts w:hint="default" w:ascii="Times New Roman" w:hAnsi="Times New Roman" w:eastAsia="宋体" w:cs="Times New Roman"/>
                      <w:color w:val="000000" w:themeColor="text1"/>
                      <w:szCs w:val="21"/>
                      <w:vertAlign w:val="subscript"/>
                      <w14:textFill>
                        <w14:solidFill>
                          <w14:schemeClr w14:val="tx1"/>
                        </w14:solidFill>
                      </w14:textFill>
                    </w:rPr>
                    <w:t>3</w:t>
                  </w:r>
                  <w:r>
                    <w:rPr>
                      <w:rFonts w:hint="default" w:ascii="Times New Roman" w:hAnsi="Times New Roman" w:eastAsia="宋体" w:cs="Times New Roman"/>
                      <w:color w:val="000000" w:themeColor="text1"/>
                      <w:szCs w:val="21"/>
                      <w14:textFill>
                        <w14:solidFill>
                          <w14:schemeClr w14:val="tx1"/>
                        </w14:solidFill>
                      </w14:textFill>
                    </w:rPr>
                    <w:t>（per90）</w:t>
                  </w:r>
                </w:p>
              </w:tc>
              <w:tc>
                <w:tcPr>
                  <w:tcW w:w="1828" w:type="pct"/>
                  <w:noWrap w:val="0"/>
                  <w:vAlign w:val="center"/>
                </w:tcPr>
                <w:p w14:paraId="485A676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8小时平均值第90位百分位数</w:t>
                  </w:r>
                </w:p>
              </w:tc>
              <w:tc>
                <w:tcPr>
                  <w:tcW w:w="684" w:type="pct"/>
                  <w:noWrap w:val="0"/>
                  <w:vAlign w:val="center"/>
                </w:tcPr>
                <w:p w14:paraId="058308D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98</w:t>
                  </w:r>
                </w:p>
              </w:tc>
              <w:tc>
                <w:tcPr>
                  <w:tcW w:w="615" w:type="pct"/>
                  <w:noWrap w:val="0"/>
                  <w:vAlign w:val="center"/>
                </w:tcPr>
                <w:p w14:paraId="0EF933E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160</w:t>
                  </w:r>
                </w:p>
              </w:tc>
              <w:tc>
                <w:tcPr>
                  <w:tcW w:w="986" w:type="dxa"/>
                  <w:noWrap w:val="0"/>
                  <w:vAlign w:val="center"/>
                </w:tcPr>
                <w:p w14:paraId="4E44A13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 xml:space="preserve">0.61 </w:t>
                  </w:r>
                </w:p>
              </w:tc>
              <w:tc>
                <w:tcPr>
                  <w:tcW w:w="611" w:type="pct"/>
                  <w:noWrap w:val="0"/>
                  <w:vAlign w:val="center"/>
                </w:tcPr>
                <w:p w14:paraId="3E98DC7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达标</w:t>
                  </w:r>
                </w:p>
              </w:tc>
            </w:tr>
          </w:tbl>
          <w:p w14:paraId="3870948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由</w:t>
            </w:r>
            <w:r>
              <w:rPr>
                <w:rFonts w:hint="eastAsia" w:ascii="Times New Roman" w:hAnsi="Times New Roman" w:eastAsia="宋体" w:cs="Times New Roman"/>
                <w:color w:val="000000" w:themeColor="text1"/>
                <w:kern w:val="0"/>
                <w:sz w:val="24"/>
                <w:lang w:val="en-US" w:eastAsia="zh-CN"/>
                <w14:textFill>
                  <w14:solidFill>
                    <w14:schemeClr w14:val="tx1"/>
                  </w14:solidFill>
                </w14:textFill>
              </w:rPr>
              <w:t>上表</w:t>
            </w:r>
            <w:r>
              <w:rPr>
                <w:rFonts w:hint="default" w:ascii="Times New Roman" w:hAnsi="Times New Roman" w:eastAsia="宋体" w:cs="Times New Roman"/>
                <w:color w:val="000000" w:themeColor="text1"/>
                <w:kern w:val="0"/>
                <w:sz w:val="24"/>
                <w14:textFill>
                  <w14:solidFill>
                    <w14:schemeClr w14:val="tx1"/>
                  </w14:solidFill>
                </w14:textFill>
              </w:rPr>
              <w:t>可知，2023年鸡西市空气基本污染物中PM</w:t>
            </w:r>
            <w:r>
              <w:rPr>
                <w:rFonts w:hint="default" w:ascii="Times New Roman" w:hAnsi="Times New Roman" w:eastAsia="宋体" w:cs="Times New Roman"/>
                <w:color w:val="000000" w:themeColor="text1"/>
                <w:kern w:val="0"/>
                <w:sz w:val="24"/>
                <w:vertAlign w:val="subscript"/>
                <w14:textFill>
                  <w14:solidFill>
                    <w14:schemeClr w14:val="tx1"/>
                  </w14:solidFill>
                </w14:textFill>
              </w:rPr>
              <w:t>2.5</w:t>
            </w:r>
            <w:r>
              <w:rPr>
                <w:rFonts w:hint="default" w:ascii="Times New Roman" w:hAnsi="Times New Roman" w:eastAsia="宋体" w:cs="Times New Roman"/>
                <w:color w:val="000000" w:themeColor="text1"/>
                <w:kern w:val="0"/>
                <w:sz w:val="24"/>
                <w14:textFill>
                  <w14:solidFill>
                    <w14:schemeClr w14:val="tx1"/>
                  </w14:solidFill>
                </w14:textFill>
              </w:rPr>
              <w:t>、PM</w:t>
            </w:r>
            <w:r>
              <w:rPr>
                <w:rFonts w:hint="default" w:ascii="Times New Roman" w:hAnsi="Times New Roman" w:eastAsia="宋体" w:cs="Times New Roman"/>
                <w:color w:val="000000" w:themeColor="text1"/>
                <w:kern w:val="0"/>
                <w:sz w:val="24"/>
                <w:vertAlign w:val="subscript"/>
                <w14:textFill>
                  <w14:solidFill>
                    <w14:schemeClr w14:val="tx1"/>
                  </w14:solidFill>
                </w14:textFill>
              </w:rPr>
              <w:t>10</w:t>
            </w:r>
            <w:r>
              <w:rPr>
                <w:rFonts w:hint="default" w:ascii="Times New Roman" w:hAnsi="Times New Roman" w:eastAsia="宋体" w:cs="Times New Roman"/>
                <w:color w:val="000000" w:themeColor="text1"/>
                <w:kern w:val="0"/>
                <w:sz w:val="24"/>
                <w14:textFill>
                  <w14:solidFill>
                    <w14:schemeClr w14:val="tx1"/>
                  </w14:solidFill>
                </w14:textFill>
              </w:rPr>
              <w:t>、SO</w:t>
            </w:r>
            <w:r>
              <w:rPr>
                <w:rFonts w:hint="default" w:ascii="Times New Roman" w:hAnsi="Times New Roman" w:eastAsia="宋体" w:cs="Times New Roman"/>
                <w:color w:val="000000" w:themeColor="text1"/>
                <w:kern w:val="0"/>
                <w:sz w:val="24"/>
                <w:vertAlign w:val="subscript"/>
                <w14:textFill>
                  <w14:solidFill>
                    <w14:schemeClr w14:val="tx1"/>
                  </w14:solidFill>
                </w14:textFill>
              </w:rPr>
              <w:t>2</w:t>
            </w:r>
            <w:r>
              <w:rPr>
                <w:rFonts w:hint="default" w:ascii="Times New Roman" w:hAnsi="Times New Roman" w:eastAsia="宋体" w:cs="Times New Roman"/>
                <w:color w:val="000000" w:themeColor="text1"/>
                <w:kern w:val="0"/>
                <w:sz w:val="24"/>
                <w14:textFill>
                  <w14:solidFill>
                    <w14:schemeClr w14:val="tx1"/>
                  </w14:solidFill>
                </w14:textFill>
              </w:rPr>
              <w:t>、NO</w:t>
            </w:r>
            <w:r>
              <w:rPr>
                <w:rFonts w:hint="default" w:ascii="Times New Roman" w:hAnsi="Times New Roman" w:eastAsia="宋体" w:cs="Times New Roman"/>
                <w:color w:val="000000" w:themeColor="text1"/>
                <w:kern w:val="0"/>
                <w:sz w:val="24"/>
                <w:vertAlign w:val="subscript"/>
                <w14:textFill>
                  <w14:solidFill>
                    <w14:schemeClr w14:val="tx1"/>
                  </w14:solidFill>
                </w14:textFill>
              </w:rPr>
              <w:t>2</w:t>
            </w:r>
            <w:r>
              <w:rPr>
                <w:rFonts w:hint="default" w:ascii="Times New Roman" w:hAnsi="Times New Roman" w:eastAsia="宋体" w:cs="Times New Roman"/>
                <w:color w:val="000000" w:themeColor="text1"/>
                <w:kern w:val="0"/>
                <w:sz w:val="24"/>
                <w14:textFill>
                  <w14:solidFill>
                    <w14:schemeClr w14:val="tx1"/>
                  </w14:solidFill>
                </w14:textFill>
              </w:rPr>
              <w:t>年平均质量浓度及CO第95百分位数日平均浓度、O</w:t>
            </w:r>
            <w:r>
              <w:rPr>
                <w:rFonts w:hint="default" w:ascii="Times New Roman" w:hAnsi="Times New Roman" w:eastAsia="宋体" w:cs="Times New Roman"/>
                <w:color w:val="000000" w:themeColor="text1"/>
                <w:kern w:val="0"/>
                <w:sz w:val="24"/>
                <w:vertAlign w:val="subscript"/>
                <w14:textFill>
                  <w14:solidFill>
                    <w14:schemeClr w14:val="tx1"/>
                  </w14:solidFill>
                </w14:textFill>
              </w:rPr>
              <w:t>3</w:t>
            </w:r>
            <w:r>
              <w:rPr>
                <w:rFonts w:hint="default" w:ascii="Times New Roman" w:hAnsi="Times New Roman" w:eastAsia="宋体" w:cs="Times New Roman"/>
                <w:color w:val="000000" w:themeColor="text1"/>
                <w:kern w:val="0"/>
                <w:sz w:val="24"/>
                <w14:textFill>
                  <w14:solidFill>
                    <w14:schemeClr w14:val="tx1"/>
                  </w14:solidFill>
                </w14:textFill>
              </w:rPr>
              <w:t>第90百分位数8h平均质量浓度均满足《环</w:t>
            </w:r>
          </w:p>
          <w:p w14:paraId="430A54CE">
            <w:pPr>
              <w:keepNext w:val="0"/>
              <w:keepLines w:val="0"/>
              <w:suppressLineNumbers w:val="0"/>
              <w:adjustRightInd w:val="0"/>
              <w:snapToGrid w:val="0"/>
              <w:spacing w:before="0" w:beforeAutospacing="0" w:after="0" w:afterAutospacing="0" w:line="360" w:lineRule="auto"/>
              <w:ind w:left="0" w:right="0"/>
              <w:rPr>
                <w:rFonts w:hint="default"/>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境空气质量标准》（GB3095-2012）中的二级标准，因此判定本项目区域环境空气质量为达标区。</w:t>
            </w:r>
          </w:p>
          <w:p w14:paraId="09D4993E">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w:t>
            </w:r>
            <w:r>
              <w:rPr>
                <w:rFonts w:hint="default"/>
                <w:b/>
                <w:bCs/>
                <w:color w:val="000000" w:themeColor="text1"/>
                <w:sz w:val="24"/>
                <w14:textFill>
                  <w14:solidFill>
                    <w14:schemeClr w14:val="tx1"/>
                  </w14:solidFill>
                </w14:textFill>
              </w:rPr>
              <w:t>地表水环境</w:t>
            </w:r>
            <w:r>
              <w:rPr>
                <w:rFonts w:hint="eastAsia"/>
                <w:b/>
                <w:bCs/>
                <w:color w:val="000000" w:themeColor="text1"/>
                <w:sz w:val="24"/>
                <w14:textFill>
                  <w14:solidFill>
                    <w14:schemeClr w14:val="tx1"/>
                  </w14:solidFill>
                </w14:textFill>
              </w:rPr>
              <w:t>现状</w:t>
            </w:r>
          </w:p>
          <w:p w14:paraId="21AC4F27">
            <w:pPr>
              <w:pStyle w:val="74"/>
              <w:keepNext w:val="0"/>
              <w:keepLines w:val="0"/>
              <w:suppressLineNumbers w:val="0"/>
              <w:spacing w:before="0" w:beforeAutospacing="0" w:after="0" w:afterAutospacing="0"/>
              <w:ind w:left="0" w:right="0" w:firstLine="482"/>
              <w:rPr>
                <w:rFonts w:hint="eastAsia" w:ascii="Times New Roman" w:hAnsi="Times New Roman" w:eastAsia="宋体" w:cs="Times New Roman"/>
                <w:color w:val="000000" w:themeColor="text1"/>
                <w:sz w:val="24"/>
                <w:highlight w:val="yellow"/>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本项目跨越</w:t>
            </w:r>
            <w:r>
              <w:rPr>
                <w:rFonts w:hint="eastAsia" w:cs="Times New Roman"/>
                <w:color w:val="000000" w:themeColor="text1"/>
                <w:sz w:val="24"/>
                <w:highlight w:val="none"/>
                <w:lang w:val="en-US" w:eastAsia="zh-CN"/>
                <w14:textFill>
                  <w14:solidFill>
                    <w14:schemeClr w14:val="tx1"/>
                  </w14:solidFill>
                </w14:textFill>
              </w:rPr>
              <w:t>黄泥河、大石头河及小石头河</w:t>
            </w:r>
            <w:r>
              <w:rPr>
                <w:rFonts w:hint="eastAsia" w:ascii="Times New Roman" w:hAnsi="Times New Roman" w:eastAsia="宋体" w:cs="Times New Roman"/>
                <w:color w:val="000000" w:themeColor="text1"/>
                <w:sz w:val="24"/>
                <w:highlight w:val="none"/>
                <w14:textFill>
                  <w14:solidFill>
                    <w14:schemeClr w14:val="tx1"/>
                  </w14:solidFill>
                </w14:textFill>
              </w:rPr>
              <w:t>，属乌苏里江水系。根据黑龙江省生态环境厅网站公布《2023年黑龙江省生态环境质量状况》，乌苏里江水系水质状况良好，项目区水质状况满足《地表水环境质量标准》（GB 3838-2002）</w:t>
            </w:r>
            <w:r>
              <w:rPr>
                <w:rFonts w:hint="default" w:ascii="Times New Roman" w:hAnsi="Times New Roman" w:eastAsia="宋体" w:cs="Times New Roman"/>
                <w:color w:val="000000" w:themeColor="text1"/>
                <w:sz w:val="24"/>
                <w:highlight w:val="none"/>
                <w14:textFill>
                  <w14:solidFill>
                    <w14:schemeClr w14:val="tx1"/>
                  </w14:solidFill>
                </w14:textFill>
              </w:rPr>
              <w:t>Ⅲ</w:t>
            </w:r>
            <w:r>
              <w:rPr>
                <w:rFonts w:hint="eastAsia" w:ascii="Times New Roman" w:hAnsi="Times New Roman" w:eastAsia="宋体" w:cs="Times New Roman"/>
                <w:color w:val="000000" w:themeColor="text1"/>
                <w:sz w:val="24"/>
                <w:highlight w:val="none"/>
                <w14:textFill>
                  <w14:solidFill>
                    <w14:schemeClr w14:val="tx1"/>
                  </w14:solidFill>
                </w14:textFill>
              </w:rPr>
              <w:t>类标准。</w:t>
            </w:r>
          </w:p>
          <w:p w14:paraId="4F790F0D">
            <w:pPr>
              <w:pStyle w:val="74"/>
              <w:keepNext w:val="0"/>
              <w:keepLines w:val="0"/>
              <w:suppressLineNumbers w:val="0"/>
              <w:spacing w:before="0" w:beforeAutospacing="0" w:after="0" w:afterAutospacing="0"/>
              <w:ind w:left="0" w:right="0" w:firstLine="482"/>
              <w:rPr>
                <w:rFonts w:hint="default"/>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4、</w:t>
            </w:r>
            <w:r>
              <w:rPr>
                <w:rFonts w:hint="default"/>
                <w:b/>
                <w:bCs/>
                <w:color w:val="000000" w:themeColor="text1"/>
                <w:sz w:val="24"/>
                <w:highlight w:val="none"/>
                <w14:textFill>
                  <w14:solidFill>
                    <w14:schemeClr w14:val="tx1"/>
                  </w14:solidFill>
                </w14:textFill>
              </w:rPr>
              <w:t>声环境</w:t>
            </w:r>
            <w:r>
              <w:rPr>
                <w:rFonts w:hint="eastAsia"/>
                <w:b/>
                <w:bCs/>
                <w:color w:val="000000" w:themeColor="text1"/>
                <w:sz w:val="24"/>
                <w:highlight w:val="none"/>
                <w14:textFill>
                  <w14:solidFill>
                    <w14:schemeClr w14:val="tx1"/>
                  </w14:solidFill>
                </w14:textFill>
              </w:rPr>
              <w:t>现状</w:t>
            </w:r>
          </w:p>
          <w:p w14:paraId="632ADE60">
            <w:pPr>
              <w:pStyle w:val="74"/>
              <w:keepNext w:val="0"/>
              <w:keepLines w:val="0"/>
              <w:suppressLineNumbers w:val="0"/>
              <w:spacing w:before="0" w:beforeAutospacing="0" w:after="0" w:afterAutospacing="0"/>
              <w:ind w:left="0" w:right="0" w:firstLine="480"/>
              <w:rPr>
                <w:rFonts w:hint="eastAsia"/>
                <w:color w:val="000000" w:themeColor="text1"/>
                <w:kern w:val="0"/>
                <w:sz w:val="24"/>
                <w:highlight w:val="none"/>
                <w:lang w:val="en-US" w:eastAsia="zh-CN"/>
                <w14:textFill>
                  <w14:solidFill>
                    <w14:schemeClr w14:val="tx1"/>
                  </w14:solidFill>
                </w14:textFill>
              </w:rPr>
            </w:pPr>
            <w:r>
              <w:rPr>
                <w:rFonts w:hint="default"/>
                <w:color w:val="000000" w:themeColor="text1"/>
                <w:sz w:val="24"/>
                <w:highlight w:val="none"/>
                <w14:textFill>
                  <w14:solidFill>
                    <w14:schemeClr w14:val="tx1"/>
                  </w14:solidFill>
                </w14:textFill>
              </w:rPr>
              <w:t>本项目委托黑龙江省津环碧诚环境检测有限责任公司对恒山220kV变电站、鸡西500kV变电站出线位置、拟建线路检测点位、改造线路、环境敏感目标</w:t>
            </w:r>
            <w:r>
              <w:rPr>
                <w:rFonts w:hint="eastAsia"/>
                <w:color w:val="000000" w:themeColor="text1"/>
                <w:sz w:val="24"/>
                <w:highlight w:val="none"/>
                <w14:textFill>
                  <w14:solidFill>
                    <w14:schemeClr w14:val="tx1"/>
                  </w14:solidFill>
                </w14:textFill>
              </w:rPr>
              <w:t>处</w:t>
            </w:r>
            <w:r>
              <w:rPr>
                <w:rFonts w:hint="default"/>
                <w:color w:val="000000" w:themeColor="text1"/>
                <w:sz w:val="24"/>
                <w:highlight w:val="none"/>
                <w14:textFill>
                  <w14:solidFill>
                    <w14:schemeClr w14:val="tx1"/>
                  </w14:solidFill>
                </w14:textFill>
              </w:rPr>
              <w:t>声环境现状进行了监测，监测日期</w:t>
            </w:r>
            <w:r>
              <w:rPr>
                <w:rFonts w:hint="eastAsia"/>
                <w:color w:val="000000" w:themeColor="text1"/>
                <w:sz w:val="24"/>
                <w:highlight w:val="none"/>
                <w14:textFill>
                  <w14:solidFill>
                    <w14:schemeClr w14:val="tx1"/>
                  </w14:solidFill>
                </w14:textFill>
              </w:rPr>
              <w:t>为202</w:t>
            </w:r>
            <w:r>
              <w:rPr>
                <w:rFonts w:hint="eastAsia"/>
                <w:color w:val="000000" w:themeColor="text1"/>
                <w:sz w:val="24"/>
                <w:highlight w:val="none"/>
                <w:lang w:val="en-US" w:eastAsia="zh-CN"/>
                <w14:textFill>
                  <w14:solidFill>
                    <w14:schemeClr w14:val="tx1"/>
                  </w14:solidFill>
                </w14:textFill>
              </w:rPr>
              <w:t>4</w:t>
            </w:r>
            <w:r>
              <w:rPr>
                <w:rFonts w:hint="eastAsia"/>
                <w:color w:val="000000" w:themeColor="text1"/>
                <w:sz w:val="24"/>
                <w:highlight w:val="none"/>
                <w14:textFill>
                  <w14:solidFill>
                    <w14:schemeClr w14:val="tx1"/>
                  </w14:solidFill>
                </w14:textFill>
              </w:rPr>
              <w:t>年</w:t>
            </w:r>
            <w:r>
              <w:rPr>
                <w:rFonts w:hint="eastAsia"/>
                <w:color w:val="000000" w:themeColor="text1"/>
                <w:sz w:val="24"/>
                <w:highlight w:val="none"/>
                <w:lang w:val="en-US" w:eastAsia="zh-CN"/>
                <w14:textFill>
                  <w14:solidFill>
                    <w14:schemeClr w14:val="tx1"/>
                  </w14:solidFill>
                </w14:textFill>
              </w:rPr>
              <w:t>11</w:t>
            </w:r>
            <w:r>
              <w:rPr>
                <w:rFonts w:hint="eastAsia"/>
                <w:color w:val="000000" w:themeColor="text1"/>
                <w:sz w:val="24"/>
                <w:highlight w:val="none"/>
                <w14:textFill>
                  <w14:solidFill>
                    <w14:schemeClr w14:val="tx1"/>
                  </w14:solidFill>
                </w14:textFill>
              </w:rPr>
              <w:t>月</w:t>
            </w:r>
            <w:r>
              <w:rPr>
                <w:rFonts w:hint="eastAsia"/>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14:textFill>
                  <w14:solidFill>
                    <w14:schemeClr w14:val="tx1"/>
                  </w14:solidFill>
                </w14:textFill>
              </w:rPr>
              <w:t>日，室外温度</w:t>
            </w:r>
            <w:r>
              <w:rPr>
                <w:rFonts w:hint="eastAsia"/>
                <w:color w:val="000000" w:themeColor="text1"/>
                <w:sz w:val="24"/>
                <w:highlight w:val="none"/>
                <w:lang w:val="en-US" w:eastAsia="zh-CN"/>
                <w14:textFill>
                  <w14:solidFill>
                    <w14:schemeClr w14:val="tx1"/>
                  </w14:solidFill>
                </w14:textFill>
              </w:rPr>
              <w:t>0</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10℃</w:t>
            </w:r>
            <w:r>
              <w:rPr>
                <w:rFonts w:hint="eastAsia"/>
                <w:color w:val="000000" w:themeColor="text1"/>
                <w:sz w:val="24"/>
                <w:highlight w:val="none"/>
                <w14:textFill>
                  <w14:solidFill>
                    <w14:schemeClr w14:val="tx1"/>
                  </w14:solidFill>
                </w14:textFill>
              </w:rPr>
              <w:t>，室外湿度28.4-39.7%RH，风速3.4~5.4m/s，</w:t>
            </w:r>
            <w:r>
              <w:rPr>
                <w:rFonts w:hint="eastAsia"/>
                <w:color w:val="auto"/>
                <w:sz w:val="24"/>
                <w:highlight w:val="none"/>
              </w:rPr>
              <w:t>监测仪器为AWA568</w:t>
            </w:r>
            <w:r>
              <w:rPr>
                <w:rFonts w:hint="eastAsia"/>
                <w:color w:val="auto"/>
                <w:sz w:val="24"/>
                <w:highlight w:val="none"/>
                <w:lang w:val="en-US" w:eastAsia="zh-CN"/>
              </w:rPr>
              <w:t>8</w:t>
            </w:r>
            <w:r>
              <w:rPr>
                <w:rFonts w:hint="eastAsia"/>
                <w:color w:val="auto"/>
                <w:sz w:val="24"/>
                <w:highlight w:val="none"/>
              </w:rPr>
              <w:t>型多功能声级计</w:t>
            </w:r>
            <w:r>
              <w:rPr>
                <w:rFonts w:hint="eastAsia"/>
                <w:color w:val="auto"/>
                <w:kern w:val="0"/>
                <w:sz w:val="24"/>
                <w:highlight w:val="none"/>
                <w:lang w:val="en-US" w:eastAsia="zh-CN"/>
              </w:rPr>
              <w:t>及AWA6022A型声校准器</w:t>
            </w:r>
            <w:r>
              <w:rPr>
                <w:rFonts w:hint="eastAsia"/>
                <w:color w:val="000000" w:themeColor="text1"/>
                <w:kern w:val="0"/>
                <w:sz w:val="24"/>
                <w:highlight w:val="none"/>
                <w:lang w:val="en-US" w:eastAsia="zh-CN"/>
                <w14:textFill>
                  <w14:solidFill>
                    <w14:schemeClr w14:val="tx1"/>
                  </w14:solidFill>
                </w14:textFill>
              </w:rPr>
              <w:t>。</w:t>
            </w:r>
          </w:p>
          <w:p w14:paraId="10C086F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w:t>
            </w:r>
            <w:r>
              <w:rPr>
                <w:rFonts w:hint="eastAsia" w:cs="Times New Roman"/>
                <w:b/>
                <w:bCs/>
                <w:color w:val="000000" w:themeColor="text1"/>
                <w:kern w:val="2"/>
                <w:sz w:val="24"/>
                <w:szCs w:val="24"/>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噪声分析仪技术指标</w:t>
            </w:r>
          </w:p>
          <w:tbl>
            <w:tblPr>
              <w:tblStyle w:val="30"/>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2310"/>
              <w:gridCol w:w="3638"/>
              <w:gridCol w:w="2079"/>
            </w:tblGrid>
            <w:tr w14:paraId="67CDF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26" w:type="pct"/>
                  <w:tcBorders>
                    <w:tl2br w:val="nil"/>
                    <w:tr2bl w:val="nil"/>
                  </w:tcBorders>
                  <w:vAlign w:val="center"/>
                </w:tcPr>
                <w:p w14:paraId="7BD1E1EF">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序号</w:t>
                  </w:r>
                </w:p>
              </w:tc>
              <w:tc>
                <w:tcPr>
                  <w:tcW w:w="1258" w:type="pct"/>
                  <w:tcBorders>
                    <w:tl2br w:val="nil"/>
                    <w:tr2bl w:val="nil"/>
                  </w:tcBorders>
                  <w:vAlign w:val="center"/>
                </w:tcPr>
                <w:p w14:paraId="461FB108">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检测项目</w:t>
                  </w:r>
                </w:p>
              </w:tc>
              <w:tc>
                <w:tcPr>
                  <w:tcW w:w="1981" w:type="pct"/>
                  <w:tcBorders>
                    <w:tl2br w:val="nil"/>
                    <w:tr2bl w:val="nil"/>
                  </w:tcBorders>
                  <w:vAlign w:val="center"/>
                </w:tcPr>
                <w:p w14:paraId="316ADD41">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仪器名称及型号</w:t>
                  </w:r>
                </w:p>
              </w:tc>
              <w:tc>
                <w:tcPr>
                  <w:tcW w:w="1132" w:type="pct"/>
                  <w:tcBorders>
                    <w:tl2br w:val="nil"/>
                    <w:tr2bl w:val="nil"/>
                  </w:tcBorders>
                  <w:vAlign w:val="center"/>
                </w:tcPr>
                <w:p w14:paraId="5F6E1F38">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仪器设备编号</w:t>
                  </w:r>
                </w:p>
              </w:tc>
            </w:tr>
            <w:tr w14:paraId="5CB0E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26" w:type="pct"/>
                  <w:tcBorders>
                    <w:tl2br w:val="nil"/>
                    <w:tr2bl w:val="nil"/>
                  </w:tcBorders>
                  <w:vAlign w:val="center"/>
                </w:tcPr>
                <w:p w14:paraId="22887EDA">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1</w:t>
                  </w:r>
                </w:p>
              </w:tc>
              <w:tc>
                <w:tcPr>
                  <w:tcW w:w="1258" w:type="pct"/>
                  <w:tcBorders>
                    <w:tl2br w:val="nil"/>
                    <w:tr2bl w:val="nil"/>
                  </w:tcBorders>
                  <w:vAlign w:val="center"/>
                </w:tcPr>
                <w:p w14:paraId="55D1D07D">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工业企业厂界噪声</w:t>
                  </w:r>
                </w:p>
              </w:tc>
              <w:tc>
                <w:tcPr>
                  <w:tcW w:w="1981" w:type="pct"/>
                  <w:vMerge w:val="restart"/>
                  <w:tcBorders>
                    <w:tl2br w:val="nil"/>
                    <w:tr2bl w:val="nil"/>
                  </w:tcBorders>
                  <w:vAlign w:val="center"/>
                </w:tcPr>
                <w:p w14:paraId="01007CF1">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多功能声级计</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 xml:space="preserve"> </w:t>
                  </w:r>
                  <w:r>
                    <w:rPr>
                      <w:rFonts w:hint="eastAsia" w:ascii="Times New Roman" w:hAnsi="Times New Roman" w:cs="Times New Roman"/>
                      <w:color w:val="000000" w:themeColor="text1"/>
                      <w:sz w:val="21"/>
                      <w:szCs w:val="21"/>
                      <w:vertAlign w:val="baseline"/>
                      <w:lang w:eastAsia="zh-CN"/>
                      <w14:textFill>
                        <w14:solidFill>
                          <w14:schemeClr w14:val="tx1"/>
                        </w14:solidFill>
                      </w14:textFill>
                    </w:rPr>
                    <w:t>AWA5688</w:t>
                  </w:r>
                </w:p>
                <w:p w14:paraId="3AD289BD">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声校准器 AWA6022A</w:t>
                  </w:r>
                </w:p>
              </w:tc>
              <w:tc>
                <w:tcPr>
                  <w:tcW w:w="1132" w:type="pct"/>
                  <w:vMerge w:val="restart"/>
                  <w:tcBorders>
                    <w:tl2br w:val="nil"/>
                    <w:tr2bl w:val="nil"/>
                  </w:tcBorders>
                  <w:vAlign w:val="center"/>
                </w:tcPr>
                <w:p w14:paraId="40A97F5E">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JHSB-B00</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1</w:t>
                  </w:r>
                </w:p>
                <w:p w14:paraId="087DC389">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JHSB-B00</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2</w:t>
                  </w:r>
                </w:p>
              </w:tc>
            </w:tr>
            <w:tr w14:paraId="4525E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26" w:type="pct"/>
                  <w:vAlign w:val="center"/>
                </w:tcPr>
                <w:p w14:paraId="7BE73D15">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2</w:t>
                  </w:r>
                </w:p>
              </w:tc>
              <w:tc>
                <w:tcPr>
                  <w:tcW w:w="1258" w:type="pct"/>
                  <w:vAlign w:val="center"/>
                </w:tcPr>
                <w:p w14:paraId="45586DF8">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eastAsia="zh-CN"/>
                      <w14:textFill>
                        <w14:solidFill>
                          <w14:schemeClr w14:val="tx1"/>
                        </w14:solidFill>
                      </w14:textFill>
                    </w:rPr>
                    <w:t>环境噪声</w:t>
                  </w:r>
                </w:p>
              </w:tc>
              <w:tc>
                <w:tcPr>
                  <w:tcW w:w="1981" w:type="pct"/>
                  <w:vMerge w:val="continue"/>
                  <w:vAlign w:val="center"/>
                </w:tcPr>
                <w:p w14:paraId="617EDDF7">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p>
              </w:tc>
              <w:tc>
                <w:tcPr>
                  <w:tcW w:w="1132" w:type="pct"/>
                  <w:vMerge w:val="continue"/>
                  <w:vAlign w:val="center"/>
                </w:tcPr>
                <w:p w14:paraId="291C650C">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p>
              </w:tc>
            </w:tr>
          </w:tbl>
          <w:p w14:paraId="5B58607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eastAsia="宋体"/>
                <w:color w:val="000000" w:themeColor="text1"/>
                <w:kern w:val="0"/>
                <w:sz w:val="24"/>
                <w:lang w:eastAsia="zh-CN"/>
                <w14:textFill>
                  <w14:solidFill>
                    <w14:schemeClr w14:val="tx1"/>
                  </w14:solidFill>
                </w14:textFill>
              </w:rPr>
            </w:pPr>
            <w:r>
              <w:rPr>
                <w:rFonts w:hint="default"/>
              </w:rPr>
              <w:drawing>
                <wp:inline distT="0" distB="0" distL="114300" distR="114300">
                  <wp:extent cx="4772660" cy="3933190"/>
                  <wp:effectExtent l="0" t="0" r="8890" b="1016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20"/>
                          <a:stretch>
                            <a:fillRect/>
                          </a:stretch>
                        </pic:blipFill>
                        <pic:spPr>
                          <a:xfrm>
                            <a:off x="0" y="0"/>
                            <a:ext cx="4772660" cy="3933190"/>
                          </a:xfrm>
                          <a:prstGeom prst="rect">
                            <a:avLst/>
                          </a:prstGeom>
                          <a:noFill/>
                          <a:ln>
                            <a:noFill/>
                          </a:ln>
                        </pic:spPr>
                      </pic:pic>
                    </a:graphicData>
                  </a:graphic>
                </wp:inline>
              </w:drawing>
            </w:r>
          </w:p>
          <w:p w14:paraId="7D88B6B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eastAsia="宋体"/>
                <w:color w:val="000000" w:themeColor="text1"/>
                <w:kern w:val="0"/>
                <w:sz w:val="24"/>
                <w:lang w:eastAsia="zh-CN"/>
                <w14:textFill>
                  <w14:solidFill>
                    <w14:schemeClr w14:val="tx1"/>
                  </w14:solidFill>
                </w14:textFill>
              </w:rPr>
            </w:pPr>
            <w:r>
              <w:rPr>
                <w:rFonts w:hint="eastAsia" w:cs="Times New Roman"/>
                <w:b/>
                <w:bCs/>
                <w:color w:val="000000" w:themeColor="text1"/>
                <w:kern w:val="2"/>
                <w:sz w:val="24"/>
                <w:szCs w:val="24"/>
                <w:lang w:val="en-US" w:eastAsia="zh-CN" w:bidi="ar-SA"/>
                <w14:textFill>
                  <w14:solidFill>
                    <w14:schemeClr w14:val="tx1"/>
                  </w14:solidFill>
                </w14:textFill>
              </w:rPr>
              <w:t>图 3-4</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鸡西</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变电站</w:t>
            </w:r>
            <w:r>
              <w:rPr>
                <w:rFonts w:hint="eastAsia" w:cs="Times New Roman"/>
                <w:b/>
                <w:bCs/>
                <w:color w:val="000000" w:themeColor="text1"/>
                <w:kern w:val="2"/>
                <w:sz w:val="24"/>
                <w:szCs w:val="24"/>
                <w:lang w:val="en-US" w:eastAsia="zh-CN" w:bidi="ar-SA"/>
                <w14:textFill>
                  <w14:solidFill>
                    <w14:schemeClr w14:val="tx1"/>
                  </w14:solidFill>
                </w14:textFill>
              </w:rPr>
              <w:t>出线位置</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检测点位示意图</w:t>
            </w:r>
          </w:p>
          <w:p w14:paraId="7464226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eastAsia="宋体"/>
                <w:color w:val="000000" w:themeColor="text1"/>
                <w:kern w:val="0"/>
                <w:sz w:val="24"/>
                <w:lang w:eastAsia="zh-CN"/>
                <w14:textFill>
                  <w14:solidFill>
                    <w14:schemeClr w14:val="tx1"/>
                  </w14:solidFill>
                </w14:textFill>
              </w:rPr>
            </w:pPr>
            <w:r>
              <w:rPr>
                <w:rFonts w:hint="default"/>
              </w:rPr>
              <w:drawing>
                <wp:inline distT="0" distB="0" distL="114300" distR="114300">
                  <wp:extent cx="4039235" cy="3416300"/>
                  <wp:effectExtent l="0" t="0" r="18415" b="1270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1"/>
                          <a:stretch>
                            <a:fillRect/>
                          </a:stretch>
                        </pic:blipFill>
                        <pic:spPr>
                          <a:xfrm>
                            <a:off x="0" y="0"/>
                            <a:ext cx="4039235" cy="3416300"/>
                          </a:xfrm>
                          <a:prstGeom prst="rect">
                            <a:avLst/>
                          </a:prstGeom>
                          <a:noFill/>
                          <a:ln>
                            <a:noFill/>
                          </a:ln>
                        </pic:spPr>
                      </pic:pic>
                    </a:graphicData>
                  </a:graphic>
                </wp:inline>
              </w:drawing>
            </w:r>
          </w:p>
          <w:p w14:paraId="6FF868B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cs="Times New Roman"/>
                <w:b/>
                <w:bCs/>
                <w:color w:val="000000" w:themeColor="text1"/>
                <w:kern w:val="2"/>
                <w:sz w:val="24"/>
                <w:szCs w:val="24"/>
                <w:lang w:val="en-US" w:eastAsia="zh-CN" w:bidi="ar-SA"/>
                <w14:textFill>
                  <w14:solidFill>
                    <w14:schemeClr w14:val="tx1"/>
                  </w14:solidFill>
                </w14:textFill>
              </w:rPr>
              <w:t>图 3-5</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恒山</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变电站检测点位示意图</w:t>
            </w:r>
          </w:p>
          <w:p w14:paraId="51AE785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rPr>
              <w:drawing>
                <wp:inline distT="0" distB="0" distL="114300" distR="114300">
                  <wp:extent cx="4039235" cy="3892550"/>
                  <wp:effectExtent l="0" t="0" r="18415" b="1270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22"/>
                          <a:stretch>
                            <a:fillRect/>
                          </a:stretch>
                        </pic:blipFill>
                        <pic:spPr>
                          <a:xfrm>
                            <a:off x="0" y="0"/>
                            <a:ext cx="4039235" cy="3892550"/>
                          </a:xfrm>
                          <a:prstGeom prst="rect">
                            <a:avLst/>
                          </a:prstGeom>
                          <a:noFill/>
                          <a:ln>
                            <a:noFill/>
                          </a:ln>
                        </pic:spPr>
                      </pic:pic>
                    </a:graphicData>
                  </a:graphic>
                </wp:inline>
              </w:drawing>
            </w:r>
          </w:p>
          <w:p w14:paraId="5D5BE1DA">
            <w:pPr>
              <w:pStyle w:val="74"/>
              <w:keepNext w:val="0"/>
              <w:keepLines w:val="0"/>
              <w:suppressLineNumbers w:val="0"/>
              <w:spacing w:before="0" w:beforeAutospacing="0" w:after="0" w:afterAutospacing="0"/>
              <w:ind w:left="0" w:right="0" w:firstLine="480"/>
              <w:jc w:val="center"/>
              <w:rPr>
                <w:rFonts w:hint="eastAsia" w:cs="Times New Roman"/>
                <w:b/>
                <w:bCs/>
                <w:color w:val="000000" w:themeColor="text1"/>
                <w:kern w:val="2"/>
                <w:sz w:val="24"/>
                <w:szCs w:val="24"/>
                <w:lang w:val="en-US" w:eastAsia="zh-CN" w:bidi="ar-SA"/>
                <w14:textFill>
                  <w14:solidFill>
                    <w14:schemeClr w14:val="tx1"/>
                  </w14:solidFill>
                </w14:textFill>
              </w:rPr>
            </w:pPr>
            <w:r>
              <w:rPr>
                <w:rFonts w:hint="eastAsia" w:cs="Times New Roman"/>
                <w:b/>
                <w:bCs/>
                <w:color w:val="000000" w:themeColor="text1"/>
                <w:kern w:val="2"/>
                <w:sz w:val="24"/>
                <w:szCs w:val="24"/>
                <w:lang w:val="en-US" w:eastAsia="zh-CN" w:bidi="ar-SA"/>
                <w14:textFill>
                  <w14:solidFill>
                    <w14:schemeClr w14:val="tx1"/>
                  </w14:solidFill>
                </w14:textFill>
              </w:rPr>
              <w:t>图 3-6</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改造</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输电线路</w:t>
            </w:r>
            <w:r>
              <w:rPr>
                <w:rFonts w:hint="eastAsia" w:cs="Times New Roman"/>
                <w:b/>
                <w:bCs/>
                <w:color w:val="000000" w:themeColor="text1"/>
                <w:kern w:val="2"/>
                <w:sz w:val="24"/>
                <w:szCs w:val="24"/>
                <w:lang w:val="en-US" w:eastAsia="zh-CN" w:bidi="ar-SA"/>
                <w14:textFill>
                  <w14:solidFill>
                    <w14:schemeClr w14:val="tx1"/>
                  </w14:solidFill>
                </w14:textFill>
              </w:rPr>
              <w:t>检测点位图</w:t>
            </w:r>
          </w:p>
          <w:p w14:paraId="40D95659">
            <w:pPr>
              <w:pStyle w:val="74"/>
              <w:keepNext w:val="0"/>
              <w:keepLines w:val="0"/>
              <w:suppressLineNumbers w:val="0"/>
              <w:spacing w:before="0" w:beforeAutospacing="0" w:after="0" w:afterAutospacing="0"/>
              <w:ind w:left="0" w:right="0" w:firstLine="480"/>
              <w:jc w:val="center"/>
              <w:rPr>
                <w:rFonts w:hint="default"/>
              </w:rPr>
            </w:pPr>
            <w:r>
              <w:rPr>
                <w:rFonts w:hint="default"/>
              </w:rPr>
              <w:drawing>
                <wp:inline distT="0" distB="0" distL="114300" distR="114300">
                  <wp:extent cx="4338320" cy="3201670"/>
                  <wp:effectExtent l="0" t="0" r="5080" b="17780"/>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23"/>
                          <a:stretch>
                            <a:fillRect/>
                          </a:stretch>
                        </pic:blipFill>
                        <pic:spPr>
                          <a:xfrm>
                            <a:off x="0" y="0"/>
                            <a:ext cx="4338320" cy="3201670"/>
                          </a:xfrm>
                          <a:prstGeom prst="rect">
                            <a:avLst/>
                          </a:prstGeom>
                          <a:noFill/>
                          <a:ln>
                            <a:noFill/>
                          </a:ln>
                        </pic:spPr>
                      </pic:pic>
                    </a:graphicData>
                  </a:graphic>
                </wp:inline>
              </w:drawing>
            </w:r>
          </w:p>
          <w:p w14:paraId="78A1F57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lang w:val="en-US" w:eastAsia="zh-CN"/>
              </w:rPr>
            </w:pPr>
            <w:r>
              <w:rPr>
                <w:rFonts w:hint="default"/>
              </w:rPr>
              <w:drawing>
                <wp:inline distT="0" distB="0" distL="114300" distR="114300">
                  <wp:extent cx="5709920" cy="2394585"/>
                  <wp:effectExtent l="0" t="0" r="5080" b="5715"/>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24"/>
                          <a:stretch>
                            <a:fillRect/>
                          </a:stretch>
                        </pic:blipFill>
                        <pic:spPr>
                          <a:xfrm>
                            <a:off x="0" y="0"/>
                            <a:ext cx="5709920" cy="2394585"/>
                          </a:xfrm>
                          <a:prstGeom prst="rect">
                            <a:avLst/>
                          </a:prstGeom>
                          <a:noFill/>
                          <a:ln>
                            <a:noFill/>
                          </a:ln>
                        </pic:spPr>
                      </pic:pic>
                    </a:graphicData>
                  </a:graphic>
                </wp:inline>
              </w:drawing>
            </w:r>
          </w:p>
          <w:p w14:paraId="1C531A3D">
            <w:pPr>
              <w:pStyle w:val="74"/>
              <w:keepNext w:val="0"/>
              <w:keepLines w:val="0"/>
              <w:suppressLineNumbers w:val="0"/>
              <w:spacing w:before="0" w:beforeAutospacing="0" w:after="0" w:afterAutospacing="0"/>
              <w:ind w:left="0" w:right="0" w:firstLine="480"/>
              <w:jc w:val="center"/>
              <w:rPr>
                <w:rFonts w:hint="default" w:cs="Times New Roman"/>
                <w:b/>
                <w:bCs/>
                <w:color w:val="000000" w:themeColor="text1"/>
                <w:kern w:val="2"/>
                <w:sz w:val="24"/>
                <w:szCs w:val="24"/>
                <w:lang w:val="en-US" w:eastAsia="zh-CN" w:bidi="ar-SA"/>
                <w14:textFill>
                  <w14:solidFill>
                    <w14:schemeClr w14:val="tx1"/>
                  </w14:solidFill>
                </w14:textFill>
              </w:rPr>
            </w:pPr>
            <w:r>
              <w:rPr>
                <w:rFonts w:hint="eastAsia" w:cs="Times New Roman"/>
                <w:b/>
                <w:bCs/>
                <w:color w:val="000000" w:themeColor="text1"/>
                <w:kern w:val="2"/>
                <w:sz w:val="24"/>
                <w:szCs w:val="24"/>
                <w:lang w:val="en-US" w:eastAsia="zh-CN" w:bidi="ar-SA"/>
                <w14:textFill>
                  <w14:solidFill>
                    <w14:schemeClr w14:val="tx1"/>
                  </w14:solidFill>
                </w14:textFill>
              </w:rPr>
              <w:t>图 3-7</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拟建</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输电线路</w:t>
            </w:r>
            <w:r>
              <w:rPr>
                <w:rFonts w:hint="eastAsia" w:cs="Times New Roman"/>
                <w:b/>
                <w:bCs/>
                <w:color w:val="000000" w:themeColor="text1"/>
                <w:kern w:val="2"/>
                <w:sz w:val="24"/>
                <w:szCs w:val="24"/>
                <w:lang w:val="en-US" w:eastAsia="zh-CN" w:bidi="ar-SA"/>
                <w14:textFill>
                  <w14:solidFill>
                    <w14:schemeClr w14:val="tx1"/>
                  </w14:solidFill>
                </w14:textFill>
              </w:rPr>
              <w:t>检测点位图</w:t>
            </w:r>
          </w:p>
          <w:p w14:paraId="5517A911">
            <w:pPr>
              <w:keepNext w:val="0"/>
              <w:keepLines w:val="0"/>
              <w:suppressLineNumbers w:val="0"/>
              <w:adjustRightInd w:val="0"/>
              <w:snapToGrid w:val="0"/>
              <w:spacing w:before="0" w:beforeAutospacing="0" w:after="0" w:afterAutospacing="0"/>
              <w:ind w:left="0" w:right="0"/>
              <w:jc w:val="center"/>
              <w:rPr>
                <w:rFonts w:hint="eastAsia"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3-</w:t>
            </w:r>
            <w:r>
              <w:rPr>
                <w:rFonts w:hint="eastAsia" w:cs="Times New Roman"/>
                <w:b/>
                <w:bCs/>
                <w:color w:val="000000" w:themeColor="text1"/>
                <w:kern w:val="2"/>
                <w:sz w:val="24"/>
                <w:szCs w:val="24"/>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检测工况</w:t>
            </w:r>
          </w:p>
          <w:tbl>
            <w:tblPr>
              <w:tblStyle w:val="30"/>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1079"/>
              <w:gridCol w:w="1458"/>
              <w:gridCol w:w="1341"/>
              <w:gridCol w:w="2066"/>
              <w:gridCol w:w="2146"/>
            </w:tblGrid>
            <w:tr w14:paraId="161CF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176" w:type="pct"/>
                  <w:gridSpan w:val="2"/>
                  <w:tcBorders>
                    <w:tl2br w:val="nil"/>
                    <w:tr2bl w:val="nil"/>
                  </w:tcBorders>
                  <w:noWrap w:val="0"/>
                  <w:vAlign w:val="center"/>
                </w:tcPr>
                <w:p w14:paraId="7C684E7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名称</w:t>
                  </w:r>
                </w:p>
              </w:tc>
              <w:tc>
                <w:tcPr>
                  <w:tcW w:w="795" w:type="pct"/>
                  <w:tcBorders>
                    <w:tl2br w:val="nil"/>
                    <w:tr2bl w:val="nil"/>
                  </w:tcBorders>
                  <w:noWrap w:val="0"/>
                  <w:vAlign w:val="center"/>
                </w:tcPr>
                <w:p w14:paraId="4B4E851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电压（kV）</w:t>
                  </w:r>
                </w:p>
              </w:tc>
              <w:tc>
                <w:tcPr>
                  <w:tcW w:w="731" w:type="pct"/>
                  <w:tcBorders>
                    <w:tl2br w:val="nil"/>
                    <w:tr2bl w:val="nil"/>
                  </w:tcBorders>
                  <w:noWrap w:val="0"/>
                  <w:vAlign w:val="center"/>
                </w:tcPr>
                <w:p w14:paraId="084506F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电流（A）</w:t>
                  </w:r>
                </w:p>
              </w:tc>
              <w:tc>
                <w:tcPr>
                  <w:tcW w:w="1126" w:type="pct"/>
                  <w:tcBorders>
                    <w:tl2br w:val="nil"/>
                    <w:tr2bl w:val="nil"/>
                  </w:tcBorders>
                  <w:noWrap w:val="0"/>
                  <w:vAlign w:val="center"/>
                </w:tcPr>
                <w:p w14:paraId="5394FFB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有功功率（MW）</w:t>
                  </w:r>
                </w:p>
              </w:tc>
              <w:tc>
                <w:tcPr>
                  <w:tcW w:w="1170" w:type="pct"/>
                  <w:tcBorders>
                    <w:tl2br w:val="nil"/>
                    <w:tr2bl w:val="nil"/>
                  </w:tcBorders>
                  <w:noWrap w:val="0"/>
                  <w:vAlign w:val="center"/>
                </w:tcPr>
                <w:p w14:paraId="0167A95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无功功率（Mvar）</w:t>
                  </w:r>
                </w:p>
              </w:tc>
            </w:tr>
            <w:tr w14:paraId="3E804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88" w:type="pct"/>
                  <w:vMerge w:val="restart"/>
                  <w:tcBorders>
                    <w:tl2br w:val="nil"/>
                    <w:tr2bl w:val="nil"/>
                  </w:tcBorders>
                  <w:noWrap w:val="0"/>
                  <w:vAlign w:val="center"/>
                </w:tcPr>
                <w:p w14:paraId="137D05B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恒山220kV变电站</w:t>
                  </w:r>
                </w:p>
              </w:tc>
              <w:tc>
                <w:tcPr>
                  <w:tcW w:w="588" w:type="pct"/>
                  <w:tcBorders>
                    <w:tl2br w:val="nil"/>
                    <w:tr2bl w:val="nil"/>
                  </w:tcBorders>
                  <w:noWrap w:val="0"/>
                  <w:vAlign w:val="center"/>
                </w:tcPr>
                <w:p w14:paraId="0A97C23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#1主变</w:t>
                  </w:r>
                </w:p>
              </w:tc>
              <w:tc>
                <w:tcPr>
                  <w:tcW w:w="795" w:type="pct"/>
                  <w:tcBorders>
                    <w:tl2br w:val="nil"/>
                    <w:tr2bl w:val="nil"/>
                  </w:tcBorders>
                  <w:noWrap w:val="0"/>
                  <w:vAlign w:val="center"/>
                </w:tcPr>
                <w:p w14:paraId="5AF4D73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233.11</w:t>
                  </w:r>
                </w:p>
              </w:tc>
              <w:tc>
                <w:tcPr>
                  <w:tcW w:w="731" w:type="pct"/>
                  <w:tcBorders>
                    <w:tl2br w:val="nil"/>
                    <w:tr2bl w:val="nil"/>
                  </w:tcBorders>
                  <w:noWrap w:val="0"/>
                  <w:vAlign w:val="center"/>
                </w:tcPr>
                <w:p w14:paraId="747E307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12.33</w:t>
                  </w:r>
                </w:p>
              </w:tc>
              <w:tc>
                <w:tcPr>
                  <w:tcW w:w="1126" w:type="pct"/>
                  <w:tcBorders>
                    <w:tl2br w:val="nil"/>
                    <w:tr2bl w:val="nil"/>
                  </w:tcBorders>
                  <w:noWrap w:val="0"/>
                  <w:vAlign w:val="center"/>
                </w:tcPr>
                <w:p w14:paraId="5C870B2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2.91</w:t>
                  </w:r>
                </w:p>
              </w:tc>
              <w:tc>
                <w:tcPr>
                  <w:tcW w:w="1170" w:type="pct"/>
                  <w:tcBorders>
                    <w:tl2br w:val="nil"/>
                    <w:tr2bl w:val="nil"/>
                  </w:tcBorders>
                  <w:noWrap w:val="0"/>
                  <w:vAlign w:val="center"/>
                </w:tcPr>
                <w:p w14:paraId="54F170C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-3.68</w:t>
                  </w:r>
                </w:p>
              </w:tc>
            </w:tr>
            <w:tr w14:paraId="395DF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88" w:type="pct"/>
                  <w:vMerge w:val="continue"/>
                  <w:tcBorders>
                    <w:tl2br w:val="nil"/>
                    <w:tr2bl w:val="nil"/>
                  </w:tcBorders>
                  <w:noWrap w:val="0"/>
                  <w:vAlign w:val="center"/>
                </w:tcPr>
                <w:p w14:paraId="64AD34E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88" w:type="pct"/>
                  <w:tcBorders>
                    <w:tl2br w:val="nil"/>
                    <w:tr2bl w:val="nil"/>
                  </w:tcBorders>
                  <w:noWrap w:val="0"/>
                  <w:vAlign w:val="center"/>
                </w:tcPr>
                <w:p w14:paraId="35FC0F42">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#2主变</w:t>
                  </w:r>
                </w:p>
              </w:tc>
              <w:tc>
                <w:tcPr>
                  <w:tcW w:w="795" w:type="pct"/>
                  <w:tcBorders>
                    <w:tl2br w:val="nil"/>
                    <w:tr2bl w:val="nil"/>
                  </w:tcBorders>
                  <w:noWrap w:val="0"/>
                  <w:vAlign w:val="center"/>
                </w:tcPr>
                <w:p w14:paraId="41D0D04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232.79</w:t>
                  </w:r>
                </w:p>
              </w:tc>
              <w:tc>
                <w:tcPr>
                  <w:tcW w:w="731" w:type="pct"/>
                  <w:tcBorders>
                    <w:tl2br w:val="nil"/>
                    <w:tr2bl w:val="nil"/>
                  </w:tcBorders>
                  <w:noWrap w:val="0"/>
                  <w:vAlign w:val="center"/>
                </w:tcPr>
                <w:p w14:paraId="159911F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11.56</w:t>
                  </w:r>
                </w:p>
              </w:tc>
              <w:tc>
                <w:tcPr>
                  <w:tcW w:w="1126" w:type="pct"/>
                  <w:tcBorders>
                    <w:tl2br w:val="nil"/>
                    <w:tr2bl w:val="nil"/>
                  </w:tcBorders>
                  <w:noWrap w:val="0"/>
                  <w:vAlign w:val="center"/>
                </w:tcPr>
                <w:p w14:paraId="332E6CA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3.30</w:t>
                  </w:r>
                </w:p>
              </w:tc>
              <w:tc>
                <w:tcPr>
                  <w:tcW w:w="1170" w:type="pct"/>
                  <w:tcBorders>
                    <w:tl2br w:val="nil"/>
                    <w:tr2bl w:val="nil"/>
                  </w:tcBorders>
                  <w:noWrap w:val="0"/>
                  <w:vAlign w:val="center"/>
                </w:tcPr>
                <w:p w14:paraId="3DC908A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-3.20</w:t>
                  </w:r>
                </w:p>
              </w:tc>
            </w:tr>
            <w:tr w14:paraId="4B5F9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176" w:type="pct"/>
                  <w:gridSpan w:val="2"/>
                  <w:tcBorders>
                    <w:tl2br w:val="nil"/>
                    <w:tr2bl w:val="nil"/>
                  </w:tcBorders>
                  <w:noWrap w:val="0"/>
                  <w:vAlign w:val="center"/>
                </w:tcPr>
                <w:p w14:paraId="6072C00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鸡联变-恒山变甲线</w:t>
                  </w:r>
                </w:p>
              </w:tc>
              <w:tc>
                <w:tcPr>
                  <w:tcW w:w="795" w:type="pct"/>
                  <w:tcBorders>
                    <w:tl2br w:val="nil"/>
                    <w:tr2bl w:val="nil"/>
                  </w:tcBorders>
                  <w:noWrap w:val="0"/>
                  <w:vAlign w:val="center"/>
                </w:tcPr>
                <w:p w14:paraId="3897F49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232.53</w:t>
                  </w:r>
                </w:p>
              </w:tc>
              <w:tc>
                <w:tcPr>
                  <w:tcW w:w="731" w:type="pct"/>
                  <w:tcBorders>
                    <w:tl2br w:val="nil"/>
                    <w:tr2bl w:val="nil"/>
                  </w:tcBorders>
                  <w:noWrap w:val="0"/>
                  <w:vAlign w:val="center"/>
                </w:tcPr>
                <w:p w14:paraId="5F8AAFB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11.87</w:t>
                  </w:r>
                </w:p>
              </w:tc>
              <w:tc>
                <w:tcPr>
                  <w:tcW w:w="1126" w:type="pct"/>
                  <w:tcBorders>
                    <w:tl2br w:val="nil"/>
                    <w:tr2bl w:val="nil"/>
                  </w:tcBorders>
                  <w:noWrap w:val="0"/>
                  <w:vAlign w:val="center"/>
                </w:tcPr>
                <w:p w14:paraId="0A69B59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3.50</w:t>
                  </w:r>
                </w:p>
              </w:tc>
              <w:tc>
                <w:tcPr>
                  <w:tcW w:w="1170" w:type="pct"/>
                  <w:tcBorders>
                    <w:tl2br w:val="nil"/>
                    <w:tr2bl w:val="nil"/>
                  </w:tcBorders>
                  <w:noWrap w:val="0"/>
                  <w:vAlign w:val="center"/>
                </w:tcPr>
                <w:p w14:paraId="61912E5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-3.54</w:t>
                  </w:r>
                </w:p>
              </w:tc>
            </w:tr>
            <w:tr w14:paraId="5312B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176" w:type="pct"/>
                  <w:gridSpan w:val="2"/>
                  <w:tcBorders>
                    <w:tl2br w:val="nil"/>
                    <w:tr2bl w:val="nil"/>
                  </w:tcBorders>
                  <w:noWrap w:val="0"/>
                  <w:vAlign w:val="center"/>
                </w:tcPr>
                <w:p w14:paraId="0643561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鸡联变-恒山变</w:t>
                  </w:r>
                  <w:r>
                    <w:rPr>
                      <w:rFonts w:hint="eastAsia" w:ascii="Times New Roman" w:hAnsi="Times New Roman" w:eastAsia="宋体" w:cs="Times New Roman"/>
                      <w:color w:val="000000" w:themeColor="text1"/>
                      <w:szCs w:val="21"/>
                      <w:lang w:val="en-US" w:eastAsia="zh-CN"/>
                      <w14:textFill>
                        <w14:solidFill>
                          <w14:schemeClr w14:val="tx1"/>
                        </w14:solidFill>
                      </w14:textFill>
                    </w:rPr>
                    <w:t>乙</w:t>
                  </w:r>
                  <w:r>
                    <w:rPr>
                      <w:rFonts w:hint="default" w:ascii="Times New Roman" w:hAnsi="Times New Roman" w:eastAsia="宋体" w:cs="Times New Roman"/>
                      <w:color w:val="000000" w:themeColor="text1"/>
                      <w:szCs w:val="21"/>
                      <w:lang w:val="en-US" w:eastAsia="zh-CN"/>
                      <w14:textFill>
                        <w14:solidFill>
                          <w14:schemeClr w14:val="tx1"/>
                        </w14:solidFill>
                      </w14:textFill>
                    </w:rPr>
                    <w:t>线</w:t>
                  </w:r>
                </w:p>
              </w:tc>
              <w:tc>
                <w:tcPr>
                  <w:tcW w:w="795" w:type="pct"/>
                  <w:tcBorders>
                    <w:tl2br w:val="nil"/>
                    <w:tr2bl w:val="nil"/>
                  </w:tcBorders>
                  <w:noWrap w:val="0"/>
                  <w:vAlign w:val="center"/>
                </w:tcPr>
                <w:p w14:paraId="19B717A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232.66</w:t>
                  </w:r>
                </w:p>
              </w:tc>
              <w:tc>
                <w:tcPr>
                  <w:tcW w:w="731" w:type="pct"/>
                  <w:tcBorders>
                    <w:tl2br w:val="nil"/>
                    <w:tr2bl w:val="nil"/>
                  </w:tcBorders>
                  <w:noWrap w:val="0"/>
                  <w:vAlign w:val="center"/>
                </w:tcPr>
                <w:p w14:paraId="187F5F5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12.58</w:t>
                  </w:r>
                </w:p>
              </w:tc>
              <w:tc>
                <w:tcPr>
                  <w:tcW w:w="1126" w:type="pct"/>
                  <w:tcBorders>
                    <w:tl2br w:val="nil"/>
                    <w:tr2bl w:val="nil"/>
                  </w:tcBorders>
                  <w:noWrap w:val="0"/>
                  <w:vAlign w:val="center"/>
                </w:tcPr>
                <w:p w14:paraId="15805CE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3.97</w:t>
                  </w:r>
                </w:p>
              </w:tc>
              <w:tc>
                <w:tcPr>
                  <w:tcW w:w="1170" w:type="pct"/>
                  <w:tcBorders>
                    <w:tl2br w:val="nil"/>
                    <w:tr2bl w:val="nil"/>
                  </w:tcBorders>
                  <w:noWrap w:val="0"/>
                  <w:vAlign w:val="center"/>
                </w:tcPr>
                <w:p w14:paraId="29C4F56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-3.13</w:t>
                  </w:r>
                </w:p>
              </w:tc>
            </w:tr>
          </w:tbl>
          <w:p w14:paraId="7F008D09">
            <w:pPr>
              <w:keepNext w:val="0"/>
              <w:keepLines w:val="0"/>
              <w:suppressLineNumbers w:val="0"/>
              <w:adjustRightInd w:val="0"/>
              <w:snapToGrid w:val="0"/>
              <w:spacing w:before="0" w:beforeAutospacing="0" w:after="0" w:afterAutospacing="0"/>
              <w:ind w:left="0" w:right="0"/>
              <w:jc w:val="center"/>
              <w:rPr>
                <w:rFonts w:hint="eastAsia" w:cs="Times New Roman"/>
                <w:b/>
                <w:bCs/>
                <w:color w:val="000000" w:themeColor="text1"/>
                <w:kern w:val="2"/>
                <w:sz w:val="24"/>
                <w:szCs w:val="24"/>
                <w:lang w:val="en-US" w:eastAsia="zh-CN" w:bidi="ar-SA"/>
                <w14:textFill>
                  <w14:solidFill>
                    <w14:schemeClr w14:val="tx1"/>
                  </w14:solidFill>
                </w14:textFill>
              </w:rPr>
            </w:pPr>
            <w:r>
              <w:rPr>
                <w:rFonts w:hint="eastAsia" w:cs="Times New Roman"/>
                <w:b/>
                <w:bCs/>
                <w:color w:val="000000" w:themeColor="text1"/>
                <w:kern w:val="2"/>
                <w:sz w:val="24"/>
                <w:szCs w:val="24"/>
                <w:lang w:val="en-US" w:eastAsia="zh-CN" w:bidi="ar-SA"/>
                <w14:textFill>
                  <w14:solidFill>
                    <w14:schemeClr w14:val="tx1"/>
                  </w14:solidFill>
                </w14:textFill>
              </w:rPr>
              <w:t xml:space="preserve">表 3-4 </w:t>
            </w:r>
            <w:r>
              <w:rPr>
                <w:rFonts w:hint="eastAsia"/>
                <w:b/>
                <w:lang w:val="en-US" w:eastAsia="zh-CN"/>
              </w:rPr>
              <w:t>本项目声</w:t>
            </w:r>
            <w:r>
              <w:rPr>
                <w:rFonts w:hint="default"/>
                <w:b/>
              </w:rPr>
              <w:t>环境检测结果</w:t>
            </w:r>
          </w:p>
          <w:tbl>
            <w:tblPr>
              <w:tblStyle w:val="3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817"/>
              <w:gridCol w:w="949"/>
              <w:gridCol w:w="3386"/>
              <w:gridCol w:w="1121"/>
              <w:gridCol w:w="767"/>
              <w:gridCol w:w="1000"/>
              <w:gridCol w:w="707"/>
            </w:tblGrid>
            <w:tr w14:paraId="08626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Merge w:val="restart"/>
                  <w:vAlign w:val="center"/>
                </w:tcPr>
                <w:p w14:paraId="1AF23CF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编号</w:t>
                  </w:r>
                </w:p>
              </w:tc>
              <w:tc>
                <w:tcPr>
                  <w:tcW w:w="445" w:type="pct"/>
                  <w:vMerge w:val="restart"/>
                  <w:vAlign w:val="center"/>
                </w:tcPr>
                <w:p w14:paraId="249F505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监测日期</w:t>
                  </w:r>
                </w:p>
              </w:tc>
              <w:tc>
                <w:tcPr>
                  <w:tcW w:w="2363" w:type="pct"/>
                  <w:gridSpan w:val="2"/>
                  <w:vMerge w:val="restart"/>
                  <w:vAlign w:val="center"/>
                </w:tcPr>
                <w:p w14:paraId="3BA6C584">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检测点位置</w:t>
                  </w:r>
                </w:p>
              </w:tc>
              <w:tc>
                <w:tcPr>
                  <w:tcW w:w="1960" w:type="pct"/>
                  <w:gridSpan w:val="4"/>
                  <w:vAlign w:val="center"/>
                </w:tcPr>
                <w:p w14:paraId="113E021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检测结果Leq dB</w:t>
                  </w:r>
                  <w:r>
                    <w:rPr>
                      <w:rFonts w:hint="eastAsia" w:ascii="Times New Roman" w:hAnsi="Times New Roman" w:eastAsia="宋体" w:cs="Times New Roman"/>
                      <w:color w:val="000000" w:themeColor="text1"/>
                      <w:szCs w:val="21"/>
                      <w:lang w:val="en-US" w:eastAsia="zh-CN"/>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A</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r>
            <w:tr w14:paraId="46549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Merge w:val="continue"/>
                  <w:vAlign w:val="center"/>
                </w:tcPr>
                <w:p w14:paraId="5F00522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445" w:type="pct"/>
                  <w:vMerge w:val="continue"/>
                  <w:vAlign w:val="center"/>
                </w:tcPr>
                <w:p w14:paraId="51BC6E80">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2363" w:type="pct"/>
                  <w:gridSpan w:val="2"/>
                  <w:vMerge w:val="continue"/>
                  <w:vAlign w:val="center"/>
                </w:tcPr>
                <w:p w14:paraId="0CA7205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029" w:type="pct"/>
                  <w:gridSpan w:val="2"/>
                  <w:vAlign w:val="center"/>
                </w:tcPr>
                <w:p w14:paraId="6559C86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11</w:t>
                  </w:r>
                  <w:r>
                    <w:rPr>
                      <w:rFonts w:hint="eastAsia" w:ascii="Times New Roman" w:hAnsi="Times New Roman" w:eastAsia="宋体" w:cs="Times New Roman"/>
                      <w:color w:val="000000" w:themeColor="text1"/>
                      <w:szCs w:val="21"/>
                      <w:lang w:val="en-US" w:eastAsia="zh-CN"/>
                      <w14:textFill>
                        <w14:solidFill>
                          <w14:schemeClr w14:val="tx1"/>
                        </w14:solidFill>
                      </w14:textFill>
                    </w:rPr>
                    <w:t>月</w:t>
                  </w:r>
                  <w:r>
                    <w:rPr>
                      <w:rFonts w:hint="eastAsia" w:cs="Times New Roman"/>
                      <w:color w:val="000000" w:themeColor="text1"/>
                      <w:szCs w:val="21"/>
                      <w:lang w:val="en-US" w:eastAsia="zh-CN"/>
                      <w14:textFill>
                        <w14:solidFill>
                          <w14:schemeClr w14:val="tx1"/>
                        </w14:solidFill>
                      </w14:textFill>
                    </w:rPr>
                    <w:t>1</w:t>
                  </w:r>
                  <w:r>
                    <w:rPr>
                      <w:rFonts w:hint="eastAsia" w:ascii="Times New Roman" w:hAnsi="Times New Roman" w:eastAsia="宋体" w:cs="Times New Roman"/>
                      <w:color w:val="000000" w:themeColor="text1"/>
                      <w:szCs w:val="21"/>
                      <w:lang w:val="en-US" w:eastAsia="zh-CN"/>
                      <w14:textFill>
                        <w14:solidFill>
                          <w14:schemeClr w14:val="tx1"/>
                        </w14:solidFill>
                      </w14:textFill>
                    </w:rPr>
                    <w:t>日</w:t>
                  </w:r>
                  <w:r>
                    <w:rPr>
                      <w:rFonts w:hint="default" w:ascii="Times New Roman" w:hAnsi="Times New Roman" w:eastAsia="宋体" w:cs="Times New Roman"/>
                      <w:color w:val="000000" w:themeColor="text1"/>
                      <w:szCs w:val="21"/>
                      <w:lang w:val="en-US" w:eastAsia="zh-CN"/>
                      <w14:textFill>
                        <w14:solidFill>
                          <w14:schemeClr w14:val="tx1"/>
                        </w14:solidFill>
                      </w14:textFill>
                    </w:rPr>
                    <w:t>昼</w:t>
                  </w:r>
                </w:p>
              </w:tc>
              <w:tc>
                <w:tcPr>
                  <w:tcW w:w="930" w:type="pct"/>
                  <w:gridSpan w:val="2"/>
                  <w:vAlign w:val="center"/>
                </w:tcPr>
                <w:p w14:paraId="708BC10A">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11</w:t>
                  </w:r>
                  <w:r>
                    <w:rPr>
                      <w:rFonts w:hint="eastAsia" w:ascii="Times New Roman" w:hAnsi="Times New Roman" w:eastAsia="宋体" w:cs="Times New Roman"/>
                      <w:color w:val="000000" w:themeColor="text1"/>
                      <w:szCs w:val="21"/>
                      <w:lang w:val="en-US" w:eastAsia="zh-CN"/>
                      <w14:textFill>
                        <w14:solidFill>
                          <w14:schemeClr w14:val="tx1"/>
                        </w14:solidFill>
                      </w14:textFill>
                    </w:rPr>
                    <w:t>月</w:t>
                  </w:r>
                  <w:r>
                    <w:rPr>
                      <w:rFonts w:hint="eastAsia" w:cs="Times New Roman"/>
                      <w:color w:val="000000" w:themeColor="text1"/>
                      <w:szCs w:val="21"/>
                      <w:lang w:val="en-US" w:eastAsia="zh-CN"/>
                      <w14:textFill>
                        <w14:solidFill>
                          <w14:schemeClr w14:val="tx1"/>
                        </w14:solidFill>
                      </w14:textFill>
                    </w:rPr>
                    <w:t>1</w:t>
                  </w:r>
                  <w:r>
                    <w:rPr>
                      <w:rFonts w:hint="eastAsia" w:ascii="Times New Roman" w:hAnsi="Times New Roman" w:eastAsia="宋体" w:cs="Times New Roman"/>
                      <w:color w:val="000000" w:themeColor="text1"/>
                      <w:szCs w:val="21"/>
                      <w:lang w:val="en-US" w:eastAsia="zh-CN"/>
                      <w14:textFill>
                        <w14:solidFill>
                          <w14:schemeClr w14:val="tx1"/>
                        </w14:solidFill>
                      </w14:textFill>
                    </w:rPr>
                    <w:t>日</w:t>
                  </w:r>
                  <w:r>
                    <w:rPr>
                      <w:rFonts w:hint="default" w:ascii="Times New Roman" w:hAnsi="Times New Roman" w:eastAsia="宋体" w:cs="Times New Roman"/>
                      <w:color w:val="000000" w:themeColor="text1"/>
                      <w:szCs w:val="21"/>
                      <w:lang w:val="en-US" w:eastAsia="zh-CN"/>
                      <w14:textFill>
                        <w14:solidFill>
                          <w14:schemeClr w14:val="tx1"/>
                        </w14:solidFill>
                      </w14:textFill>
                    </w:rPr>
                    <w:t>夜</w:t>
                  </w:r>
                </w:p>
              </w:tc>
            </w:tr>
            <w:tr w14:paraId="2D53E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6A168CA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w:t>
                  </w:r>
                </w:p>
              </w:tc>
              <w:tc>
                <w:tcPr>
                  <w:tcW w:w="445" w:type="pct"/>
                  <w:vMerge w:val="restart"/>
                  <w:vAlign w:val="center"/>
                </w:tcPr>
                <w:p w14:paraId="7CD1041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2024年</w:t>
                  </w:r>
                  <w:r>
                    <w:rPr>
                      <w:rFonts w:hint="eastAsia" w:cs="Times New Roman"/>
                      <w:color w:val="000000" w:themeColor="text1"/>
                      <w:szCs w:val="21"/>
                      <w:lang w:val="en-US" w:eastAsia="zh-CN"/>
                      <w14:textFill>
                        <w14:solidFill>
                          <w14:schemeClr w14:val="tx1"/>
                        </w14:solidFill>
                      </w14:textFill>
                    </w:rPr>
                    <w:t>11</w:t>
                  </w:r>
                  <w:r>
                    <w:rPr>
                      <w:rFonts w:hint="eastAsia" w:ascii="Times New Roman" w:hAnsi="Times New Roman" w:eastAsia="宋体" w:cs="Times New Roman"/>
                      <w:color w:val="000000" w:themeColor="text1"/>
                      <w:szCs w:val="21"/>
                      <w:lang w:val="en-US" w:eastAsia="zh-CN"/>
                      <w14:textFill>
                        <w14:solidFill>
                          <w14:schemeClr w14:val="tx1"/>
                        </w14:solidFill>
                      </w14:textFill>
                    </w:rPr>
                    <w:t>月</w:t>
                  </w:r>
                  <w:r>
                    <w:rPr>
                      <w:rFonts w:hint="eastAsia" w:cs="Times New Roman"/>
                      <w:color w:val="000000" w:themeColor="text1"/>
                      <w:szCs w:val="21"/>
                      <w:lang w:val="en-US" w:eastAsia="zh-CN"/>
                      <w14:textFill>
                        <w14:solidFill>
                          <w14:schemeClr w14:val="tx1"/>
                        </w14:solidFill>
                      </w14:textFill>
                    </w:rPr>
                    <w:t>1</w:t>
                  </w:r>
                  <w:r>
                    <w:rPr>
                      <w:rFonts w:hint="eastAsia" w:ascii="Times New Roman" w:hAnsi="Times New Roman" w:eastAsia="宋体" w:cs="Times New Roman"/>
                      <w:color w:val="000000" w:themeColor="text1"/>
                      <w:szCs w:val="21"/>
                      <w:lang w:val="en-US" w:eastAsia="zh-CN"/>
                      <w14:textFill>
                        <w14:solidFill>
                          <w14:schemeClr w14:val="tx1"/>
                        </w14:solidFill>
                      </w14:textFill>
                    </w:rPr>
                    <w:t>日</w:t>
                  </w:r>
                </w:p>
              </w:tc>
              <w:tc>
                <w:tcPr>
                  <w:tcW w:w="517" w:type="pct"/>
                  <w:vMerge w:val="restart"/>
                  <w:vAlign w:val="center"/>
                </w:tcPr>
                <w:p w14:paraId="7A07376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恒山220kV变电站</w:t>
                  </w:r>
                </w:p>
              </w:tc>
              <w:tc>
                <w:tcPr>
                  <w:tcW w:w="1846" w:type="pct"/>
                  <w:shd w:val="clear" w:color="auto" w:fill="auto"/>
                  <w:vAlign w:val="center"/>
                </w:tcPr>
                <w:p w14:paraId="3AD92B1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北</w:t>
                  </w:r>
                  <w:r>
                    <w:rPr>
                      <w:rFonts w:hint="default" w:ascii="Times New Roman" w:hAnsi="Times New Roman" w:eastAsia="宋体" w:cs="Times New Roman"/>
                      <w:color w:val="000000" w:themeColor="text1"/>
                      <w:szCs w:val="21"/>
                      <w:lang w:val="en-US" w:eastAsia="zh-CN"/>
                      <w14:textFill>
                        <w14:solidFill>
                          <w14:schemeClr w14:val="tx1"/>
                        </w14:solidFill>
                      </w14:textFill>
                    </w:rPr>
                    <w:t>侧围墙5m处1#</w:t>
                  </w:r>
                </w:p>
              </w:tc>
              <w:tc>
                <w:tcPr>
                  <w:tcW w:w="611" w:type="pct"/>
                  <w:vAlign w:val="center"/>
                </w:tcPr>
                <w:p w14:paraId="3C30CED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8:00</w:t>
                  </w:r>
                </w:p>
              </w:tc>
              <w:tc>
                <w:tcPr>
                  <w:tcW w:w="418" w:type="pct"/>
                  <w:shd w:val="clear" w:color="auto" w:fill="auto"/>
                  <w:vAlign w:val="center"/>
                </w:tcPr>
                <w:p w14:paraId="1D5BA1B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50</w:t>
                  </w:r>
                </w:p>
              </w:tc>
              <w:tc>
                <w:tcPr>
                  <w:tcW w:w="545" w:type="pct"/>
                  <w:vAlign w:val="center"/>
                </w:tcPr>
                <w:p w14:paraId="22B423E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22:00</w:t>
                  </w:r>
                </w:p>
              </w:tc>
              <w:tc>
                <w:tcPr>
                  <w:tcW w:w="385" w:type="pct"/>
                  <w:vAlign w:val="center"/>
                </w:tcPr>
                <w:p w14:paraId="38B6DF8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48</w:t>
                  </w:r>
                </w:p>
              </w:tc>
            </w:tr>
            <w:tr w14:paraId="0E707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29B62BF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w:t>
                  </w:r>
                </w:p>
              </w:tc>
              <w:tc>
                <w:tcPr>
                  <w:tcW w:w="445" w:type="pct"/>
                  <w:vMerge w:val="continue"/>
                  <w:vAlign w:val="center"/>
                </w:tcPr>
                <w:p w14:paraId="1483AA6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1F03B05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shd w:val="clear" w:color="auto" w:fill="auto"/>
                  <w:vAlign w:val="center"/>
                </w:tcPr>
                <w:p w14:paraId="620F011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西</w:t>
                  </w:r>
                  <w:r>
                    <w:rPr>
                      <w:rFonts w:hint="default" w:ascii="Times New Roman" w:hAnsi="Times New Roman" w:eastAsia="宋体" w:cs="Times New Roman"/>
                      <w:color w:val="000000" w:themeColor="text1"/>
                      <w:szCs w:val="21"/>
                      <w:lang w:val="en-US" w:eastAsia="zh-CN"/>
                      <w14:textFill>
                        <w14:solidFill>
                          <w14:schemeClr w14:val="tx1"/>
                        </w14:solidFill>
                      </w14:textFill>
                    </w:rPr>
                    <w:t>侧围墙5m处</w:t>
                  </w:r>
                  <w:r>
                    <w:rPr>
                      <w:rFonts w:hint="eastAsia" w:ascii="Times New Roman" w:hAnsi="Times New Roman" w:eastAsia="宋体" w:cs="Times New Roman"/>
                      <w:color w:val="000000" w:themeColor="text1"/>
                      <w:szCs w:val="21"/>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232003A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8:05</w:t>
                  </w:r>
                </w:p>
              </w:tc>
              <w:tc>
                <w:tcPr>
                  <w:tcW w:w="418" w:type="pct"/>
                  <w:shd w:val="clear" w:color="auto" w:fill="auto"/>
                  <w:vAlign w:val="center"/>
                </w:tcPr>
                <w:p w14:paraId="1B8E0EC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52</w:t>
                  </w:r>
                </w:p>
              </w:tc>
              <w:tc>
                <w:tcPr>
                  <w:tcW w:w="545" w:type="pct"/>
                  <w:vAlign w:val="center"/>
                </w:tcPr>
                <w:p w14:paraId="7F09E48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22:05</w:t>
                  </w:r>
                </w:p>
              </w:tc>
              <w:tc>
                <w:tcPr>
                  <w:tcW w:w="385" w:type="pct"/>
                  <w:vAlign w:val="center"/>
                </w:tcPr>
                <w:p w14:paraId="67C89E8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49</w:t>
                  </w:r>
                </w:p>
              </w:tc>
            </w:tr>
            <w:tr w14:paraId="72791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763DDF4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w:t>
                  </w:r>
                </w:p>
              </w:tc>
              <w:tc>
                <w:tcPr>
                  <w:tcW w:w="445" w:type="pct"/>
                  <w:vMerge w:val="continue"/>
                  <w:vAlign w:val="center"/>
                </w:tcPr>
                <w:p w14:paraId="41B9E0F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4908A556">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shd w:val="clear" w:color="auto" w:fill="auto"/>
                  <w:vAlign w:val="center"/>
                </w:tcPr>
                <w:p w14:paraId="5E9C05C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default" w:ascii="Times New Roman" w:hAnsi="Times New Roman" w:eastAsia="宋体" w:cs="Times New Roman"/>
                      <w:color w:val="000000" w:themeColor="text1"/>
                      <w:szCs w:val="21"/>
                      <w:lang w:val="en-US" w:eastAsia="zh-CN"/>
                      <w14:textFill>
                        <w14:solidFill>
                          <w14:schemeClr w14:val="tx1"/>
                        </w14:solidFill>
                      </w14:textFill>
                    </w:rPr>
                    <w:t>侧围墙5m处</w:t>
                  </w:r>
                  <w:r>
                    <w:rPr>
                      <w:rFonts w:hint="eastAsia" w:ascii="Times New Roman" w:hAnsi="Times New Roman" w:eastAsia="宋体" w:cs="Times New Roman"/>
                      <w:color w:val="000000" w:themeColor="text1"/>
                      <w:szCs w:val="21"/>
                      <w:lang w:val="en-US" w:eastAsia="zh-CN"/>
                      <w14:textFill>
                        <w14:solidFill>
                          <w14:schemeClr w14:val="tx1"/>
                        </w14:solidFill>
                      </w14:textFill>
                    </w:rPr>
                    <w:t>3</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2FDC093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8:10</w:t>
                  </w:r>
                </w:p>
              </w:tc>
              <w:tc>
                <w:tcPr>
                  <w:tcW w:w="418" w:type="pct"/>
                  <w:shd w:val="clear" w:color="auto" w:fill="auto"/>
                  <w:vAlign w:val="center"/>
                </w:tcPr>
                <w:p w14:paraId="0DBC3C8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48</w:t>
                  </w:r>
                </w:p>
              </w:tc>
              <w:tc>
                <w:tcPr>
                  <w:tcW w:w="545" w:type="pct"/>
                  <w:vAlign w:val="center"/>
                </w:tcPr>
                <w:p w14:paraId="7A731CD6">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22:10</w:t>
                  </w:r>
                </w:p>
              </w:tc>
              <w:tc>
                <w:tcPr>
                  <w:tcW w:w="385" w:type="pct"/>
                  <w:vAlign w:val="center"/>
                </w:tcPr>
                <w:p w14:paraId="54B0556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46</w:t>
                  </w:r>
                </w:p>
              </w:tc>
            </w:tr>
            <w:tr w14:paraId="6C109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0E1A200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w:t>
                  </w:r>
                </w:p>
              </w:tc>
              <w:tc>
                <w:tcPr>
                  <w:tcW w:w="445" w:type="pct"/>
                  <w:vMerge w:val="continue"/>
                  <w:vAlign w:val="center"/>
                </w:tcPr>
                <w:p w14:paraId="1620435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60C7802A">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shd w:val="clear" w:color="auto" w:fill="auto"/>
                  <w:vAlign w:val="center"/>
                </w:tcPr>
                <w:p w14:paraId="5377284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东</w:t>
                  </w:r>
                  <w:r>
                    <w:rPr>
                      <w:rFonts w:hint="default" w:ascii="Times New Roman" w:hAnsi="Times New Roman" w:eastAsia="宋体" w:cs="Times New Roman"/>
                      <w:color w:val="000000" w:themeColor="text1"/>
                      <w:szCs w:val="21"/>
                      <w:lang w:val="en-US" w:eastAsia="zh-CN"/>
                      <w14:textFill>
                        <w14:solidFill>
                          <w14:schemeClr w14:val="tx1"/>
                        </w14:solidFill>
                      </w14:textFill>
                    </w:rPr>
                    <w:t>侧围墙5m处</w:t>
                  </w:r>
                  <w:r>
                    <w:rPr>
                      <w:rFonts w:hint="eastAsia" w:ascii="Times New Roman" w:hAnsi="Times New Roman" w:eastAsia="宋体" w:cs="Times New Roman"/>
                      <w:color w:val="000000" w:themeColor="text1"/>
                      <w:szCs w:val="21"/>
                      <w:lang w:val="en-US" w:eastAsia="zh-CN"/>
                      <w14:textFill>
                        <w14:solidFill>
                          <w14:schemeClr w14:val="tx1"/>
                        </w14:solidFill>
                      </w14:textFill>
                    </w:rPr>
                    <w:t>4</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397C320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8:15</w:t>
                  </w:r>
                </w:p>
              </w:tc>
              <w:tc>
                <w:tcPr>
                  <w:tcW w:w="418" w:type="pct"/>
                  <w:shd w:val="clear" w:color="auto" w:fill="auto"/>
                  <w:vAlign w:val="center"/>
                </w:tcPr>
                <w:p w14:paraId="1F89107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49</w:t>
                  </w:r>
                </w:p>
              </w:tc>
              <w:tc>
                <w:tcPr>
                  <w:tcW w:w="545" w:type="pct"/>
                  <w:vAlign w:val="center"/>
                </w:tcPr>
                <w:p w14:paraId="4E50888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22:15</w:t>
                  </w:r>
                </w:p>
              </w:tc>
              <w:tc>
                <w:tcPr>
                  <w:tcW w:w="385" w:type="pct"/>
                  <w:vAlign w:val="center"/>
                </w:tcPr>
                <w:p w14:paraId="47BD070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46</w:t>
                  </w:r>
                </w:p>
              </w:tc>
            </w:tr>
            <w:tr w14:paraId="0288D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45DAB5A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7</w:t>
                  </w:r>
                </w:p>
              </w:tc>
              <w:tc>
                <w:tcPr>
                  <w:tcW w:w="445" w:type="pct"/>
                  <w:vMerge w:val="continue"/>
                  <w:vAlign w:val="center"/>
                </w:tcPr>
                <w:p w14:paraId="54A0D28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restart"/>
                  <w:vAlign w:val="center"/>
                </w:tcPr>
                <w:p w14:paraId="4F95B68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噪声敏感目标</w:t>
                  </w:r>
                </w:p>
              </w:tc>
              <w:tc>
                <w:tcPr>
                  <w:tcW w:w="1846" w:type="pct"/>
                  <w:vAlign w:val="center"/>
                </w:tcPr>
                <w:p w14:paraId="11D3CE3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无人居住房（130.86749242,45.20434049）</w:t>
                  </w:r>
                  <w:r>
                    <w:rPr>
                      <w:rFonts w:hint="eastAsia" w:cs="Times New Roman"/>
                      <w:color w:val="000000" w:themeColor="text1"/>
                      <w:szCs w:val="21"/>
                      <w:lang w:val="en-US" w:eastAsia="zh-CN"/>
                      <w14:textFill>
                        <w14:solidFill>
                          <w14:schemeClr w14:val="tx1"/>
                        </w14:solidFill>
                      </w14:textFill>
                    </w:rPr>
                    <w:t>5</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063B23D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8:30</w:t>
                  </w:r>
                </w:p>
              </w:tc>
              <w:tc>
                <w:tcPr>
                  <w:tcW w:w="418" w:type="pct"/>
                  <w:vAlign w:val="center"/>
                </w:tcPr>
                <w:p w14:paraId="45FBA02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53</w:t>
                  </w:r>
                </w:p>
              </w:tc>
              <w:tc>
                <w:tcPr>
                  <w:tcW w:w="545" w:type="pct"/>
                  <w:vAlign w:val="center"/>
                </w:tcPr>
                <w:p w14:paraId="61ED8E04">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22:30</w:t>
                  </w:r>
                </w:p>
              </w:tc>
              <w:tc>
                <w:tcPr>
                  <w:tcW w:w="385" w:type="pct"/>
                  <w:vAlign w:val="center"/>
                </w:tcPr>
                <w:p w14:paraId="3A79B10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50</w:t>
                  </w:r>
                </w:p>
              </w:tc>
            </w:tr>
            <w:tr w14:paraId="6696F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618CED6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w:t>
                  </w:r>
                </w:p>
              </w:tc>
              <w:tc>
                <w:tcPr>
                  <w:tcW w:w="445" w:type="pct"/>
                  <w:vMerge w:val="continue"/>
                  <w:vAlign w:val="center"/>
                </w:tcPr>
                <w:p w14:paraId="431844C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6C2B506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vAlign w:val="center"/>
                </w:tcPr>
                <w:p w14:paraId="127A2B4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无人居住房</w:t>
                  </w:r>
                </w:p>
                <w:p w14:paraId="0CB5E57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（130.86517399,45.20537883）</w:t>
                  </w:r>
                  <w:r>
                    <w:rPr>
                      <w:rFonts w:hint="eastAsia" w:cs="Times New Roman"/>
                      <w:color w:val="000000" w:themeColor="text1"/>
                      <w:szCs w:val="21"/>
                      <w:lang w:val="en-US" w:eastAsia="zh-CN"/>
                      <w14:textFill>
                        <w14:solidFill>
                          <w14:schemeClr w14:val="tx1"/>
                        </w14:solidFill>
                      </w14:textFill>
                    </w:rPr>
                    <w:t>6</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27E24C84">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8:40</w:t>
                  </w:r>
                </w:p>
              </w:tc>
              <w:tc>
                <w:tcPr>
                  <w:tcW w:w="418" w:type="pct"/>
                  <w:vAlign w:val="center"/>
                </w:tcPr>
                <w:p w14:paraId="4FC4BE9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54</w:t>
                  </w:r>
                </w:p>
              </w:tc>
              <w:tc>
                <w:tcPr>
                  <w:tcW w:w="545" w:type="pct"/>
                  <w:vAlign w:val="center"/>
                </w:tcPr>
                <w:p w14:paraId="13642C6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22:40</w:t>
                  </w:r>
                </w:p>
              </w:tc>
              <w:tc>
                <w:tcPr>
                  <w:tcW w:w="385" w:type="pct"/>
                  <w:vAlign w:val="center"/>
                </w:tcPr>
                <w:p w14:paraId="6CD5D8E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49</w:t>
                  </w:r>
                </w:p>
              </w:tc>
            </w:tr>
            <w:tr w14:paraId="10F86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17AB3FE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9</w:t>
                  </w:r>
                </w:p>
              </w:tc>
              <w:tc>
                <w:tcPr>
                  <w:tcW w:w="445" w:type="pct"/>
                  <w:vMerge w:val="continue"/>
                  <w:vAlign w:val="center"/>
                </w:tcPr>
                <w:p w14:paraId="368C09F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Align w:val="center"/>
                </w:tcPr>
                <w:p w14:paraId="5EA0946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鸡联变-恒山变甲线</w:t>
                  </w:r>
                  <w:r>
                    <w:rPr>
                      <w:rFonts w:hint="eastAsia" w:ascii="Times New Roman" w:hAnsi="Times New Roman" w:eastAsia="宋体" w:cs="Times New Roman"/>
                      <w:color w:val="000000" w:themeColor="text1"/>
                      <w:szCs w:val="21"/>
                      <w:lang w:val="en-US" w:eastAsia="zh-CN"/>
                      <w14:textFill>
                        <w14:solidFill>
                          <w14:schemeClr w14:val="tx1"/>
                        </w14:solidFill>
                      </w14:textFill>
                    </w:rPr>
                    <w:t>现状</w:t>
                  </w:r>
                </w:p>
              </w:tc>
              <w:tc>
                <w:tcPr>
                  <w:tcW w:w="1846" w:type="pct"/>
                  <w:vAlign w:val="center"/>
                </w:tcPr>
                <w:p w14:paraId="75AB263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（130.86604536,45.20513495）</w:t>
                  </w:r>
                  <w:r>
                    <w:rPr>
                      <w:rFonts w:hint="eastAsia" w:cs="Times New Roman"/>
                      <w:color w:val="000000" w:themeColor="text1"/>
                      <w:szCs w:val="21"/>
                      <w:lang w:val="en-US" w:eastAsia="zh-CN"/>
                      <w14:textFill>
                        <w14:solidFill>
                          <w14:schemeClr w14:val="tx1"/>
                        </w14:solidFill>
                      </w14:textFill>
                    </w:rPr>
                    <w:t>7</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540DD59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8:45</w:t>
                  </w:r>
                </w:p>
              </w:tc>
              <w:tc>
                <w:tcPr>
                  <w:tcW w:w="418" w:type="pct"/>
                  <w:vAlign w:val="center"/>
                </w:tcPr>
                <w:p w14:paraId="2A6E1AD7">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42</w:t>
                  </w:r>
                </w:p>
              </w:tc>
              <w:tc>
                <w:tcPr>
                  <w:tcW w:w="545" w:type="pct"/>
                  <w:vAlign w:val="center"/>
                </w:tcPr>
                <w:p w14:paraId="6FD7988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22:45</w:t>
                  </w:r>
                </w:p>
              </w:tc>
              <w:tc>
                <w:tcPr>
                  <w:tcW w:w="385" w:type="pct"/>
                  <w:vAlign w:val="center"/>
                </w:tcPr>
                <w:p w14:paraId="131686B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39</w:t>
                  </w:r>
                </w:p>
              </w:tc>
            </w:tr>
            <w:tr w14:paraId="42239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68E73BF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w:t>
                  </w:r>
                </w:p>
              </w:tc>
              <w:tc>
                <w:tcPr>
                  <w:tcW w:w="445" w:type="pct"/>
                  <w:vMerge w:val="continue"/>
                  <w:vAlign w:val="center"/>
                </w:tcPr>
                <w:p w14:paraId="173CAD4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Align w:val="center"/>
                </w:tcPr>
                <w:p w14:paraId="67079EE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鸡联变-恒山变甲线</w:t>
                  </w:r>
                  <w:r>
                    <w:rPr>
                      <w:rFonts w:hint="eastAsia" w:ascii="Times New Roman" w:hAnsi="Times New Roman" w:eastAsia="宋体" w:cs="Times New Roman"/>
                      <w:color w:val="000000" w:themeColor="text1"/>
                      <w:szCs w:val="21"/>
                      <w:lang w:val="en-US" w:eastAsia="zh-CN"/>
                      <w14:textFill>
                        <w14:solidFill>
                          <w14:schemeClr w14:val="tx1"/>
                        </w14:solidFill>
                      </w14:textFill>
                    </w:rPr>
                    <w:t>改造</w:t>
                  </w:r>
                </w:p>
              </w:tc>
              <w:tc>
                <w:tcPr>
                  <w:tcW w:w="1846" w:type="pct"/>
                  <w:vAlign w:val="center"/>
                </w:tcPr>
                <w:p w14:paraId="2C0D468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（130.86593807,45.20488927）</w:t>
                  </w:r>
                  <w:r>
                    <w:rPr>
                      <w:rFonts w:hint="eastAsia" w:cs="Times New Roman"/>
                      <w:color w:val="000000" w:themeColor="text1"/>
                      <w:szCs w:val="21"/>
                      <w:lang w:val="en-US" w:eastAsia="zh-CN"/>
                      <w14:textFill>
                        <w14:solidFill>
                          <w14:schemeClr w14:val="tx1"/>
                        </w14:solidFill>
                      </w14:textFill>
                    </w:rPr>
                    <w:t>8</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08FC6FF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8:48</w:t>
                  </w:r>
                </w:p>
              </w:tc>
              <w:tc>
                <w:tcPr>
                  <w:tcW w:w="418" w:type="pct"/>
                  <w:vAlign w:val="center"/>
                </w:tcPr>
                <w:p w14:paraId="540C95B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42</w:t>
                  </w:r>
                </w:p>
              </w:tc>
              <w:tc>
                <w:tcPr>
                  <w:tcW w:w="545" w:type="pct"/>
                  <w:vAlign w:val="center"/>
                </w:tcPr>
                <w:p w14:paraId="49794CD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22:48</w:t>
                  </w:r>
                </w:p>
              </w:tc>
              <w:tc>
                <w:tcPr>
                  <w:tcW w:w="385" w:type="pct"/>
                  <w:vAlign w:val="center"/>
                </w:tcPr>
                <w:p w14:paraId="3746227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39</w:t>
                  </w:r>
                </w:p>
              </w:tc>
            </w:tr>
            <w:tr w14:paraId="2F6AB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090E630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11</w:t>
                  </w:r>
                </w:p>
              </w:tc>
              <w:tc>
                <w:tcPr>
                  <w:tcW w:w="445" w:type="pct"/>
                  <w:vMerge w:val="continue"/>
                  <w:vAlign w:val="center"/>
                </w:tcPr>
                <w:p w14:paraId="493BD95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Align w:val="center"/>
                </w:tcPr>
                <w:p w14:paraId="45B914E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鸡联变-恒山变</w:t>
                  </w:r>
                  <w:r>
                    <w:rPr>
                      <w:rFonts w:hint="eastAsia" w:ascii="Times New Roman" w:hAnsi="Times New Roman" w:eastAsia="宋体" w:cs="Times New Roman"/>
                      <w:color w:val="000000" w:themeColor="text1"/>
                      <w:szCs w:val="21"/>
                      <w:lang w:val="en-US" w:eastAsia="zh-CN"/>
                      <w14:textFill>
                        <w14:solidFill>
                          <w14:schemeClr w14:val="tx1"/>
                        </w14:solidFill>
                      </w14:textFill>
                    </w:rPr>
                    <w:t>乙</w:t>
                  </w:r>
                  <w:r>
                    <w:rPr>
                      <w:rFonts w:hint="default" w:ascii="Times New Roman" w:hAnsi="Times New Roman" w:eastAsia="宋体" w:cs="Times New Roman"/>
                      <w:color w:val="000000" w:themeColor="text1"/>
                      <w:szCs w:val="21"/>
                      <w:lang w:val="en-US" w:eastAsia="zh-CN"/>
                      <w14:textFill>
                        <w14:solidFill>
                          <w14:schemeClr w14:val="tx1"/>
                        </w14:solidFill>
                      </w14:textFill>
                    </w:rPr>
                    <w:t>线</w:t>
                  </w:r>
                  <w:r>
                    <w:rPr>
                      <w:rFonts w:hint="eastAsia" w:ascii="Times New Roman" w:hAnsi="Times New Roman" w:eastAsia="宋体" w:cs="Times New Roman"/>
                      <w:color w:val="000000" w:themeColor="text1"/>
                      <w:szCs w:val="21"/>
                      <w:lang w:val="en-US" w:eastAsia="zh-CN"/>
                      <w14:textFill>
                        <w14:solidFill>
                          <w14:schemeClr w14:val="tx1"/>
                        </w14:solidFill>
                      </w14:textFill>
                    </w:rPr>
                    <w:t>现状</w:t>
                  </w:r>
                </w:p>
              </w:tc>
              <w:tc>
                <w:tcPr>
                  <w:tcW w:w="1846" w:type="pct"/>
                  <w:vAlign w:val="center"/>
                </w:tcPr>
                <w:p w14:paraId="15A76986">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（130.86642623,45.20492329）</w:t>
                  </w:r>
                  <w:r>
                    <w:rPr>
                      <w:rFonts w:hint="eastAsia" w:cs="Times New Roman"/>
                      <w:color w:val="000000" w:themeColor="text1"/>
                      <w:szCs w:val="21"/>
                      <w:lang w:val="en-US" w:eastAsia="zh-CN"/>
                      <w14:textFill>
                        <w14:solidFill>
                          <w14:schemeClr w14:val="tx1"/>
                        </w14:solidFill>
                      </w14:textFill>
                    </w:rPr>
                    <w:t>9</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24C7051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8:51</w:t>
                  </w:r>
                </w:p>
              </w:tc>
              <w:tc>
                <w:tcPr>
                  <w:tcW w:w="418" w:type="pct"/>
                  <w:vAlign w:val="center"/>
                </w:tcPr>
                <w:p w14:paraId="4E6572E0">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42</w:t>
                  </w:r>
                </w:p>
              </w:tc>
              <w:tc>
                <w:tcPr>
                  <w:tcW w:w="545" w:type="pct"/>
                  <w:vAlign w:val="center"/>
                </w:tcPr>
                <w:p w14:paraId="7B8738E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22:51</w:t>
                  </w:r>
                </w:p>
              </w:tc>
              <w:tc>
                <w:tcPr>
                  <w:tcW w:w="385" w:type="pct"/>
                  <w:vAlign w:val="center"/>
                </w:tcPr>
                <w:p w14:paraId="00B828D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40</w:t>
                  </w:r>
                </w:p>
              </w:tc>
            </w:tr>
            <w:tr w14:paraId="43658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6D8D5A1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12</w:t>
                  </w:r>
                </w:p>
              </w:tc>
              <w:tc>
                <w:tcPr>
                  <w:tcW w:w="445" w:type="pct"/>
                  <w:vMerge w:val="continue"/>
                  <w:vAlign w:val="center"/>
                </w:tcPr>
                <w:p w14:paraId="0C80A06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Align w:val="center"/>
                </w:tcPr>
                <w:p w14:paraId="391BE49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鸡联变-恒山变</w:t>
                  </w:r>
                  <w:r>
                    <w:rPr>
                      <w:rFonts w:hint="eastAsia" w:ascii="Times New Roman" w:hAnsi="Times New Roman" w:eastAsia="宋体" w:cs="Times New Roman"/>
                      <w:color w:val="000000" w:themeColor="text1"/>
                      <w:szCs w:val="21"/>
                      <w:lang w:val="en-US" w:eastAsia="zh-CN"/>
                      <w14:textFill>
                        <w14:solidFill>
                          <w14:schemeClr w14:val="tx1"/>
                        </w14:solidFill>
                      </w14:textFill>
                    </w:rPr>
                    <w:t>乙</w:t>
                  </w:r>
                  <w:r>
                    <w:rPr>
                      <w:rFonts w:hint="default" w:ascii="Times New Roman" w:hAnsi="Times New Roman" w:eastAsia="宋体" w:cs="Times New Roman"/>
                      <w:color w:val="000000" w:themeColor="text1"/>
                      <w:szCs w:val="21"/>
                      <w:lang w:val="en-US" w:eastAsia="zh-CN"/>
                      <w14:textFill>
                        <w14:solidFill>
                          <w14:schemeClr w14:val="tx1"/>
                        </w14:solidFill>
                      </w14:textFill>
                    </w:rPr>
                    <w:t>线</w:t>
                  </w:r>
                  <w:r>
                    <w:rPr>
                      <w:rFonts w:hint="eastAsia" w:ascii="Times New Roman" w:hAnsi="Times New Roman" w:eastAsia="宋体" w:cs="Times New Roman"/>
                      <w:color w:val="000000" w:themeColor="text1"/>
                      <w:szCs w:val="21"/>
                      <w:lang w:val="en-US" w:eastAsia="zh-CN"/>
                      <w14:textFill>
                        <w14:solidFill>
                          <w14:schemeClr w14:val="tx1"/>
                        </w14:solidFill>
                      </w14:textFill>
                    </w:rPr>
                    <w:t>改造</w:t>
                  </w:r>
                </w:p>
              </w:tc>
              <w:tc>
                <w:tcPr>
                  <w:tcW w:w="1846" w:type="pct"/>
                  <w:vAlign w:val="center"/>
                </w:tcPr>
                <w:p w14:paraId="53A9A0F0">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（130.86639404,45.20484014）</w:t>
                  </w:r>
                  <w:r>
                    <w:rPr>
                      <w:rFonts w:hint="eastAsia" w:cs="Times New Roman"/>
                      <w:color w:val="000000" w:themeColor="text1"/>
                      <w:szCs w:val="21"/>
                      <w:lang w:val="en-US" w:eastAsia="zh-CN"/>
                      <w14:textFill>
                        <w14:solidFill>
                          <w14:schemeClr w14:val="tx1"/>
                        </w14:solidFill>
                      </w14:textFill>
                    </w:rPr>
                    <w:t>10</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3B0242E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8:54</w:t>
                  </w:r>
                </w:p>
              </w:tc>
              <w:tc>
                <w:tcPr>
                  <w:tcW w:w="418" w:type="pct"/>
                  <w:vAlign w:val="center"/>
                </w:tcPr>
                <w:p w14:paraId="7035AB0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42</w:t>
                  </w:r>
                </w:p>
              </w:tc>
              <w:tc>
                <w:tcPr>
                  <w:tcW w:w="545" w:type="pct"/>
                  <w:shd w:val="clear" w:color="auto" w:fill="auto"/>
                  <w:vAlign w:val="center"/>
                </w:tcPr>
                <w:p w14:paraId="0451CCD2">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22:54</w:t>
                  </w:r>
                </w:p>
              </w:tc>
              <w:tc>
                <w:tcPr>
                  <w:tcW w:w="385" w:type="pct"/>
                  <w:vAlign w:val="center"/>
                </w:tcPr>
                <w:p w14:paraId="2DF9A46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40</w:t>
                  </w:r>
                </w:p>
              </w:tc>
            </w:tr>
            <w:tr w14:paraId="311BA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785BE82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w:t>
                  </w:r>
                </w:p>
              </w:tc>
              <w:tc>
                <w:tcPr>
                  <w:tcW w:w="445" w:type="pct"/>
                  <w:vMerge w:val="continue"/>
                  <w:vAlign w:val="center"/>
                </w:tcPr>
                <w:p w14:paraId="5925B674">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restart"/>
                  <w:vAlign w:val="center"/>
                </w:tcPr>
                <w:p w14:paraId="031EC574">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拟建输电线路</w:t>
                  </w:r>
                </w:p>
              </w:tc>
              <w:tc>
                <w:tcPr>
                  <w:tcW w:w="1846" w:type="pct"/>
                  <w:vAlign w:val="center"/>
                </w:tcPr>
                <w:p w14:paraId="627A46E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双回路（130.86481154,45.20509715）</w:t>
                  </w:r>
                  <w:r>
                    <w:rPr>
                      <w:rFonts w:hint="eastAsia" w:cs="Times New Roman"/>
                      <w:color w:val="000000" w:themeColor="text1"/>
                      <w:szCs w:val="21"/>
                      <w:lang w:val="en-US" w:eastAsia="zh-CN"/>
                      <w14:textFill>
                        <w14:solidFill>
                          <w14:schemeClr w14:val="tx1"/>
                        </w14:solidFill>
                      </w14:textFill>
                    </w:rPr>
                    <w:t>11</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429C8C0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8:59</w:t>
                  </w:r>
                </w:p>
              </w:tc>
              <w:tc>
                <w:tcPr>
                  <w:tcW w:w="418" w:type="pct"/>
                  <w:vAlign w:val="center"/>
                </w:tcPr>
                <w:p w14:paraId="26C3853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47</w:t>
                  </w:r>
                </w:p>
              </w:tc>
              <w:tc>
                <w:tcPr>
                  <w:tcW w:w="545" w:type="pct"/>
                  <w:shd w:val="clear" w:color="auto" w:fill="auto"/>
                  <w:vAlign w:val="center"/>
                </w:tcPr>
                <w:p w14:paraId="29066937">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22:59</w:t>
                  </w:r>
                </w:p>
              </w:tc>
              <w:tc>
                <w:tcPr>
                  <w:tcW w:w="385" w:type="pct"/>
                  <w:vAlign w:val="center"/>
                </w:tcPr>
                <w:p w14:paraId="2F6660F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39</w:t>
                  </w:r>
                </w:p>
              </w:tc>
            </w:tr>
            <w:tr w14:paraId="68B96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7DFA21B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14</w:t>
                  </w:r>
                </w:p>
              </w:tc>
              <w:tc>
                <w:tcPr>
                  <w:tcW w:w="445" w:type="pct"/>
                  <w:vMerge w:val="continue"/>
                  <w:vAlign w:val="center"/>
                </w:tcPr>
                <w:p w14:paraId="1AB0C356">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056703D2">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vAlign w:val="center"/>
                </w:tcPr>
                <w:p w14:paraId="792A0822">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双回路（130.86393956,45.20487685）</w:t>
                  </w:r>
                  <w:r>
                    <w:rPr>
                      <w:rFonts w:hint="eastAsia" w:cs="Times New Roman"/>
                      <w:color w:val="000000" w:themeColor="text1"/>
                      <w:szCs w:val="21"/>
                      <w:lang w:val="en-US" w:eastAsia="zh-CN"/>
                      <w14:textFill>
                        <w14:solidFill>
                          <w14:schemeClr w14:val="tx1"/>
                        </w14:solidFill>
                      </w14:textFill>
                    </w:rPr>
                    <w:t>12</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619950E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9:05</w:t>
                  </w:r>
                </w:p>
              </w:tc>
              <w:tc>
                <w:tcPr>
                  <w:tcW w:w="418" w:type="pct"/>
                  <w:vAlign w:val="center"/>
                </w:tcPr>
                <w:p w14:paraId="047FCD8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46</w:t>
                  </w:r>
                </w:p>
              </w:tc>
              <w:tc>
                <w:tcPr>
                  <w:tcW w:w="545" w:type="pct"/>
                  <w:vAlign w:val="center"/>
                </w:tcPr>
                <w:p w14:paraId="47DF332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23:05</w:t>
                  </w:r>
                </w:p>
              </w:tc>
              <w:tc>
                <w:tcPr>
                  <w:tcW w:w="385" w:type="pct"/>
                  <w:vAlign w:val="center"/>
                </w:tcPr>
                <w:p w14:paraId="16410F5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40</w:t>
                  </w:r>
                </w:p>
              </w:tc>
            </w:tr>
            <w:tr w14:paraId="3F510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11ACC35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15</w:t>
                  </w:r>
                </w:p>
              </w:tc>
              <w:tc>
                <w:tcPr>
                  <w:tcW w:w="445" w:type="pct"/>
                  <w:vMerge w:val="continue"/>
                  <w:vAlign w:val="center"/>
                </w:tcPr>
                <w:p w14:paraId="36181C1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5AA65A2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vAlign w:val="center"/>
                </w:tcPr>
                <w:p w14:paraId="79134E5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甲线单回路（130.84779137,45.18965894）</w:t>
                  </w:r>
                  <w:r>
                    <w:rPr>
                      <w:rFonts w:hint="eastAsia" w:cs="Times New Roman"/>
                      <w:color w:val="000000" w:themeColor="text1"/>
                      <w:szCs w:val="21"/>
                      <w:lang w:val="en-US" w:eastAsia="zh-CN"/>
                      <w14:textFill>
                        <w14:solidFill>
                          <w14:schemeClr w14:val="tx1"/>
                        </w14:solidFill>
                      </w14:textFill>
                    </w:rPr>
                    <w:t>13</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75855BB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9:18</w:t>
                  </w:r>
                </w:p>
              </w:tc>
              <w:tc>
                <w:tcPr>
                  <w:tcW w:w="418" w:type="pct"/>
                  <w:vAlign w:val="center"/>
                </w:tcPr>
                <w:p w14:paraId="2A63CAD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42</w:t>
                  </w:r>
                </w:p>
              </w:tc>
              <w:tc>
                <w:tcPr>
                  <w:tcW w:w="545" w:type="pct"/>
                  <w:vAlign w:val="center"/>
                </w:tcPr>
                <w:p w14:paraId="19837BA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23:18</w:t>
                  </w:r>
                </w:p>
              </w:tc>
              <w:tc>
                <w:tcPr>
                  <w:tcW w:w="385" w:type="pct"/>
                  <w:vAlign w:val="center"/>
                </w:tcPr>
                <w:p w14:paraId="57D4FD3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38</w:t>
                  </w:r>
                </w:p>
              </w:tc>
            </w:tr>
            <w:tr w14:paraId="2DE2E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3EC6105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16</w:t>
                  </w:r>
                </w:p>
              </w:tc>
              <w:tc>
                <w:tcPr>
                  <w:tcW w:w="445" w:type="pct"/>
                  <w:vMerge w:val="continue"/>
                  <w:vAlign w:val="center"/>
                </w:tcPr>
                <w:p w14:paraId="07AA2002">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23F9CD1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vAlign w:val="center"/>
                </w:tcPr>
                <w:p w14:paraId="297958F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乙线单回路（130.84719476,45.18952940）</w:t>
                  </w:r>
                  <w:r>
                    <w:rPr>
                      <w:rFonts w:hint="eastAsia" w:cs="Times New Roman"/>
                      <w:color w:val="000000" w:themeColor="text1"/>
                      <w:szCs w:val="21"/>
                      <w:lang w:val="en-US" w:eastAsia="zh-CN"/>
                      <w14:textFill>
                        <w14:solidFill>
                          <w14:schemeClr w14:val="tx1"/>
                        </w14:solidFill>
                      </w14:textFill>
                    </w:rPr>
                    <w:t>14</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438427C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9:22</w:t>
                  </w:r>
                </w:p>
              </w:tc>
              <w:tc>
                <w:tcPr>
                  <w:tcW w:w="418" w:type="pct"/>
                  <w:vAlign w:val="center"/>
                </w:tcPr>
                <w:p w14:paraId="3DA048F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42</w:t>
                  </w:r>
                </w:p>
              </w:tc>
              <w:tc>
                <w:tcPr>
                  <w:tcW w:w="545" w:type="pct"/>
                  <w:vAlign w:val="center"/>
                </w:tcPr>
                <w:p w14:paraId="0B5C89D7">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23:22</w:t>
                  </w:r>
                </w:p>
              </w:tc>
              <w:tc>
                <w:tcPr>
                  <w:tcW w:w="385" w:type="pct"/>
                  <w:vAlign w:val="center"/>
                </w:tcPr>
                <w:p w14:paraId="0112689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37</w:t>
                  </w:r>
                </w:p>
              </w:tc>
            </w:tr>
            <w:tr w14:paraId="45700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230" w:type="pct"/>
                  <w:vAlign w:val="center"/>
                </w:tcPr>
                <w:p w14:paraId="1EC4AA4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17</w:t>
                  </w:r>
                </w:p>
              </w:tc>
              <w:tc>
                <w:tcPr>
                  <w:tcW w:w="445" w:type="pct"/>
                  <w:vMerge w:val="continue"/>
                  <w:vAlign w:val="center"/>
                </w:tcPr>
                <w:p w14:paraId="0794F09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121A1DA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vAlign w:val="center"/>
                </w:tcPr>
                <w:p w14:paraId="2F467780">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甲线单回路（131.41668503,45.15474554）</w:t>
                  </w:r>
                  <w:r>
                    <w:rPr>
                      <w:rFonts w:hint="eastAsia" w:cs="Times New Roman"/>
                      <w:color w:val="000000" w:themeColor="text1"/>
                      <w:szCs w:val="21"/>
                      <w:lang w:val="en-US" w:eastAsia="zh-CN"/>
                      <w14:textFill>
                        <w14:solidFill>
                          <w14:schemeClr w14:val="tx1"/>
                        </w14:solidFill>
                      </w14:textFill>
                    </w:rPr>
                    <w:t>15</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26F4C15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10:40</w:t>
                  </w:r>
                </w:p>
              </w:tc>
              <w:tc>
                <w:tcPr>
                  <w:tcW w:w="418" w:type="pct"/>
                  <w:vAlign w:val="center"/>
                </w:tcPr>
                <w:p w14:paraId="093E3A2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45</w:t>
                  </w:r>
                </w:p>
              </w:tc>
              <w:tc>
                <w:tcPr>
                  <w:tcW w:w="545" w:type="pct"/>
                  <w:vAlign w:val="center"/>
                </w:tcPr>
                <w:p w14:paraId="798C8F8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00:40</w:t>
                  </w:r>
                </w:p>
              </w:tc>
              <w:tc>
                <w:tcPr>
                  <w:tcW w:w="385" w:type="pct"/>
                  <w:vAlign w:val="center"/>
                </w:tcPr>
                <w:p w14:paraId="2DD1BC3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38</w:t>
                  </w:r>
                </w:p>
              </w:tc>
            </w:tr>
            <w:tr w14:paraId="500D1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687DA6D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18</w:t>
                  </w:r>
                </w:p>
              </w:tc>
              <w:tc>
                <w:tcPr>
                  <w:tcW w:w="445" w:type="pct"/>
                  <w:vMerge w:val="continue"/>
                  <w:vAlign w:val="center"/>
                </w:tcPr>
                <w:p w14:paraId="752F657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Merge w:val="continue"/>
                  <w:vAlign w:val="center"/>
                </w:tcPr>
                <w:p w14:paraId="39F2EE4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846" w:type="pct"/>
                  <w:vAlign w:val="center"/>
                </w:tcPr>
                <w:p w14:paraId="16CBE48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乙线单回路（131.41665287,45.15435222）</w:t>
                  </w:r>
                  <w:r>
                    <w:rPr>
                      <w:rFonts w:hint="eastAsia" w:cs="Times New Roman"/>
                      <w:color w:val="000000" w:themeColor="text1"/>
                      <w:szCs w:val="21"/>
                      <w:lang w:val="en-US" w:eastAsia="zh-CN"/>
                      <w14:textFill>
                        <w14:solidFill>
                          <w14:schemeClr w14:val="tx1"/>
                        </w14:solidFill>
                      </w14:textFill>
                    </w:rPr>
                    <w:t>16</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3A58955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10:43</w:t>
                  </w:r>
                </w:p>
              </w:tc>
              <w:tc>
                <w:tcPr>
                  <w:tcW w:w="418" w:type="pct"/>
                  <w:vAlign w:val="center"/>
                </w:tcPr>
                <w:p w14:paraId="60068F3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46</w:t>
                  </w:r>
                </w:p>
              </w:tc>
              <w:tc>
                <w:tcPr>
                  <w:tcW w:w="545" w:type="pct"/>
                  <w:vAlign w:val="center"/>
                </w:tcPr>
                <w:p w14:paraId="149ACF2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00:43</w:t>
                  </w:r>
                </w:p>
              </w:tc>
              <w:tc>
                <w:tcPr>
                  <w:tcW w:w="385" w:type="pct"/>
                  <w:vAlign w:val="center"/>
                </w:tcPr>
                <w:p w14:paraId="1F7AF95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39</w:t>
                  </w:r>
                </w:p>
              </w:tc>
            </w:tr>
            <w:tr w14:paraId="7334B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30" w:type="pct"/>
                  <w:vAlign w:val="center"/>
                </w:tcPr>
                <w:p w14:paraId="69A7FDB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19</w:t>
                  </w:r>
                </w:p>
              </w:tc>
              <w:tc>
                <w:tcPr>
                  <w:tcW w:w="445" w:type="pct"/>
                  <w:vMerge w:val="continue"/>
                  <w:vAlign w:val="center"/>
                </w:tcPr>
                <w:p w14:paraId="6B8D368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517" w:type="pct"/>
                  <w:vAlign w:val="center"/>
                </w:tcPr>
                <w:p w14:paraId="1FC49F16">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鸡西变出线位置</w:t>
                  </w:r>
                </w:p>
              </w:tc>
              <w:tc>
                <w:tcPr>
                  <w:tcW w:w="1846" w:type="pct"/>
                  <w:vAlign w:val="center"/>
                </w:tcPr>
                <w:p w14:paraId="22E21CF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（131.47291103,45.16273754）</w:t>
                  </w:r>
                  <w:r>
                    <w:rPr>
                      <w:rFonts w:hint="eastAsia" w:cs="Times New Roman"/>
                      <w:color w:val="000000" w:themeColor="text1"/>
                      <w:szCs w:val="21"/>
                      <w:lang w:val="en-US" w:eastAsia="zh-CN"/>
                      <w14:textFill>
                        <w14:solidFill>
                          <w14:schemeClr w14:val="tx1"/>
                        </w14:solidFill>
                      </w14:textFill>
                    </w:rPr>
                    <w:t>17</w:t>
                  </w: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611" w:type="pct"/>
                  <w:vAlign w:val="center"/>
                </w:tcPr>
                <w:p w14:paraId="124A755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11:02</w:t>
                  </w:r>
                </w:p>
              </w:tc>
              <w:tc>
                <w:tcPr>
                  <w:tcW w:w="418" w:type="pct"/>
                  <w:vAlign w:val="center"/>
                </w:tcPr>
                <w:p w14:paraId="7759B21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38</w:t>
                  </w:r>
                </w:p>
              </w:tc>
              <w:tc>
                <w:tcPr>
                  <w:tcW w:w="545" w:type="pct"/>
                  <w:vAlign w:val="center"/>
                </w:tcPr>
                <w:p w14:paraId="78B8347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1:02</w:t>
                  </w:r>
                </w:p>
              </w:tc>
              <w:tc>
                <w:tcPr>
                  <w:tcW w:w="385" w:type="pct"/>
                  <w:vAlign w:val="center"/>
                </w:tcPr>
                <w:p w14:paraId="208DA8F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36</w:t>
                  </w:r>
                </w:p>
              </w:tc>
            </w:tr>
          </w:tbl>
          <w:p w14:paraId="226F902F">
            <w:pPr>
              <w:pStyle w:val="74"/>
              <w:keepNext w:val="0"/>
              <w:keepLines w:val="0"/>
              <w:suppressLineNumbers w:val="0"/>
              <w:spacing w:before="0" w:beforeAutospacing="0" w:after="0" w:afterAutospacing="0"/>
              <w:ind w:left="0" w:right="0" w:firstLine="480"/>
              <w:jc w:val="both"/>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根据环境噪声现状监测结果表明，</w:t>
            </w:r>
            <w:r>
              <w:rPr>
                <w:rFonts w:hint="eastAsia"/>
                <w:color w:val="000000" w:themeColor="text1"/>
                <w:sz w:val="24"/>
                <w:highlight w:val="none"/>
                <w:lang w:val="en-US" w:eastAsia="zh-CN"/>
                <w14:textFill>
                  <w14:solidFill>
                    <w14:schemeClr w14:val="tx1"/>
                  </w14:solidFill>
                </w14:textFill>
              </w:rPr>
              <w:t>鸡西</w:t>
            </w:r>
            <w:r>
              <w:rPr>
                <w:rFonts w:hint="default"/>
                <w:color w:val="000000" w:themeColor="text1"/>
                <w:sz w:val="24"/>
                <w:highlight w:val="none"/>
                <w14:textFill>
                  <w14:solidFill>
                    <w14:schemeClr w14:val="tx1"/>
                  </w14:solidFill>
                </w14:textFill>
              </w:rPr>
              <w:t>500kV变电站出线位置昼间监测值为</w:t>
            </w:r>
            <w:r>
              <w:rPr>
                <w:rFonts w:hint="eastAsia"/>
                <w:color w:val="000000" w:themeColor="text1"/>
                <w:sz w:val="24"/>
                <w:highlight w:val="none"/>
                <w:lang w:val="en-US" w:eastAsia="zh-CN"/>
                <w14:textFill>
                  <w14:solidFill>
                    <w14:schemeClr w14:val="tx1"/>
                  </w14:solidFill>
                </w14:textFill>
              </w:rPr>
              <w:t>38</w:t>
            </w:r>
            <w:r>
              <w:rPr>
                <w:rFonts w:hint="default"/>
                <w:color w:val="000000" w:themeColor="text1"/>
                <w:sz w:val="24"/>
                <w:highlight w:val="none"/>
                <w14:textFill>
                  <w14:solidFill>
                    <w14:schemeClr w14:val="tx1"/>
                  </w14:solidFill>
                </w14:textFill>
              </w:rPr>
              <w:t>dB（A），夜间监测值为</w:t>
            </w:r>
            <w:r>
              <w:rPr>
                <w:rFonts w:hint="eastAsia"/>
                <w:color w:val="000000" w:themeColor="text1"/>
                <w:sz w:val="24"/>
                <w:highlight w:val="none"/>
                <w:lang w:val="en-US" w:eastAsia="zh-CN"/>
                <w14:textFill>
                  <w14:solidFill>
                    <w14:schemeClr w14:val="tx1"/>
                  </w14:solidFill>
                </w14:textFill>
              </w:rPr>
              <w:t>36</w:t>
            </w:r>
            <w:r>
              <w:rPr>
                <w:rFonts w:hint="default"/>
                <w:color w:val="000000" w:themeColor="text1"/>
                <w:sz w:val="24"/>
                <w:highlight w:val="none"/>
                <w14:textFill>
                  <w14:solidFill>
                    <w14:schemeClr w14:val="tx1"/>
                  </w14:solidFill>
                </w14:textFill>
              </w:rPr>
              <w:t>dB（A），满足《工业企业厂界环境噪声排放标准》（GB 12348-2008）中2类标准限值要求。</w:t>
            </w:r>
            <w:r>
              <w:rPr>
                <w:rFonts w:hint="eastAsia"/>
                <w:color w:val="000000" w:themeColor="text1"/>
                <w:sz w:val="24"/>
                <w:highlight w:val="none"/>
                <w:lang w:val="en-US" w:eastAsia="zh-CN"/>
                <w14:textFill>
                  <w14:solidFill>
                    <w14:schemeClr w14:val="tx1"/>
                  </w14:solidFill>
                </w14:textFill>
              </w:rPr>
              <w:t>恒山</w:t>
            </w:r>
            <w:r>
              <w:rPr>
                <w:rFonts w:hint="default"/>
                <w:color w:val="000000" w:themeColor="text1"/>
                <w:sz w:val="24"/>
                <w:highlight w:val="none"/>
                <w14:textFill>
                  <w14:solidFill>
                    <w14:schemeClr w14:val="tx1"/>
                  </w14:solidFill>
                </w14:textFill>
              </w:rPr>
              <w:t>变电站昼间噪声值范围为</w:t>
            </w:r>
            <w:r>
              <w:rPr>
                <w:rFonts w:hint="eastAsia"/>
                <w:color w:val="000000" w:themeColor="text1"/>
                <w:sz w:val="24"/>
                <w:highlight w:val="none"/>
                <w:lang w:val="en-US" w:eastAsia="zh-CN"/>
                <w14:textFill>
                  <w14:solidFill>
                    <w14:schemeClr w14:val="tx1"/>
                  </w14:solidFill>
                </w14:textFill>
              </w:rPr>
              <w:t>48</w:t>
            </w:r>
            <w:r>
              <w:rPr>
                <w:rFonts w:hint="default"/>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52</w:t>
            </w:r>
            <w:r>
              <w:rPr>
                <w:rFonts w:hint="default"/>
                <w:color w:val="000000" w:themeColor="text1"/>
                <w:sz w:val="24"/>
                <w:highlight w:val="none"/>
                <w14:textFill>
                  <w14:solidFill>
                    <w14:schemeClr w14:val="tx1"/>
                  </w14:solidFill>
                </w14:textFill>
              </w:rPr>
              <w:t>dB(A)，夜间噪声值范围为</w:t>
            </w:r>
            <w:r>
              <w:rPr>
                <w:rFonts w:hint="eastAsia"/>
                <w:color w:val="000000" w:themeColor="text1"/>
                <w:sz w:val="24"/>
                <w:highlight w:val="none"/>
                <w:lang w:val="en-US" w:eastAsia="zh-CN"/>
                <w14:textFill>
                  <w14:solidFill>
                    <w14:schemeClr w14:val="tx1"/>
                  </w14:solidFill>
                </w14:textFill>
              </w:rPr>
              <w:t>46</w:t>
            </w:r>
            <w:r>
              <w:rPr>
                <w:rFonts w:hint="default"/>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49</w:t>
            </w:r>
            <w:r>
              <w:rPr>
                <w:rFonts w:hint="default"/>
                <w:color w:val="000000" w:themeColor="text1"/>
                <w:sz w:val="24"/>
                <w:highlight w:val="none"/>
                <w14:textFill>
                  <w14:solidFill>
                    <w14:schemeClr w14:val="tx1"/>
                  </w14:solidFill>
                </w14:textFill>
              </w:rPr>
              <w:t>dB(A)</w:t>
            </w:r>
            <w:r>
              <w:rPr>
                <w:rFonts w:hint="eastAsia"/>
                <w:color w:val="000000" w:themeColor="text1"/>
                <w:sz w:val="24"/>
                <w:highlight w:val="none"/>
                <w:lang w:eastAsia="zh-CN"/>
                <w14:textFill>
                  <w14:solidFill>
                    <w14:schemeClr w14:val="tx1"/>
                  </w14:solidFill>
                </w14:textFill>
              </w:rPr>
              <w:t>，</w:t>
            </w:r>
            <w:r>
              <w:rPr>
                <w:rFonts w:hint="default"/>
                <w:color w:val="000000" w:themeColor="text1"/>
                <w:sz w:val="24"/>
                <w:highlight w:val="none"/>
                <w14:textFill>
                  <w14:solidFill>
                    <w14:schemeClr w14:val="tx1"/>
                  </w14:solidFill>
                </w14:textFill>
              </w:rPr>
              <w:t>满足《工业企业厂界环境噪声排放标准》（GB12348-2008）中2类标准限值要求。</w:t>
            </w:r>
            <w:r>
              <w:rPr>
                <w:rFonts w:hint="default"/>
                <w:color w:val="FF0000"/>
                <w:sz w:val="24"/>
                <w:highlight w:val="none"/>
              </w:rPr>
              <w:t>噪声敏感目标昼间噪声值</w:t>
            </w:r>
            <w:r>
              <w:rPr>
                <w:rFonts w:hint="eastAsia"/>
                <w:color w:val="FF0000"/>
                <w:sz w:val="24"/>
                <w:highlight w:val="none"/>
                <w:lang w:val="en-US" w:eastAsia="zh-CN"/>
              </w:rPr>
              <w:t>范围</w:t>
            </w:r>
            <w:r>
              <w:rPr>
                <w:rFonts w:hint="default"/>
                <w:color w:val="FF0000"/>
                <w:sz w:val="24"/>
                <w:highlight w:val="none"/>
              </w:rPr>
              <w:t>为</w:t>
            </w:r>
            <w:r>
              <w:rPr>
                <w:rFonts w:hint="eastAsia"/>
                <w:color w:val="FF0000"/>
                <w:sz w:val="24"/>
                <w:highlight w:val="none"/>
                <w:lang w:val="en-US" w:eastAsia="zh-CN"/>
              </w:rPr>
              <w:t>53</w:t>
            </w:r>
            <w:r>
              <w:rPr>
                <w:rFonts w:hint="default"/>
                <w:color w:val="FF0000"/>
                <w:sz w:val="24"/>
                <w:highlight w:val="none"/>
              </w:rPr>
              <w:t>-</w:t>
            </w:r>
            <w:r>
              <w:rPr>
                <w:rFonts w:hint="eastAsia"/>
                <w:color w:val="FF0000"/>
                <w:sz w:val="24"/>
                <w:highlight w:val="none"/>
                <w:lang w:val="en-US" w:eastAsia="zh-CN"/>
              </w:rPr>
              <w:t>54</w:t>
            </w:r>
            <w:r>
              <w:rPr>
                <w:rFonts w:hint="default"/>
                <w:color w:val="FF0000"/>
                <w:sz w:val="24"/>
                <w:highlight w:val="none"/>
              </w:rPr>
              <w:t>dB(A)，夜间噪声值范围为</w:t>
            </w:r>
            <w:r>
              <w:rPr>
                <w:rFonts w:hint="eastAsia"/>
                <w:color w:val="FF0000"/>
                <w:sz w:val="24"/>
                <w:highlight w:val="none"/>
                <w:lang w:val="en-US" w:eastAsia="zh-CN"/>
              </w:rPr>
              <w:t>49</w:t>
            </w:r>
            <w:r>
              <w:rPr>
                <w:rFonts w:hint="default"/>
                <w:color w:val="FF0000"/>
                <w:sz w:val="24"/>
                <w:highlight w:val="none"/>
              </w:rPr>
              <w:t>-</w:t>
            </w:r>
            <w:r>
              <w:rPr>
                <w:rFonts w:hint="eastAsia"/>
                <w:color w:val="FF0000"/>
                <w:sz w:val="24"/>
                <w:highlight w:val="none"/>
                <w:lang w:val="en-US" w:eastAsia="zh-CN"/>
              </w:rPr>
              <w:t>50</w:t>
            </w:r>
            <w:r>
              <w:rPr>
                <w:rFonts w:hint="default"/>
                <w:color w:val="FF0000"/>
                <w:sz w:val="24"/>
                <w:highlight w:val="none"/>
              </w:rPr>
              <w:t>dB(A)</w:t>
            </w:r>
            <w:r>
              <w:rPr>
                <w:rFonts w:hint="eastAsia"/>
                <w:color w:val="FF0000"/>
                <w:sz w:val="24"/>
                <w:highlight w:val="none"/>
                <w:lang w:eastAsia="zh-CN"/>
              </w:rPr>
              <w:t>，</w:t>
            </w:r>
            <w:r>
              <w:rPr>
                <w:rFonts w:hint="default"/>
                <w:color w:val="FF0000"/>
                <w:sz w:val="24"/>
                <w:highlight w:val="none"/>
              </w:rPr>
              <w:t>满足《声环境质量标准》（GB3096-2008）中</w:t>
            </w:r>
            <w:r>
              <w:rPr>
                <w:rFonts w:hint="eastAsia"/>
                <w:color w:val="FF0000"/>
                <w:sz w:val="24"/>
                <w:highlight w:val="none"/>
                <w:lang w:val="en-US" w:eastAsia="zh-CN"/>
              </w:rPr>
              <w:t>4a</w:t>
            </w:r>
            <w:r>
              <w:rPr>
                <w:rFonts w:hint="default"/>
                <w:color w:val="FF0000"/>
                <w:sz w:val="24"/>
                <w:highlight w:val="none"/>
              </w:rPr>
              <w:t>类标准限值要求</w:t>
            </w:r>
            <w:r>
              <w:rPr>
                <w:rFonts w:hint="eastAsia"/>
                <w:color w:val="FF0000"/>
                <w:sz w:val="24"/>
                <w:highlight w:val="none"/>
                <w:lang w:val="en-US" w:eastAsia="zh-CN"/>
              </w:rPr>
              <w:t>及2</w:t>
            </w:r>
            <w:r>
              <w:rPr>
                <w:rFonts w:hint="default"/>
                <w:color w:val="FF0000"/>
                <w:sz w:val="24"/>
                <w:highlight w:val="none"/>
              </w:rPr>
              <w:t>类标准限值要求。</w:t>
            </w:r>
            <w:r>
              <w:rPr>
                <w:rFonts w:hint="eastAsia"/>
                <w:color w:val="000000" w:themeColor="text1"/>
                <w:sz w:val="24"/>
                <w:highlight w:val="none"/>
                <w:lang w:val="en-US" w:eastAsia="zh-CN"/>
                <w14:textFill>
                  <w14:solidFill>
                    <w14:schemeClr w14:val="tx1"/>
                  </w14:solidFill>
                </w14:textFill>
              </w:rPr>
              <w:t>改造</w:t>
            </w:r>
            <w:r>
              <w:rPr>
                <w:rFonts w:hint="eastAsia"/>
                <w:color w:val="000000" w:themeColor="text1"/>
                <w:sz w:val="24"/>
                <w:highlight w:val="none"/>
                <w:lang w:eastAsia="zh-CN"/>
                <w14:textFill>
                  <w14:solidFill>
                    <w14:schemeClr w14:val="tx1"/>
                  </w14:solidFill>
                </w14:textFill>
              </w:rPr>
              <w:t>输电线路</w:t>
            </w:r>
            <w:r>
              <w:rPr>
                <w:rFonts w:hint="default"/>
                <w:color w:val="000000" w:themeColor="text1"/>
                <w:sz w:val="24"/>
                <w:highlight w:val="none"/>
                <w14:textFill>
                  <w14:solidFill>
                    <w14:schemeClr w14:val="tx1"/>
                  </w14:solidFill>
                </w14:textFill>
              </w:rPr>
              <w:t>昼间噪声值为</w:t>
            </w:r>
            <w:r>
              <w:rPr>
                <w:rFonts w:hint="eastAsia"/>
                <w:color w:val="000000" w:themeColor="text1"/>
                <w:sz w:val="24"/>
                <w:highlight w:val="none"/>
                <w:lang w:val="en-US" w:eastAsia="zh-CN"/>
                <w14:textFill>
                  <w14:solidFill>
                    <w14:schemeClr w14:val="tx1"/>
                  </w14:solidFill>
                </w14:textFill>
              </w:rPr>
              <w:t>42</w:t>
            </w:r>
            <w:r>
              <w:rPr>
                <w:rFonts w:hint="default"/>
                <w:color w:val="000000" w:themeColor="text1"/>
                <w:sz w:val="24"/>
                <w:highlight w:val="none"/>
                <w14:textFill>
                  <w14:solidFill>
                    <w14:schemeClr w14:val="tx1"/>
                  </w14:solidFill>
                </w14:textFill>
              </w:rPr>
              <w:t>dB(A)，夜间噪声值范围为</w:t>
            </w:r>
            <w:r>
              <w:rPr>
                <w:rFonts w:hint="eastAsia"/>
                <w:color w:val="000000" w:themeColor="text1"/>
                <w:sz w:val="24"/>
                <w:highlight w:val="none"/>
                <w:lang w:val="en-US" w:eastAsia="zh-CN"/>
                <w14:textFill>
                  <w14:solidFill>
                    <w14:schemeClr w14:val="tx1"/>
                  </w14:solidFill>
                </w14:textFill>
              </w:rPr>
              <w:t>39</w:t>
            </w:r>
            <w:r>
              <w:rPr>
                <w:rFonts w:hint="default"/>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40</w:t>
            </w:r>
            <w:r>
              <w:rPr>
                <w:rFonts w:hint="default"/>
                <w:color w:val="000000" w:themeColor="text1"/>
                <w:sz w:val="24"/>
                <w:highlight w:val="none"/>
                <w14:textFill>
                  <w14:solidFill>
                    <w14:schemeClr w14:val="tx1"/>
                  </w14:solidFill>
                </w14:textFill>
              </w:rPr>
              <w:t>dB(A)</w:t>
            </w:r>
            <w:r>
              <w:rPr>
                <w:rFonts w:hint="eastAsia"/>
                <w:color w:val="000000" w:themeColor="text1"/>
                <w:sz w:val="24"/>
                <w:highlight w:val="none"/>
                <w:lang w:eastAsia="zh-CN"/>
                <w14:textFill>
                  <w14:solidFill>
                    <w14:schemeClr w14:val="tx1"/>
                  </w14:solidFill>
                </w14:textFill>
              </w:rPr>
              <w:t>，</w:t>
            </w:r>
            <w:r>
              <w:rPr>
                <w:rFonts w:hint="default"/>
                <w:color w:val="000000" w:themeColor="text1"/>
                <w:sz w:val="24"/>
                <w:highlight w:val="none"/>
                <w14:textFill>
                  <w14:solidFill>
                    <w14:schemeClr w14:val="tx1"/>
                  </w14:solidFill>
                </w14:textFill>
              </w:rPr>
              <w:t>满足《声环境质量标准》（GB3096-2008）中</w:t>
            </w:r>
            <w:r>
              <w:rPr>
                <w:rFonts w:hint="eastAsia"/>
                <w:color w:val="000000" w:themeColor="text1"/>
                <w:sz w:val="24"/>
                <w:highlight w:val="none"/>
                <w:lang w:val="en-US" w:eastAsia="zh-CN"/>
                <w14:textFill>
                  <w14:solidFill>
                    <w14:schemeClr w14:val="tx1"/>
                  </w14:solidFill>
                </w14:textFill>
              </w:rPr>
              <w:t>2</w:t>
            </w:r>
            <w:r>
              <w:rPr>
                <w:rFonts w:hint="default"/>
                <w:color w:val="000000" w:themeColor="text1"/>
                <w:sz w:val="24"/>
                <w:highlight w:val="none"/>
                <w14:textFill>
                  <w14:solidFill>
                    <w14:schemeClr w14:val="tx1"/>
                  </w14:solidFill>
                </w14:textFill>
              </w:rPr>
              <w:t>类标准限值要求。</w:t>
            </w:r>
            <w:r>
              <w:rPr>
                <w:rFonts w:hint="eastAsia"/>
                <w:color w:val="000000" w:themeColor="text1"/>
                <w:sz w:val="24"/>
                <w:highlight w:val="none"/>
                <w:lang w:eastAsia="zh-CN"/>
                <w14:textFill>
                  <w14:solidFill>
                    <w14:schemeClr w14:val="tx1"/>
                  </w14:solidFill>
                </w14:textFill>
              </w:rPr>
              <w:t>拟建输电线路</w:t>
            </w:r>
            <w:r>
              <w:rPr>
                <w:rFonts w:hint="default"/>
                <w:color w:val="000000" w:themeColor="text1"/>
                <w:sz w:val="24"/>
                <w:highlight w:val="none"/>
                <w14:textFill>
                  <w14:solidFill>
                    <w14:schemeClr w14:val="tx1"/>
                  </w14:solidFill>
                </w14:textFill>
              </w:rPr>
              <w:t>昼间噪声值范围为</w:t>
            </w:r>
            <w:r>
              <w:rPr>
                <w:rFonts w:hint="eastAsia"/>
                <w:color w:val="000000" w:themeColor="text1"/>
                <w:sz w:val="24"/>
                <w:highlight w:val="none"/>
                <w:lang w:val="en-US" w:eastAsia="zh-CN"/>
                <w14:textFill>
                  <w14:solidFill>
                    <w14:schemeClr w14:val="tx1"/>
                  </w14:solidFill>
                </w14:textFill>
              </w:rPr>
              <w:t>42</w:t>
            </w:r>
            <w:r>
              <w:rPr>
                <w:rFonts w:hint="default"/>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47</w:t>
            </w:r>
            <w:r>
              <w:rPr>
                <w:rFonts w:hint="default"/>
                <w:color w:val="000000" w:themeColor="text1"/>
                <w:sz w:val="24"/>
                <w:highlight w:val="none"/>
                <w14:textFill>
                  <w14:solidFill>
                    <w14:schemeClr w14:val="tx1"/>
                  </w14:solidFill>
                </w14:textFill>
              </w:rPr>
              <w:t>dB(A)，夜间噪声值范围为</w:t>
            </w:r>
            <w:r>
              <w:rPr>
                <w:rFonts w:hint="eastAsia"/>
                <w:color w:val="000000" w:themeColor="text1"/>
                <w:sz w:val="24"/>
                <w:highlight w:val="none"/>
                <w:lang w:val="en-US" w:eastAsia="zh-CN"/>
                <w14:textFill>
                  <w14:solidFill>
                    <w14:schemeClr w14:val="tx1"/>
                  </w14:solidFill>
                </w14:textFill>
              </w:rPr>
              <w:t>37</w:t>
            </w:r>
            <w:r>
              <w:rPr>
                <w:rFonts w:hint="default"/>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40</w:t>
            </w:r>
            <w:r>
              <w:rPr>
                <w:rFonts w:hint="default"/>
                <w:color w:val="000000" w:themeColor="text1"/>
                <w:sz w:val="24"/>
                <w:highlight w:val="none"/>
                <w14:textFill>
                  <w14:solidFill>
                    <w14:schemeClr w14:val="tx1"/>
                  </w14:solidFill>
                </w14:textFill>
              </w:rPr>
              <w:t>dB(A)</w:t>
            </w:r>
            <w:r>
              <w:rPr>
                <w:rFonts w:hint="eastAsia"/>
                <w:color w:val="000000" w:themeColor="text1"/>
                <w:sz w:val="24"/>
                <w:highlight w:val="none"/>
                <w:lang w:eastAsia="zh-CN"/>
                <w14:textFill>
                  <w14:solidFill>
                    <w14:schemeClr w14:val="tx1"/>
                  </w14:solidFill>
                </w14:textFill>
              </w:rPr>
              <w:t>，</w:t>
            </w:r>
            <w:r>
              <w:rPr>
                <w:rFonts w:hint="default"/>
                <w:color w:val="000000" w:themeColor="text1"/>
                <w:sz w:val="24"/>
                <w:highlight w:val="none"/>
                <w14:textFill>
                  <w14:solidFill>
                    <w14:schemeClr w14:val="tx1"/>
                  </w14:solidFill>
                </w14:textFill>
              </w:rPr>
              <w:t>满足《声环境质量标准》（GB3096-2008）中</w:t>
            </w:r>
            <w:r>
              <w:rPr>
                <w:rFonts w:hint="eastAsia"/>
                <w:color w:val="000000" w:themeColor="text1"/>
                <w:sz w:val="24"/>
                <w:highlight w:val="none"/>
                <w:lang w:val="en-US" w:eastAsia="zh-CN"/>
                <w14:textFill>
                  <w14:solidFill>
                    <w14:schemeClr w14:val="tx1"/>
                  </w14:solidFill>
                </w14:textFill>
              </w:rPr>
              <w:t>1</w:t>
            </w:r>
            <w:r>
              <w:rPr>
                <w:rFonts w:hint="default"/>
                <w:color w:val="000000" w:themeColor="text1"/>
                <w:sz w:val="24"/>
                <w:highlight w:val="none"/>
                <w14:textFill>
                  <w14:solidFill>
                    <w14:schemeClr w14:val="tx1"/>
                  </w14:solidFill>
                </w14:textFill>
              </w:rPr>
              <w:t>类标准限值要求。</w:t>
            </w:r>
          </w:p>
          <w:p w14:paraId="243D9D2B">
            <w:pPr>
              <w:pStyle w:val="74"/>
              <w:keepNext w:val="0"/>
              <w:keepLines w:val="0"/>
              <w:suppressLineNumbers w:val="0"/>
              <w:spacing w:before="0" w:beforeAutospacing="0" w:after="0" w:afterAutospacing="0"/>
              <w:ind w:left="0" w:right="0" w:firstLine="482"/>
              <w:rPr>
                <w:rFonts w:hint="default"/>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5、</w:t>
            </w:r>
            <w:r>
              <w:rPr>
                <w:rFonts w:hint="default"/>
                <w:b/>
                <w:bCs/>
                <w:color w:val="000000" w:themeColor="text1"/>
                <w:sz w:val="24"/>
                <w:highlight w:val="none"/>
                <w14:textFill>
                  <w14:solidFill>
                    <w14:schemeClr w14:val="tx1"/>
                  </w14:solidFill>
                </w14:textFill>
              </w:rPr>
              <w:t>电磁环境</w:t>
            </w:r>
            <w:r>
              <w:rPr>
                <w:rFonts w:hint="eastAsia"/>
                <w:b/>
                <w:bCs/>
                <w:color w:val="000000" w:themeColor="text1"/>
                <w:sz w:val="24"/>
                <w:highlight w:val="none"/>
                <w14:textFill>
                  <w14:solidFill>
                    <w14:schemeClr w14:val="tx1"/>
                  </w14:solidFill>
                </w14:textFill>
              </w:rPr>
              <w:t>现状</w:t>
            </w:r>
          </w:p>
          <w:p w14:paraId="13B995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根据监测结果，恒山220kV变电站</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厂界</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、鸡西500kV变电站出线位置、拟建线路检测点位、改造线路、环境敏感目标处工频电场强度、工频磁感应强度监测结果均满足《电磁环境控制限值》（GB 8702-2014）中公众曝露控制限值要求。</w:t>
            </w:r>
          </w:p>
          <w:p w14:paraId="2E1708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宋体" w:hAnsi="宋体" w:cs="宋体"/>
                <w:color w:val="000000" w:themeColor="text1"/>
                <w:kern w:val="0"/>
                <w:sz w:val="24"/>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详见</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专题1电磁环境影响专题评价</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w:t>
            </w:r>
          </w:p>
        </w:tc>
      </w:tr>
      <w:tr w14:paraId="5F4C46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8" w:hRule="atLeast"/>
          <w:jc w:val="center"/>
        </w:trPr>
        <w:tc>
          <w:tcPr>
            <w:tcW w:w="456" w:type="dxa"/>
            <w:vAlign w:val="center"/>
          </w:tcPr>
          <w:p w14:paraId="6F793A80">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bCs/>
                <w:color w:val="000000" w:themeColor="text1"/>
                <w:sz w:val="24"/>
                <w14:textFill>
                  <w14:solidFill>
                    <w14:schemeClr w14:val="tx1"/>
                  </w14:solidFill>
                </w14:textFill>
              </w:rPr>
              <w:t>与项目有关的原有环境污染和生态破坏问题</w:t>
            </w:r>
          </w:p>
        </w:tc>
        <w:tc>
          <w:tcPr>
            <w:tcW w:w="9403" w:type="dxa"/>
            <w:vAlign w:val="center"/>
          </w:tcPr>
          <w:p w14:paraId="706D9DA4">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eastAsia" w:cs="Times New Roman"/>
                <w:b/>
                <w:bCs w:val="0"/>
                <w:color w:val="000000" w:themeColor="text1"/>
                <w:sz w:val="24"/>
                <w:highlight w:val="none"/>
                <w:lang w:val="en-US" w:eastAsia="zh-CN"/>
                <w14:textFill>
                  <w14:solidFill>
                    <w14:schemeClr w14:val="tx1"/>
                  </w14:solidFill>
                </w14:textFill>
              </w:rPr>
            </w:pPr>
            <w:r>
              <w:rPr>
                <w:rFonts w:hint="eastAsia" w:cs="Times New Roman"/>
                <w:b/>
                <w:bCs w:val="0"/>
                <w:color w:val="000000" w:themeColor="text1"/>
                <w:sz w:val="24"/>
                <w:highlight w:val="none"/>
                <w:lang w:val="en-US" w:eastAsia="zh-CN"/>
                <w14:textFill>
                  <w14:solidFill>
                    <w14:schemeClr w14:val="tx1"/>
                  </w14:solidFill>
                </w14:textFill>
              </w:rPr>
              <w:t>1、220kV恒山变电站</w:t>
            </w:r>
          </w:p>
          <w:p w14:paraId="3C14B7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kern w:val="2"/>
                <w:sz w:val="24"/>
                <w:szCs w:val="18"/>
                <w:lang w:val="en-US" w:eastAsia="zh-CN" w:bidi="ar-SA"/>
                <w14:textFill>
                  <w14:solidFill>
                    <w14:schemeClr w14:val="tx1"/>
                  </w14:solidFill>
                </w14:textFill>
              </w:rPr>
            </w:pPr>
            <w:r>
              <w:rPr>
                <w:rFonts w:hint="eastAsia" w:cs="Times New Roman"/>
                <w:b/>
                <w:bCs/>
                <w:color w:val="000000" w:themeColor="text1"/>
                <w:kern w:val="2"/>
                <w:sz w:val="24"/>
                <w:szCs w:val="18"/>
                <w:lang w:val="en-US" w:eastAsia="zh-CN" w:bidi="ar-SA"/>
                <w14:textFill>
                  <w14:solidFill>
                    <w14:schemeClr w14:val="tx1"/>
                  </w14:solidFill>
                </w14:textFill>
              </w:rPr>
              <w:t>1.</w:t>
            </w:r>
            <w:r>
              <w:rPr>
                <w:rFonts w:hint="eastAsia" w:ascii="Times New Roman" w:hAnsi="Times New Roman" w:eastAsia="宋体" w:cs="Times New Roman"/>
                <w:b/>
                <w:bCs/>
                <w:color w:val="000000" w:themeColor="text1"/>
                <w:kern w:val="2"/>
                <w:sz w:val="24"/>
                <w:szCs w:val="18"/>
                <w:lang w:val="en-US" w:eastAsia="zh-CN" w:bidi="ar-SA"/>
                <w14:textFill>
                  <w14:solidFill>
                    <w14:schemeClr w14:val="tx1"/>
                  </w14:solidFill>
                </w14:textFill>
              </w:rPr>
              <w:t>1 原有工程环保手续履行情况</w:t>
            </w:r>
          </w:p>
          <w:p w14:paraId="5D25FDE3">
            <w:pPr>
              <w:pStyle w:val="2"/>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220kV</w:t>
            </w:r>
            <w:r>
              <w:rPr>
                <w:rFonts w:hint="eastAsia" w:eastAsia="宋体" w:cs="Times New Roman"/>
                <w:b w:val="0"/>
                <w:bCs w:val="0"/>
                <w:color w:val="000000" w:themeColor="text1"/>
                <w:kern w:val="2"/>
                <w:sz w:val="24"/>
                <w:szCs w:val="24"/>
                <w:highlight w:val="none"/>
                <w:lang w:val="en-US" w:eastAsia="zh-CN" w:bidi="ar-SA"/>
                <w14:textFill>
                  <w14:solidFill>
                    <w14:schemeClr w14:val="tx1"/>
                  </w14:solidFill>
                </w14:textFill>
              </w:rPr>
              <w:t>恒山</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变电站位于鸡西市恒山区安乐三队鸡恒路南。于</w:t>
            </w:r>
            <w:r>
              <w:rPr>
                <w:rFonts w:hint="eastAsia" w:eastAsia="宋体" w:cs="Times New Roman"/>
                <w:b w:val="0"/>
                <w:bCs w:val="0"/>
                <w:color w:val="000000" w:themeColor="text1"/>
                <w:kern w:val="2"/>
                <w:sz w:val="24"/>
                <w:szCs w:val="24"/>
                <w:highlight w:val="none"/>
                <w:lang w:val="en-US" w:eastAsia="zh-CN" w:bidi="ar-SA"/>
                <w14:textFill>
                  <w14:solidFill>
                    <w14:schemeClr w14:val="tx1"/>
                  </w14:solidFill>
                </w14:textFill>
              </w:rPr>
              <w:t>1988年建站，</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建设</w:t>
            </w:r>
            <w:r>
              <w:rPr>
                <w:rFonts w:hint="eastAsia" w:eastAsia="宋体" w:cs="Times New Roman"/>
                <w:b w:val="0"/>
                <w:bCs w:val="0"/>
                <w:color w:val="000000" w:themeColor="text1"/>
                <w:kern w:val="2"/>
                <w:sz w:val="24"/>
                <w:szCs w:val="24"/>
                <w:highlight w:val="none"/>
                <w:lang w:val="en-US" w:eastAsia="zh-CN" w:bidi="ar-SA"/>
                <w14:textFill>
                  <w14:solidFill>
                    <w14:schemeClr w14:val="tx1"/>
                  </w14:solidFill>
                </w14:textFill>
              </w:rPr>
              <w:t>时间</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较早，无环评、验收手续。</w:t>
            </w:r>
            <w:r>
              <w:rPr>
                <w:rFonts w:hint="eastAsia" w:eastAsia="宋体" w:cs="Times New Roman"/>
                <w:b w:val="0"/>
                <w:bCs w:val="0"/>
                <w:color w:val="000000" w:themeColor="text1"/>
                <w:kern w:val="2"/>
                <w:sz w:val="24"/>
                <w:szCs w:val="24"/>
                <w:highlight w:val="none"/>
                <w:lang w:val="en-US" w:eastAsia="zh-CN" w:bidi="ar-SA"/>
                <w14:textFill>
                  <w14:solidFill>
                    <w14:schemeClr w14:val="tx1"/>
                  </w14:solidFill>
                </w14:textFill>
              </w:rPr>
              <w:t>现有两台90MVA主变压器，220kV出线2回，分别为鸡恒甲线、鸡恒乙线，220kV配电装置布置在站区西侧，66kV配电装置布置在站区南侧，主控通信建筑布置在北侧进站大门西侧。</w:t>
            </w:r>
          </w:p>
          <w:p w14:paraId="07FDCB55">
            <w:pPr>
              <w:pStyle w:val="74"/>
              <w:keepNext w:val="0"/>
              <w:keepLines w:val="0"/>
              <w:suppressLineNumbers w:val="0"/>
              <w:spacing w:before="0" w:beforeAutospacing="0" w:after="0" w:afterAutospacing="0"/>
              <w:ind w:left="0" w:right="0" w:firstLine="480"/>
              <w:rPr>
                <w:rFonts w:hint="eastAsia" w:eastAsia="宋体"/>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1</w:t>
            </w:r>
            <w:r>
              <w:rPr>
                <w:rFonts w:hint="eastAsia" w:eastAsia="宋体"/>
                <w:b/>
                <w:bCs/>
                <w:color w:val="000000" w:themeColor="text1"/>
                <w:sz w:val="24"/>
                <w:lang w:val="en-US" w:eastAsia="zh-CN"/>
                <w14:textFill>
                  <w14:solidFill>
                    <w14:schemeClr w14:val="tx1"/>
                  </w14:solidFill>
                </w14:textFill>
              </w:rPr>
              <w:t>.2 220</w:t>
            </w:r>
            <w:r>
              <w:rPr>
                <w:rFonts w:hint="eastAsia"/>
                <w:b/>
                <w:bCs/>
                <w:color w:val="000000" w:themeColor="text1"/>
                <w:sz w:val="24"/>
                <w:lang w:val="en-US" w:eastAsia="zh-CN"/>
                <w14:textFill>
                  <w14:solidFill>
                    <w14:schemeClr w14:val="tx1"/>
                  </w14:solidFill>
                </w14:textFill>
              </w:rPr>
              <w:t>千伏恒山</w:t>
            </w:r>
            <w:r>
              <w:rPr>
                <w:rFonts w:hint="eastAsia" w:eastAsia="宋体"/>
                <w:b/>
                <w:bCs/>
                <w:color w:val="000000" w:themeColor="text1"/>
                <w:sz w:val="24"/>
                <w:lang w:val="en-US" w:eastAsia="zh-CN"/>
                <w14:textFill>
                  <w14:solidFill>
                    <w14:schemeClr w14:val="tx1"/>
                  </w14:solidFill>
                </w14:textFill>
              </w:rPr>
              <w:t>变</w:t>
            </w:r>
            <w:r>
              <w:rPr>
                <w:rFonts w:hint="eastAsia" w:ascii="Times New Roman" w:hAnsi="Times New Roman" w:eastAsia="宋体" w:cs="Times New Roman"/>
                <w:b/>
                <w:bCs w:val="0"/>
                <w:color w:val="000000" w:themeColor="text1"/>
                <w:sz w:val="24"/>
                <w:highlight w:val="none"/>
                <w:lang w:val="en-US" w:eastAsia="zh-CN"/>
                <w14:textFill>
                  <w14:solidFill>
                    <w14:schemeClr w14:val="tx1"/>
                  </w14:solidFill>
                </w14:textFill>
              </w:rPr>
              <w:t>电站</w:t>
            </w:r>
            <w:r>
              <w:rPr>
                <w:rFonts w:hint="eastAsia" w:eastAsia="宋体"/>
                <w:b/>
                <w:bCs/>
                <w:color w:val="000000" w:themeColor="text1"/>
                <w:sz w:val="24"/>
                <w:lang w:val="en-US" w:eastAsia="zh-CN"/>
                <w14:textFill>
                  <w14:solidFill>
                    <w14:schemeClr w14:val="tx1"/>
                  </w14:solidFill>
                </w14:textFill>
              </w:rPr>
              <w:t>目前主要污染情况如下：</w:t>
            </w:r>
          </w:p>
          <w:p w14:paraId="68C60710">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）废气</w:t>
            </w:r>
          </w:p>
          <w:p w14:paraId="1F7E76B4">
            <w:pPr>
              <w:pStyle w:val="74"/>
              <w:keepNext w:val="0"/>
              <w:keepLines w:val="0"/>
              <w:suppressLineNumbers w:val="0"/>
              <w:spacing w:before="0" w:beforeAutospacing="0" w:after="0" w:afterAutospacing="0"/>
              <w:ind w:left="0" w:right="0" w:firstLine="480"/>
              <w:rPr>
                <w:rFonts w:hint="default"/>
                <w:color w:val="000000" w:themeColor="text1"/>
                <w:sz w:val="24"/>
                <w:lang w:val="en-US"/>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220kV</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恒山</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变电站</w:t>
            </w:r>
            <w:r>
              <w:rPr>
                <w:rFonts w:hint="eastAsia"/>
                <w:color w:val="000000" w:themeColor="text1"/>
                <w:sz w:val="24"/>
                <w:lang w:val="en-US" w:eastAsia="zh-CN"/>
                <w14:textFill>
                  <w14:solidFill>
                    <w14:schemeClr w14:val="tx1"/>
                  </w14:solidFill>
                </w14:textFill>
              </w:rPr>
              <w:t>无废气产生。</w:t>
            </w:r>
          </w:p>
          <w:p w14:paraId="2C404E3A">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（2）废水</w:t>
            </w:r>
          </w:p>
          <w:p w14:paraId="75E854E4">
            <w:pPr>
              <w:pStyle w:val="74"/>
              <w:keepNext w:val="0"/>
              <w:keepLines w:val="0"/>
              <w:suppressLineNumbers w:val="0"/>
              <w:spacing w:before="0" w:beforeAutospacing="0" w:after="0" w:afterAutospacing="0"/>
              <w:ind w:left="0" w:right="0" w:firstLine="480"/>
              <w:rPr>
                <w:rFonts w:hint="default"/>
                <w:color w:val="FF0000"/>
                <w:sz w:val="24"/>
              </w:rPr>
            </w:pPr>
            <w:r>
              <w:rPr>
                <w:rFonts w:hint="default" w:ascii="Times New Roman" w:hAnsi="Times New Roman" w:eastAsia="宋体" w:cs="Times New Roman"/>
                <w:b w:val="0"/>
                <w:bCs w:val="0"/>
                <w:color w:val="FF0000"/>
                <w:kern w:val="2"/>
                <w:sz w:val="24"/>
                <w:szCs w:val="24"/>
                <w:highlight w:val="none"/>
                <w:lang w:val="en-US" w:eastAsia="zh-CN" w:bidi="ar-SA"/>
              </w:rPr>
              <w:t>220kV</w:t>
            </w:r>
            <w:r>
              <w:rPr>
                <w:rFonts w:hint="eastAsia" w:cs="Times New Roman"/>
                <w:b w:val="0"/>
                <w:bCs w:val="0"/>
                <w:color w:val="FF0000"/>
                <w:kern w:val="2"/>
                <w:sz w:val="24"/>
                <w:szCs w:val="24"/>
                <w:highlight w:val="none"/>
                <w:lang w:val="en-US" w:eastAsia="zh-CN" w:bidi="ar-SA"/>
              </w:rPr>
              <w:t>恒山</w:t>
            </w:r>
            <w:r>
              <w:rPr>
                <w:rFonts w:hint="default" w:ascii="Times New Roman" w:hAnsi="Times New Roman" w:eastAsia="宋体" w:cs="Times New Roman"/>
                <w:b w:val="0"/>
                <w:bCs w:val="0"/>
                <w:color w:val="FF0000"/>
                <w:kern w:val="2"/>
                <w:sz w:val="24"/>
                <w:szCs w:val="24"/>
                <w:highlight w:val="none"/>
                <w:lang w:val="en-US" w:eastAsia="zh-CN" w:bidi="ar-SA"/>
              </w:rPr>
              <w:t>变电站</w:t>
            </w:r>
            <w:r>
              <w:rPr>
                <w:rFonts w:hint="eastAsia"/>
                <w:color w:val="FF0000"/>
                <w:sz w:val="24"/>
                <w:lang w:val="en-US" w:eastAsia="zh-CN"/>
              </w:rPr>
              <w:t>人员</w:t>
            </w:r>
            <w:r>
              <w:rPr>
                <w:rFonts w:hint="eastAsia"/>
                <w:color w:val="FF0000"/>
                <w:sz w:val="24"/>
              </w:rPr>
              <w:t>生活污水排入站内防渗化粪池，</w:t>
            </w:r>
            <w:r>
              <w:rPr>
                <w:rFonts w:hint="eastAsia"/>
                <w:color w:val="FF0000"/>
                <w:sz w:val="24"/>
                <w:lang w:val="en-US" w:eastAsia="zh-CN"/>
              </w:rPr>
              <w:t>经化粪池截留沉淀后由市政部门定期清掏</w:t>
            </w:r>
            <w:r>
              <w:rPr>
                <w:rFonts w:hint="eastAsia"/>
                <w:color w:val="FF0000"/>
                <w:sz w:val="24"/>
              </w:rPr>
              <w:t>。</w:t>
            </w:r>
          </w:p>
          <w:p w14:paraId="3270A021">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（3）电磁环境</w:t>
            </w:r>
          </w:p>
          <w:p w14:paraId="6090B034">
            <w:pPr>
              <w:pStyle w:val="74"/>
              <w:keepNext w:val="0"/>
              <w:keepLines w:val="0"/>
              <w:suppressLineNumbers w:val="0"/>
              <w:spacing w:before="0" w:beforeAutospacing="0" w:after="0" w:afterAutospacing="0"/>
              <w:ind w:left="0" w:right="0" w:firstLine="480"/>
              <w:jc w:val="both"/>
              <w:rPr>
                <w:rFonts w:hint="default"/>
                <w:color w:val="FF0000"/>
                <w:sz w:val="24"/>
              </w:rPr>
            </w:pPr>
            <w:r>
              <w:rPr>
                <w:rFonts w:hint="default" w:ascii="Times New Roman" w:hAnsi="Times New Roman" w:eastAsia="宋体" w:cs="Times New Roman"/>
                <w:b w:val="0"/>
                <w:bCs w:val="0"/>
                <w:color w:val="FF0000"/>
                <w:kern w:val="2"/>
                <w:sz w:val="24"/>
                <w:szCs w:val="24"/>
                <w:highlight w:val="none"/>
                <w:lang w:val="en-US" w:eastAsia="zh-CN" w:bidi="ar-SA"/>
              </w:rPr>
              <w:t>220kV</w:t>
            </w:r>
            <w:r>
              <w:rPr>
                <w:rFonts w:hint="eastAsia" w:cs="Times New Roman"/>
                <w:b w:val="0"/>
                <w:bCs w:val="0"/>
                <w:color w:val="FF0000"/>
                <w:kern w:val="2"/>
                <w:sz w:val="24"/>
                <w:szCs w:val="24"/>
                <w:highlight w:val="none"/>
                <w:lang w:val="en-US" w:eastAsia="zh-CN" w:bidi="ar-SA"/>
              </w:rPr>
              <w:t>恒山</w:t>
            </w:r>
            <w:r>
              <w:rPr>
                <w:rFonts w:hint="default" w:ascii="Times New Roman" w:hAnsi="Times New Roman" w:eastAsia="宋体" w:cs="Times New Roman"/>
                <w:b w:val="0"/>
                <w:bCs w:val="0"/>
                <w:color w:val="FF0000"/>
                <w:kern w:val="2"/>
                <w:sz w:val="24"/>
                <w:szCs w:val="24"/>
                <w:highlight w:val="none"/>
                <w:lang w:val="en-US" w:eastAsia="zh-CN" w:bidi="ar-SA"/>
              </w:rPr>
              <w:t>变电站</w:t>
            </w:r>
            <w:r>
              <w:rPr>
                <w:rFonts w:hint="eastAsia"/>
                <w:color w:val="FF0000"/>
                <w:sz w:val="24"/>
              </w:rPr>
              <w:t>会产生电磁辐射，对周围环境会产生影响。由现状监测数据可知，恒山变电站工频电场强度范围为0.18-204.56V/m，工频磁感应强度范围为0.0764-1.5199</w:t>
            </w:r>
            <w:r>
              <w:rPr>
                <w:rFonts w:hint="default" w:ascii="Times New Roman" w:hAnsi="Times New Roman" w:cs="Times New Roman"/>
                <w:color w:val="FF0000"/>
                <w:sz w:val="24"/>
              </w:rPr>
              <w:t>μ</w:t>
            </w:r>
            <w:r>
              <w:rPr>
                <w:rFonts w:hint="eastAsia"/>
                <w:color w:val="FF0000"/>
                <w:sz w:val="24"/>
              </w:rPr>
              <w:t>T</w:t>
            </w:r>
            <w:r>
              <w:rPr>
                <w:rFonts w:hint="eastAsia"/>
                <w:color w:val="FF0000"/>
                <w:sz w:val="24"/>
                <w:lang w:eastAsia="zh-CN"/>
              </w:rPr>
              <w:t>，</w:t>
            </w:r>
            <w:r>
              <w:rPr>
                <w:rFonts w:hint="eastAsia"/>
                <w:color w:val="FF0000"/>
                <w:sz w:val="24"/>
              </w:rPr>
              <w:t>变电站厂界处的工频电场强度、工频磁感应强度能够满足《电磁环境控制限值》（GB 8702-2014）</w:t>
            </w:r>
            <w:r>
              <w:rPr>
                <w:rFonts w:hint="eastAsia"/>
                <w:color w:val="FF0000"/>
                <w:sz w:val="24"/>
                <w:lang w:val="en-US" w:eastAsia="zh-CN"/>
              </w:rPr>
              <w:t>要求</w:t>
            </w:r>
            <w:r>
              <w:rPr>
                <w:rFonts w:hint="default"/>
                <w:color w:val="FF0000"/>
                <w:sz w:val="24"/>
              </w:rPr>
              <w:t>（电场强度4000V/m，磁感应强度100μT）</w:t>
            </w:r>
            <w:r>
              <w:rPr>
                <w:rFonts w:hint="eastAsia"/>
                <w:color w:val="FF0000"/>
                <w:sz w:val="24"/>
              </w:rPr>
              <w:t>。</w:t>
            </w:r>
          </w:p>
          <w:p w14:paraId="4DAF6046">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（4）噪声</w:t>
            </w:r>
          </w:p>
          <w:p w14:paraId="026CEFC5">
            <w:pPr>
              <w:pStyle w:val="74"/>
              <w:keepNext w:val="0"/>
              <w:keepLines w:val="0"/>
              <w:suppressLineNumbers w:val="0"/>
              <w:spacing w:before="0" w:beforeAutospacing="0" w:after="0" w:afterAutospacing="0"/>
              <w:ind w:left="0" w:right="0" w:firstLine="480"/>
              <w:rPr>
                <w:rFonts w:hint="default"/>
                <w:color w:val="FF0000"/>
                <w:sz w:val="24"/>
              </w:rPr>
            </w:pPr>
            <w:r>
              <w:rPr>
                <w:rFonts w:hint="default" w:ascii="Times New Roman" w:hAnsi="Times New Roman" w:eastAsia="宋体" w:cs="Times New Roman"/>
                <w:b w:val="0"/>
                <w:bCs w:val="0"/>
                <w:color w:val="FF0000"/>
                <w:kern w:val="2"/>
                <w:sz w:val="24"/>
                <w:szCs w:val="24"/>
                <w:highlight w:val="none"/>
                <w:lang w:val="en-US" w:eastAsia="zh-CN" w:bidi="ar-SA"/>
              </w:rPr>
              <w:t>220kV</w:t>
            </w:r>
            <w:r>
              <w:rPr>
                <w:rFonts w:hint="eastAsia" w:cs="Times New Roman"/>
                <w:b w:val="0"/>
                <w:bCs w:val="0"/>
                <w:color w:val="FF0000"/>
                <w:kern w:val="2"/>
                <w:sz w:val="24"/>
                <w:szCs w:val="24"/>
                <w:highlight w:val="none"/>
                <w:lang w:val="en-US" w:eastAsia="zh-CN" w:bidi="ar-SA"/>
              </w:rPr>
              <w:t>恒山</w:t>
            </w:r>
            <w:r>
              <w:rPr>
                <w:rFonts w:hint="default" w:ascii="Times New Roman" w:hAnsi="Times New Roman" w:eastAsia="宋体" w:cs="Times New Roman"/>
                <w:b w:val="0"/>
                <w:bCs w:val="0"/>
                <w:color w:val="FF0000"/>
                <w:kern w:val="2"/>
                <w:sz w:val="24"/>
                <w:szCs w:val="24"/>
                <w:highlight w:val="none"/>
                <w:lang w:val="en-US" w:eastAsia="zh-CN" w:bidi="ar-SA"/>
              </w:rPr>
              <w:t>变电站</w:t>
            </w:r>
            <w:r>
              <w:rPr>
                <w:rFonts w:hint="eastAsia"/>
                <w:color w:val="FF0000"/>
                <w:sz w:val="24"/>
              </w:rPr>
              <w:t>噪声污染源主要为主变等。项目工程采用低噪声设备，采取安装减振垫减振、隔声等措施噪声污染防治等措施</w:t>
            </w:r>
            <w:r>
              <w:rPr>
                <w:rFonts w:hint="eastAsia"/>
                <w:color w:val="FF0000"/>
                <w:sz w:val="24"/>
                <w:lang w:eastAsia="zh-CN"/>
              </w:rPr>
              <w:t>。</w:t>
            </w:r>
            <w:r>
              <w:rPr>
                <w:rFonts w:hint="eastAsia"/>
                <w:color w:val="FF0000"/>
                <w:sz w:val="24"/>
              </w:rPr>
              <w:t>由现状监测数据可知，恒山变电站昼间噪声值范围为48-52dB(A)，夜间噪声值范围为46-49dB(A)，满足《工业企业厂界环境噪声排放标准》（GB12348-2008）中2类标准限值要求。</w:t>
            </w:r>
          </w:p>
          <w:p w14:paraId="026663E9">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（5）固体废物</w:t>
            </w:r>
          </w:p>
          <w:p w14:paraId="24334C22">
            <w:pPr>
              <w:pStyle w:val="74"/>
              <w:keepNext w:val="0"/>
              <w:keepLines w:val="0"/>
              <w:suppressLineNumbers w:val="0"/>
              <w:spacing w:before="0" w:beforeAutospacing="0" w:after="0" w:afterAutospacing="0"/>
              <w:ind w:left="0" w:right="0" w:firstLine="480"/>
              <w:jc w:val="both"/>
              <w:rPr>
                <w:rFonts w:hint="eastAsia" w:ascii="Times New Roman" w:hAnsi="Times New Roman" w:cs="Times New Roman"/>
                <w:color w:val="000000" w:themeColor="text1"/>
                <w:sz w:val="24"/>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220kV</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恒山</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变电站</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主要固体废物为生活垃圾</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废变压器油</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和废铅蓄电池。</w:t>
            </w:r>
            <w:r>
              <w:rPr>
                <w:rFonts w:hint="eastAsia" w:cs="Times New Roman"/>
                <w:b w:val="0"/>
                <w:bCs w:val="0"/>
                <w:color w:val="FF0000"/>
                <w:kern w:val="2"/>
                <w:sz w:val="24"/>
                <w:szCs w:val="24"/>
                <w:highlight w:val="none"/>
                <w:lang w:val="en-US" w:eastAsia="zh-CN" w:bidi="ar-SA"/>
              </w:rPr>
              <w:t>蓄电池由有资质的厂家上门更换，更换后的废铅蓄电池，不在站内暂存，交由具有资质单位进行处置；</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生活垃圾定期由环卫部门运走后进行无害化处置；废变压器油产生后暂存于地下事故油池中事故油池基础采用C30防渗混凝土结构，外壁为砖混结构水泥砂浆抹面，内为不锈钢衬层，中间为防渗混凝土填缝，加盖油池盖板。事故池防渗系数≤10</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-10</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cm/s）。恒山变电站站内主变最大油重为</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53.5</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t（变压器油密度为895kg/m</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，折合体积为59.78m</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），现有1座92m</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变压器油事故油池储存满足《危险废物贮存污染控制标准》（GB 18597-2</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023</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）和《火力发电厂与变电站设计防火标准》（GB 50229-2019）中事故油池容积满足最大一台设备含油量100%处置的要求，主变发生事故或检修时产生的废变压器油经排油管进入事故油池，收集后交由有危险废物处置资质的公司处置，不在站内设置临时存储间。</w:t>
            </w:r>
          </w:p>
          <w:p w14:paraId="759932B9">
            <w:pPr>
              <w:pStyle w:val="74"/>
              <w:keepNext w:val="0"/>
              <w:keepLines w:val="0"/>
              <w:suppressLineNumbers w:val="0"/>
              <w:spacing w:before="0" w:beforeAutospacing="0" w:after="0" w:afterAutospacing="0"/>
              <w:ind w:left="0" w:right="0" w:firstLine="480"/>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变电站内废旧蓄电池随工作人员检修更换时集中收集，一旦产生收集交由有危险废物处置资质的公司处置，不在站内设置临时存储间。</w:t>
            </w:r>
          </w:p>
          <w:p w14:paraId="7CAFF7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cs="Times New Roman"/>
                <w:b/>
                <w:bCs w:val="0"/>
                <w:color w:val="000000" w:themeColor="text1"/>
                <w:sz w:val="24"/>
                <w:lang w:val="en-US" w:eastAsia="zh-CN"/>
                <w14:textFill>
                  <w14:solidFill>
                    <w14:schemeClr w14:val="tx1"/>
                  </w14:solidFill>
                </w14:textFill>
              </w:rPr>
            </w:pPr>
            <w:r>
              <w:rPr>
                <w:rFonts w:hint="eastAsia" w:cs="Times New Roman"/>
                <w:b/>
                <w:bCs w:val="0"/>
                <w:color w:val="000000" w:themeColor="text1"/>
                <w:sz w:val="24"/>
                <w:lang w:val="en-US" w:eastAsia="zh-CN"/>
                <w14:textFill>
                  <w14:solidFill>
                    <w14:schemeClr w14:val="tx1"/>
                  </w14:solidFill>
                </w14:textFill>
              </w:rPr>
              <w:t>2、鸡联变-恒山变甲、乙线</w:t>
            </w:r>
          </w:p>
          <w:p w14:paraId="51750F3C">
            <w:pPr>
              <w:pStyle w:val="74"/>
              <w:keepNext w:val="0"/>
              <w:keepLines w:val="0"/>
              <w:suppressLineNumbers w:val="0"/>
              <w:spacing w:before="0" w:beforeAutospacing="0" w:after="0" w:afterAutospacing="0"/>
              <w:ind w:left="0" w:right="0" w:firstLine="480"/>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鸡联变-恒山变甲、乙线于</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1988年建设，</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建设</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时间</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较早，无环评、验收手续。改造线路主要为电磁环境影响和噪声环境影响，在现状监测中电磁与噪声符合相应标准限值要求。</w:t>
            </w:r>
          </w:p>
          <w:p w14:paraId="794E39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val="0"/>
                <w:color w:val="000000" w:themeColor="text1"/>
                <w:sz w:val="24"/>
                <w:lang w:val="en-US" w:eastAsia="zh-CN"/>
                <w14:textFill>
                  <w14:solidFill>
                    <w14:schemeClr w14:val="tx1"/>
                  </w14:solidFill>
                </w14:textFill>
              </w:rPr>
            </w:pPr>
            <w:r>
              <w:rPr>
                <w:rFonts w:hint="eastAsia" w:cs="Times New Roman"/>
                <w:b/>
                <w:bCs w:val="0"/>
                <w:color w:val="000000" w:themeColor="text1"/>
                <w:sz w:val="24"/>
                <w:lang w:val="en-US" w:eastAsia="zh-CN"/>
                <w14:textFill>
                  <w14:solidFill>
                    <w14:schemeClr w14:val="tx1"/>
                  </w14:solidFill>
                </w14:textFill>
              </w:rPr>
              <w:t>3、</w:t>
            </w:r>
            <w:r>
              <w:rPr>
                <w:rFonts w:hint="eastAsia" w:ascii="Times New Roman" w:hAnsi="Times New Roman" w:eastAsia="宋体" w:cs="Times New Roman"/>
                <w:b/>
                <w:bCs w:val="0"/>
                <w:color w:val="000000" w:themeColor="text1"/>
                <w:sz w:val="24"/>
                <w:lang w:val="en-US" w:eastAsia="zh-CN"/>
                <w14:textFill>
                  <w14:solidFill>
                    <w14:schemeClr w14:val="tx1"/>
                  </w14:solidFill>
                </w14:textFill>
              </w:rPr>
              <w:t>输电线路工程</w:t>
            </w:r>
          </w:p>
          <w:p w14:paraId="1E630D1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color w:val="000000" w:themeColor="text1"/>
                <w:sz w:val="24"/>
                <w:lang w:val="en-US" w:eastAsia="zh-CN"/>
                <w14:textFill>
                  <w14:solidFill>
                    <w14:schemeClr w14:val="tx1"/>
                  </w14:solidFill>
                </w14:textFill>
              </w:rPr>
              <w:t>本项目新建线路</w:t>
            </w:r>
            <w:r>
              <w:rPr>
                <w:rFonts w:hint="default"/>
                <w:color w:val="000000" w:themeColor="text1"/>
                <w:sz w:val="24"/>
                <w:lang w:val="zh-CN"/>
                <w14:textFill>
                  <w14:solidFill>
                    <w14:schemeClr w14:val="tx1"/>
                  </w14:solidFill>
                </w14:textFill>
              </w:rPr>
              <w:t>不存在</w:t>
            </w:r>
            <w:r>
              <w:rPr>
                <w:rFonts w:hint="eastAsia"/>
                <w:color w:val="000000" w:themeColor="text1"/>
                <w:sz w:val="24"/>
                <w:lang w:val="en-US" w:eastAsia="zh-CN"/>
                <w14:textFill>
                  <w14:solidFill>
                    <w14:schemeClr w14:val="tx1"/>
                  </w14:solidFill>
                </w14:textFill>
              </w:rPr>
              <w:t>原有</w:t>
            </w:r>
            <w:r>
              <w:rPr>
                <w:rFonts w:hint="default"/>
                <w:color w:val="000000" w:themeColor="text1"/>
                <w:sz w:val="24"/>
                <w:lang w:val="zh-CN"/>
                <w14:textFill>
                  <w14:solidFill>
                    <w14:schemeClr w14:val="tx1"/>
                  </w14:solidFill>
                </w14:textFill>
              </w:rPr>
              <w:t>环境问题。</w:t>
            </w:r>
          </w:p>
          <w:p w14:paraId="12DA7CE3">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综上所述，本项目</w:t>
            </w:r>
            <w:r>
              <w:rPr>
                <w:rFonts w:hint="eastAsia"/>
                <w:color w:val="000000" w:themeColor="text1"/>
                <w:sz w:val="24"/>
                <w:lang w:val="en-US" w:eastAsia="zh-CN"/>
                <w14:textFill>
                  <w14:solidFill>
                    <w14:schemeClr w14:val="tx1"/>
                  </w14:solidFill>
                </w14:textFill>
              </w:rPr>
              <w:t>恒山</w:t>
            </w:r>
            <w:r>
              <w:rPr>
                <w:rFonts w:hint="default"/>
                <w:color w:val="000000" w:themeColor="text1"/>
                <w:sz w:val="24"/>
                <w14:textFill>
                  <w14:solidFill>
                    <w14:schemeClr w14:val="tx1"/>
                  </w14:solidFill>
                </w14:textFill>
              </w:rPr>
              <w:t>220kV变电站无遗留环境问题。</w:t>
            </w:r>
          </w:p>
        </w:tc>
      </w:tr>
      <w:tr w14:paraId="3BFE1E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7" w:hRule="atLeast"/>
          <w:jc w:val="center"/>
        </w:trPr>
        <w:tc>
          <w:tcPr>
            <w:tcW w:w="456" w:type="dxa"/>
            <w:vAlign w:val="center"/>
          </w:tcPr>
          <w:p w14:paraId="13A88AD8">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生态环境保护目标</w:t>
            </w:r>
          </w:p>
        </w:tc>
        <w:tc>
          <w:tcPr>
            <w:tcW w:w="9403" w:type="dxa"/>
            <w:vAlign w:val="center"/>
          </w:tcPr>
          <w:p w14:paraId="36D9C743">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1、评价范围</w:t>
            </w:r>
          </w:p>
          <w:p w14:paraId="4B552B96">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根据《环境影响评价技术导则 输变电》（HJ 24-2020）、</w:t>
            </w:r>
            <w:r>
              <w:rPr>
                <w:rFonts w:hint="eastAsia" w:ascii="Times New Roman" w:hAnsi="Times New Roman"/>
                <w:strike w:val="0"/>
                <w:dstrike w:val="0"/>
                <w:color w:val="FF0000"/>
                <w:sz w:val="24"/>
                <w:szCs w:val="28"/>
                <w:lang w:val="en-US" w:eastAsia="zh-CN"/>
              </w:rPr>
              <w:t>《环境影响评价技术导则声环境》（HJ 2.4-2021）</w:t>
            </w:r>
            <w:r>
              <w:rPr>
                <w:rFonts w:hint="eastAsia"/>
                <w:strike w:val="0"/>
                <w:dstrike w:val="0"/>
                <w:sz w:val="24"/>
                <w:szCs w:val="28"/>
                <w:lang w:val="en-US" w:eastAsia="zh-CN"/>
              </w:rPr>
              <w:t>、</w:t>
            </w:r>
            <w:r>
              <w:rPr>
                <w:rFonts w:hint="eastAsia"/>
                <w:color w:val="000000" w:themeColor="text1"/>
                <w:sz w:val="24"/>
                <w14:textFill>
                  <w14:solidFill>
                    <w14:schemeClr w14:val="tx1"/>
                  </w14:solidFill>
                </w14:textFill>
              </w:rPr>
              <w:t>《建设项目环境影响报告表编制技术指南（生态影响类）》以及《环境影响评价技术导则 生态影响》（HJ 19-2022），本工程环境影响评价范围详见表3-</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w:t>
            </w:r>
          </w:p>
          <w:p w14:paraId="08C05F4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3-</w:t>
            </w:r>
            <w:r>
              <w:rPr>
                <w:rFonts w:hint="eastAsia" w:cs="Times New Roman"/>
                <w:b/>
                <w:bCs/>
                <w:color w:val="000000" w:themeColor="text1"/>
                <w:kern w:val="2"/>
                <w:sz w:val="24"/>
                <w:szCs w:val="24"/>
                <w:lang w:val="en-US" w:eastAsia="zh-CN" w:bidi="ar-SA"/>
                <w14:textFill>
                  <w14:solidFill>
                    <w14:schemeClr w14:val="tx1"/>
                  </w14:solidFill>
                </w14:textFill>
              </w:rPr>
              <w:t>5</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本工程环境影响评价范围一览表</w:t>
            </w:r>
          </w:p>
          <w:tbl>
            <w:tblPr>
              <w:tblStyle w:val="30"/>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845"/>
              <w:gridCol w:w="6016"/>
            </w:tblGrid>
            <w:tr w14:paraId="46722F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21" w:type="pct"/>
                  <w:vMerge w:val="restart"/>
                  <w:tcBorders>
                    <w:top w:val="single" w:color="auto" w:sz="4" w:space="0"/>
                    <w:left w:val="single" w:color="auto" w:sz="4" w:space="0"/>
                  </w:tcBorders>
                  <w:noWrap w:val="0"/>
                  <w:vAlign w:val="center"/>
                </w:tcPr>
                <w:p w14:paraId="405FB32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评价项目</w:t>
                  </w:r>
                </w:p>
              </w:tc>
              <w:tc>
                <w:tcPr>
                  <w:tcW w:w="4278" w:type="pct"/>
                  <w:gridSpan w:val="2"/>
                  <w:tcBorders>
                    <w:top w:val="single" w:color="auto" w:sz="4" w:space="0"/>
                    <w:bottom w:val="single" w:color="auto" w:sz="4" w:space="0"/>
                    <w:right w:val="single" w:color="auto" w:sz="4" w:space="0"/>
                  </w:tcBorders>
                  <w:noWrap w:val="0"/>
                  <w:vAlign w:val="center"/>
                </w:tcPr>
                <w:p w14:paraId="2577AEC8">
                  <w:pPr>
                    <w:keepNext w:val="0"/>
                    <w:keepLines w:val="0"/>
                    <w:suppressLineNumbers w:val="0"/>
                    <w:spacing w:before="0" w:beforeAutospacing="0" w:after="0" w:afterAutospacing="0"/>
                    <w:ind w:left="0" w:right="0"/>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评价范围</w:t>
                  </w:r>
                </w:p>
              </w:tc>
            </w:tr>
            <w:tr w14:paraId="2D489B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21" w:type="pct"/>
                  <w:vMerge w:val="continue"/>
                  <w:tcBorders>
                    <w:left w:val="single" w:color="auto" w:sz="4" w:space="0"/>
                    <w:bottom w:val="single" w:color="auto" w:sz="4" w:space="0"/>
                  </w:tcBorders>
                  <w:noWrap w:val="0"/>
                  <w:vAlign w:val="center"/>
                </w:tcPr>
                <w:p w14:paraId="1E92CF8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004" w:type="pct"/>
                  <w:tcBorders>
                    <w:top w:val="single" w:color="auto" w:sz="4" w:space="0"/>
                    <w:bottom w:val="single" w:color="auto" w:sz="4" w:space="0"/>
                    <w:right w:val="single" w:color="auto" w:sz="2" w:space="0"/>
                  </w:tcBorders>
                  <w:noWrap w:val="0"/>
                  <w:vAlign w:val="center"/>
                </w:tcPr>
                <w:p w14:paraId="133AA8E2">
                  <w:pPr>
                    <w:keepNext w:val="0"/>
                    <w:keepLines w:val="0"/>
                    <w:suppressLineNumbers w:val="0"/>
                    <w:spacing w:before="0" w:beforeAutospacing="0" w:after="0" w:afterAutospacing="0"/>
                    <w:ind w:left="0" w:leftChars="0" w:right="0" w:rightChars="0"/>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22</w:t>
                  </w:r>
                  <w:r>
                    <w:rPr>
                      <w:rFonts w:hint="eastAsia"/>
                      <w:color w:val="000000" w:themeColor="text1"/>
                      <w:szCs w:val="21"/>
                      <w14:textFill>
                        <w14:solidFill>
                          <w14:schemeClr w14:val="tx1"/>
                        </w14:solidFill>
                      </w14:textFill>
                    </w:rPr>
                    <w:t>0kV变电站</w:t>
                  </w:r>
                </w:p>
              </w:tc>
              <w:tc>
                <w:tcPr>
                  <w:tcW w:w="3273" w:type="pct"/>
                  <w:tcBorders>
                    <w:top w:val="single" w:color="auto" w:sz="4" w:space="0"/>
                    <w:bottom w:val="single" w:color="auto" w:sz="4" w:space="0"/>
                    <w:right w:val="single" w:color="auto" w:sz="4" w:space="0"/>
                  </w:tcBorders>
                  <w:noWrap w:val="0"/>
                  <w:vAlign w:val="center"/>
                </w:tcPr>
                <w:p w14:paraId="7F1E00A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22</w:t>
                  </w:r>
                  <w:r>
                    <w:rPr>
                      <w:rFonts w:hint="eastAsia"/>
                      <w:color w:val="000000" w:themeColor="text1"/>
                      <w:szCs w:val="21"/>
                      <w14:textFill>
                        <w14:solidFill>
                          <w14:schemeClr w14:val="tx1"/>
                        </w14:solidFill>
                      </w14:textFill>
                    </w:rPr>
                    <w:t>0kV架空线路</w:t>
                  </w:r>
                </w:p>
              </w:tc>
            </w:tr>
            <w:tr w14:paraId="3DFCDC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1" w:type="pct"/>
                  <w:tcBorders>
                    <w:top w:val="single" w:color="auto" w:sz="4" w:space="0"/>
                    <w:left w:val="single" w:color="auto" w:sz="4" w:space="0"/>
                    <w:bottom w:val="single" w:color="auto" w:sz="4" w:space="0"/>
                  </w:tcBorders>
                  <w:noWrap w:val="0"/>
                  <w:vAlign w:val="center"/>
                </w:tcPr>
                <w:p w14:paraId="721FD3C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电磁环境</w:t>
                  </w:r>
                </w:p>
              </w:tc>
              <w:tc>
                <w:tcPr>
                  <w:tcW w:w="1004" w:type="pct"/>
                  <w:tcBorders>
                    <w:top w:val="single" w:color="auto" w:sz="4" w:space="0"/>
                    <w:bottom w:val="single" w:color="auto" w:sz="4" w:space="0"/>
                  </w:tcBorders>
                  <w:noWrap w:val="0"/>
                  <w:vAlign w:val="center"/>
                </w:tcPr>
                <w:p w14:paraId="05C175F2">
                  <w:pPr>
                    <w:keepNext w:val="0"/>
                    <w:keepLines w:val="0"/>
                    <w:suppressLineNumbers w:val="0"/>
                    <w:spacing w:before="0" w:beforeAutospacing="0" w:after="0" w:afterAutospacing="0"/>
                    <w:ind w:left="0" w:leftChars="0" w:right="0" w:rightChars="0"/>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站界外40m</w:t>
                  </w:r>
                </w:p>
              </w:tc>
              <w:tc>
                <w:tcPr>
                  <w:tcW w:w="3273" w:type="pct"/>
                  <w:tcBorders>
                    <w:top w:val="single" w:color="auto" w:sz="4" w:space="0"/>
                    <w:bottom w:val="single" w:color="auto" w:sz="4" w:space="0"/>
                    <w:right w:val="single" w:color="auto" w:sz="4" w:space="0"/>
                  </w:tcBorders>
                  <w:noWrap w:val="0"/>
                  <w:vAlign w:val="center"/>
                </w:tcPr>
                <w:p w14:paraId="0A94123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eastAsia"/>
                      <w:color w:val="000000" w:themeColor="text1"/>
                      <w:szCs w:val="21"/>
                      <w:lang w:val="en-US" w:eastAsia="zh-CN"/>
                      <w14:textFill>
                        <w14:solidFill>
                          <w14:schemeClr w14:val="tx1"/>
                        </w14:solidFill>
                      </w14:textFill>
                    </w:rPr>
                    <w:t>40</w:t>
                  </w:r>
                  <w:r>
                    <w:rPr>
                      <w:rFonts w:hint="eastAsia"/>
                      <w:color w:val="000000" w:themeColor="text1"/>
                      <w:szCs w:val="21"/>
                      <w14:textFill>
                        <w14:solidFill>
                          <w14:schemeClr w14:val="tx1"/>
                        </w14:solidFill>
                      </w14:textFill>
                    </w:rPr>
                    <w:t>m</w:t>
                  </w:r>
                </w:p>
              </w:tc>
            </w:tr>
            <w:tr w14:paraId="63EBFF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1" w:type="pct"/>
                  <w:tcBorders>
                    <w:top w:val="single" w:color="auto" w:sz="4" w:space="0"/>
                    <w:left w:val="single" w:color="auto" w:sz="4" w:space="0"/>
                    <w:bottom w:val="single" w:color="auto" w:sz="4" w:space="0"/>
                  </w:tcBorders>
                  <w:noWrap w:val="0"/>
                  <w:vAlign w:val="center"/>
                </w:tcPr>
                <w:p w14:paraId="1A55DF9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声环境</w:t>
                  </w:r>
                </w:p>
              </w:tc>
              <w:tc>
                <w:tcPr>
                  <w:tcW w:w="1004" w:type="pct"/>
                  <w:tcBorders>
                    <w:top w:val="single" w:color="auto" w:sz="4" w:space="0"/>
                    <w:bottom w:val="single" w:color="auto" w:sz="4" w:space="0"/>
                  </w:tcBorders>
                  <w:noWrap w:val="0"/>
                  <w:vAlign w:val="center"/>
                </w:tcPr>
                <w:p w14:paraId="36CC42F5">
                  <w:pPr>
                    <w:keepNext w:val="0"/>
                    <w:keepLines w:val="0"/>
                    <w:suppressLineNumbers w:val="0"/>
                    <w:spacing w:before="0" w:beforeAutospacing="0" w:after="0" w:afterAutospacing="0"/>
                    <w:ind w:left="0" w:leftChars="0" w:right="0" w:rightChars="0"/>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站界外200m</w:t>
                  </w:r>
                </w:p>
              </w:tc>
              <w:tc>
                <w:tcPr>
                  <w:tcW w:w="3273" w:type="pct"/>
                  <w:tcBorders>
                    <w:top w:val="single" w:color="auto" w:sz="4" w:space="0"/>
                    <w:bottom w:val="single" w:color="auto" w:sz="4" w:space="0"/>
                    <w:right w:val="single" w:color="auto" w:sz="4" w:space="0"/>
                  </w:tcBorders>
                  <w:noWrap w:val="0"/>
                  <w:vAlign w:val="center"/>
                </w:tcPr>
                <w:p w14:paraId="76C86EF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eastAsia"/>
                      <w:color w:val="000000" w:themeColor="text1"/>
                      <w:szCs w:val="21"/>
                      <w:lang w:val="en-US" w:eastAsia="zh-CN"/>
                      <w14:textFill>
                        <w14:solidFill>
                          <w14:schemeClr w14:val="tx1"/>
                        </w14:solidFill>
                      </w14:textFill>
                    </w:rPr>
                    <w:t>40</w:t>
                  </w:r>
                  <w:r>
                    <w:rPr>
                      <w:rFonts w:hint="eastAsia"/>
                      <w:color w:val="000000" w:themeColor="text1"/>
                      <w:szCs w:val="21"/>
                      <w14:textFill>
                        <w14:solidFill>
                          <w14:schemeClr w14:val="tx1"/>
                        </w14:solidFill>
                      </w14:textFill>
                    </w:rPr>
                    <w:t>m</w:t>
                  </w:r>
                </w:p>
              </w:tc>
            </w:tr>
            <w:tr w14:paraId="301837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1" w:type="pct"/>
                  <w:tcBorders>
                    <w:top w:val="single" w:color="auto" w:sz="4" w:space="0"/>
                    <w:left w:val="single" w:color="auto" w:sz="4" w:space="0"/>
                    <w:bottom w:val="single" w:color="auto" w:sz="4" w:space="0"/>
                  </w:tcBorders>
                  <w:noWrap w:val="0"/>
                  <w:vAlign w:val="center"/>
                </w:tcPr>
                <w:p w14:paraId="4176A67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生态环境</w:t>
                  </w:r>
                </w:p>
              </w:tc>
              <w:tc>
                <w:tcPr>
                  <w:tcW w:w="1004" w:type="pct"/>
                  <w:tcBorders>
                    <w:top w:val="single" w:color="auto" w:sz="4" w:space="0"/>
                    <w:bottom w:val="single" w:color="auto" w:sz="4" w:space="0"/>
                  </w:tcBorders>
                  <w:noWrap w:val="0"/>
                  <w:vAlign w:val="center"/>
                </w:tcPr>
                <w:p w14:paraId="4D3DEDE9">
                  <w:pPr>
                    <w:keepNext w:val="0"/>
                    <w:keepLines w:val="0"/>
                    <w:suppressLineNumbers w:val="0"/>
                    <w:spacing w:before="0" w:beforeAutospacing="0" w:after="0" w:afterAutospacing="0"/>
                    <w:ind w:left="0" w:leftChars="0" w:right="0" w:rightChars="0"/>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围墙外500m</w:t>
                  </w:r>
                </w:p>
              </w:tc>
              <w:tc>
                <w:tcPr>
                  <w:tcW w:w="3273" w:type="pct"/>
                  <w:tcBorders>
                    <w:top w:val="single" w:color="auto" w:sz="4" w:space="0"/>
                    <w:bottom w:val="single" w:color="auto" w:sz="4" w:space="0"/>
                    <w:right w:val="single" w:color="auto" w:sz="4" w:space="0"/>
                  </w:tcBorders>
                  <w:noWrap w:val="0"/>
                  <w:vAlign w:val="center"/>
                </w:tcPr>
                <w:p w14:paraId="1225DE3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线路边导线地面投影外两侧各300m内的带状区域</w:t>
                  </w:r>
                </w:p>
              </w:tc>
            </w:tr>
          </w:tbl>
          <w:p w14:paraId="75705E29">
            <w:pPr>
              <w:pStyle w:val="74"/>
              <w:keepNext w:val="0"/>
              <w:keepLines w:val="0"/>
              <w:suppressLineNumbers w:val="0"/>
              <w:spacing w:before="0" w:beforeAutospacing="0" w:after="0" w:afterAutospacing="0"/>
              <w:ind w:left="0" w:right="0" w:firstLine="482"/>
              <w:rPr>
                <w:rFonts w:hint="default"/>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2、环境保护目标</w:t>
            </w:r>
          </w:p>
          <w:p w14:paraId="22F6A3FF">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根据现场查勘，本项目评价范围内无自然保护区、风景名胜区、世界文化和自然遗产地、海洋特别保护区、饮用水水源保护区、森林公园、文物遗址等敏感区域。</w:t>
            </w:r>
          </w:p>
          <w:p w14:paraId="23B6832E">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生态环境保护目标：</w:t>
            </w:r>
            <w:r>
              <w:rPr>
                <w:rFonts w:hint="eastAsia" w:ascii="Times New Roman" w:hAnsi="Times New Roman" w:eastAsia="宋体" w:cs="Times New Roman"/>
                <w:color w:val="000000" w:themeColor="text1"/>
                <w:sz w:val="24"/>
                <w14:textFill>
                  <w14:solidFill>
                    <w14:schemeClr w14:val="tx1"/>
                  </w14:solidFill>
                </w14:textFill>
              </w:rPr>
              <w:t>经现场踏勘，</w:t>
            </w:r>
            <w:r>
              <w:rPr>
                <w:rFonts w:hint="eastAsia" w:cs="Times New Roman"/>
                <w:color w:val="000000" w:themeColor="text1"/>
                <w:sz w:val="24"/>
                <w:lang w:val="en-US" w:eastAsia="zh-CN"/>
                <w14:textFill>
                  <w14:solidFill>
                    <w14:schemeClr w14:val="tx1"/>
                  </w14:solidFill>
                </w14:textFill>
              </w:rPr>
              <w:t>220kV恒山变电站</w:t>
            </w:r>
            <w:r>
              <w:rPr>
                <w:rFonts w:hint="eastAsia" w:ascii="Times New Roman" w:hAnsi="Times New Roman" w:eastAsia="宋体" w:cs="Times New Roman"/>
                <w:color w:val="000000" w:themeColor="text1"/>
                <w:sz w:val="24"/>
                <w14:textFill>
                  <w14:solidFill>
                    <w14:schemeClr w14:val="tx1"/>
                  </w14:solidFill>
                </w14:textFill>
              </w:rPr>
              <w:t>围墙外500m范围内、</w:t>
            </w:r>
            <w:r>
              <w:rPr>
                <w:rFonts w:hint="eastAsia"/>
                <w:color w:val="000000" w:themeColor="text1"/>
                <w:sz w:val="24"/>
                <w14:textFill>
                  <w14:solidFill>
                    <w14:schemeClr w14:val="tx1"/>
                  </w14:solidFill>
                </w14:textFill>
              </w:rPr>
              <w:t>输电线路沿线两侧300m范围内无国家公园、自然保护区、风景名胜区、世界文化和自然遗产地、海洋特别保护区、饮用水水源保护区及生态保护红线管控区域等生态</w:t>
            </w:r>
            <w:r>
              <w:rPr>
                <w:rFonts w:hint="eastAsia"/>
                <w:color w:val="000000" w:themeColor="text1"/>
                <w:sz w:val="24"/>
                <w:lang w:val="en-US" w:eastAsia="zh-CN"/>
                <w14:textFill>
                  <w14:solidFill>
                    <w14:schemeClr w14:val="tx1"/>
                  </w14:solidFill>
                </w14:textFill>
              </w:rPr>
              <w:t>保护目标</w:t>
            </w:r>
            <w:r>
              <w:rPr>
                <w:rFonts w:hint="eastAsia"/>
                <w:color w:val="000000" w:themeColor="text1"/>
                <w:sz w:val="24"/>
                <w14:textFill>
                  <w14:solidFill>
                    <w14:schemeClr w14:val="tx1"/>
                  </w14:solidFill>
                </w14:textFill>
              </w:rPr>
              <w:t>。</w:t>
            </w:r>
          </w:p>
          <w:p w14:paraId="5B1A19DF">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电磁环境</w:t>
            </w:r>
            <w:r>
              <w:rPr>
                <w:rFonts w:hint="eastAsia"/>
                <w:color w:val="000000" w:themeColor="text1"/>
                <w:sz w:val="24"/>
                <w:lang w:val="en-US" w:eastAsia="zh-CN"/>
                <w14:textFill>
                  <w14:solidFill>
                    <w14:schemeClr w14:val="tx1"/>
                  </w14:solidFill>
                </w14:textFill>
              </w:rPr>
              <w:t>敏感</w:t>
            </w:r>
            <w:r>
              <w:rPr>
                <w:rFonts w:hint="eastAsia"/>
                <w:color w:val="000000" w:themeColor="text1"/>
                <w:sz w:val="24"/>
                <w14:textFill>
                  <w14:solidFill>
                    <w14:schemeClr w14:val="tx1"/>
                  </w14:solidFill>
                </w14:textFill>
              </w:rPr>
              <w:t>目标：</w:t>
            </w:r>
            <w:r>
              <w:rPr>
                <w:rFonts w:hint="eastAsia"/>
                <w:color w:val="000000" w:themeColor="text1"/>
                <w:sz w:val="24"/>
                <w:lang w:val="en-US" w:eastAsia="zh-CN"/>
                <w14:textFill>
                  <w14:solidFill>
                    <w14:schemeClr w14:val="tx1"/>
                  </w14:solidFill>
                </w14:textFill>
              </w:rPr>
              <w:t>经现场踏勘，恒山</w:t>
            </w:r>
            <w:r>
              <w:rPr>
                <w:rFonts w:hint="eastAsia"/>
                <w:color w:val="000000" w:themeColor="text1"/>
                <w:sz w:val="24"/>
                <w14:textFill>
                  <w14:solidFill>
                    <w14:schemeClr w14:val="tx1"/>
                  </w14:solidFill>
                </w14:textFill>
              </w:rPr>
              <w:t>220kV变电站评价范围内</w:t>
            </w:r>
            <w:r>
              <w:rPr>
                <w:rFonts w:hint="eastAsia"/>
                <w:color w:val="000000" w:themeColor="text1"/>
                <w:sz w:val="24"/>
                <w:lang w:val="en-US" w:eastAsia="zh-CN"/>
                <w14:textFill>
                  <w14:solidFill>
                    <w14:schemeClr w14:val="tx1"/>
                  </w14:solidFill>
                </w14:textFill>
              </w:rPr>
              <w:t>有1处</w:t>
            </w:r>
            <w:r>
              <w:rPr>
                <w:rFonts w:hint="eastAsia"/>
                <w:color w:val="000000" w:themeColor="text1"/>
                <w:sz w:val="24"/>
                <w14:textFill>
                  <w14:solidFill>
                    <w14:schemeClr w14:val="tx1"/>
                  </w14:solidFill>
                </w14:textFill>
              </w:rPr>
              <w:t>电磁环境敏感保护目标。</w:t>
            </w: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新建</w:t>
            </w:r>
            <w:r>
              <w:rPr>
                <w:rFonts w:hint="eastAsia"/>
                <w:color w:val="000000" w:themeColor="text1"/>
                <w:sz w:val="24"/>
                <w:highlight w:val="none"/>
                <w14:textFill>
                  <w14:solidFill>
                    <w14:schemeClr w14:val="tx1"/>
                  </w14:solidFill>
                </w14:textFill>
              </w:rPr>
              <w:t>输电线路两侧</w:t>
            </w:r>
            <w:r>
              <w:rPr>
                <w:rFonts w:hint="eastAsia"/>
                <w:color w:val="000000" w:themeColor="text1"/>
                <w:sz w:val="24"/>
                <w:highlight w:val="none"/>
                <w:lang w:val="en-US" w:eastAsia="zh-CN"/>
                <w14:textFill>
                  <w14:solidFill>
                    <w14:schemeClr w14:val="tx1"/>
                  </w14:solidFill>
                </w14:textFill>
              </w:rPr>
              <w:t>40m</w:t>
            </w:r>
            <w:r>
              <w:rPr>
                <w:rFonts w:hint="eastAsia"/>
                <w:color w:val="000000" w:themeColor="text1"/>
                <w:sz w:val="24"/>
                <w:highlight w:val="none"/>
                <w14:textFill>
                  <w14:solidFill>
                    <w14:schemeClr w14:val="tx1"/>
                  </w14:solidFill>
                </w14:textFill>
              </w:rPr>
              <w:t>范围内</w:t>
            </w:r>
            <w:r>
              <w:rPr>
                <w:rFonts w:hint="eastAsia"/>
                <w:color w:val="000000" w:themeColor="text1"/>
                <w:sz w:val="24"/>
                <w:lang w:val="en-US" w:eastAsia="zh-CN"/>
                <w14:textFill>
                  <w14:solidFill>
                    <w14:schemeClr w14:val="tx1"/>
                  </w14:solidFill>
                </w14:textFill>
              </w:rPr>
              <w:t>不存在</w:t>
            </w:r>
            <w:r>
              <w:rPr>
                <w:rFonts w:hint="eastAsia"/>
                <w:color w:val="000000" w:themeColor="text1"/>
                <w:sz w:val="24"/>
                <w:highlight w:val="none"/>
                <w14:textFill>
                  <w14:solidFill>
                    <w14:schemeClr w14:val="tx1"/>
                  </w14:solidFill>
                </w14:textFill>
              </w:rPr>
              <w:t>电磁环境敏感目标</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改造</w:t>
            </w:r>
            <w:r>
              <w:rPr>
                <w:rFonts w:hint="eastAsia"/>
                <w:color w:val="000000" w:themeColor="text1"/>
                <w:sz w:val="24"/>
                <w14:textFill>
                  <w14:solidFill>
                    <w14:schemeClr w14:val="tx1"/>
                  </w14:solidFill>
                </w14:textFill>
              </w:rPr>
              <w:t>输电线路两侧</w:t>
            </w:r>
            <w:r>
              <w:rPr>
                <w:rFonts w:hint="eastAsia"/>
                <w:color w:val="000000" w:themeColor="text1"/>
                <w:sz w:val="24"/>
                <w:lang w:val="en-US" w:eastAsia="zh-CN"/>
                <w14:textFill>
                  <w14:solidFill>
                    <w14:schemeClr w14:val="tx1"/>
                  </w14:solidFill>
                </w14:textFill>
              </w:rPr>
              <w:t>40m</w:t>
            </w:r>
            <w:r>
              <w:rPr>
                <w:rFonts w:hint="eastAsia"/>
                <w:color w:val="000000" w:themeColor="text1"/>
                <w:sz w:val="24"/>
                <w14:textFill>
                  <w14:solidFill>
                    <w14:schemeClr w14:val="tx1"/>
                  </w14:solidFill>
                </w14:textFill>
              </w:rPr>
              <w:t>范围内</w:t>
            </w:r>
            <w:r>
              <w:rPr>
                <w:rFonts w:hint="eastAsia"/>
                <w:color w:val="000000" w:themeColor="text1"/>
                <w:sz w:val="24"/>
                <w:lang w:val="en-US" w:eastAsia="zh-CN"/>
                <w14:textFill>
                  <w14:solidFill>
                    <w14:schemeClr w14:val="tx1"/>
                  </w14:solidFill>
                </w14:textFill>
              </w:rPr>
              <w:t>不存在</w:t>
            </w:r>
            <w:r>
              <w:rPr>
                <w:rFonts w:hint="eastAsia"/>
                <w:color w:val="000000" w:themeColor="text1"/>
                <w:sz w:val="24"/>
                <w14:textFill>
                  <w14:solidFill>
                    <w14:schemeClr w14:val="tx1"/>
                  </w14:solidFill>
                </w14:textFill>
              </w:rPr>
              <w:t>电磁环境敏感目标。</w:t>
            </w:r>
          </w:p>
          <w:p w14:paraId="1290E71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FF0000"/>
                <w:sz w:val="24"/>
              </w:rPr>
              <w:t>声环境保护目标：</w:t>
            </w:r>
            <w:r>
              <w:rPr>
                <w:rFonts w:hint="eastAsia" w:cs="Times New Roman"/>
                <w:color w:val="FF0000"/>
                <w:kern w:val="0"/>
                <w:sz w:val="24"/>
                <w:lang w:val="en-US" w:eastAsia="zh-CN" w:bidi="ar"/>
              </w:rPr>
              <w:t>恒山</w:t>
            </w:r>
            <w:r>
              <w:rPr>
                <w:rFonts w:hint="eastAsia" w:ascii="Times New Roman" w:hAnsi="Times New Roman" w:eastAsia="宋体" w:cs="Times New Roman"/>
                <w:color w:val="FF0000"/>
                <w:kern w:val="2"/>
                <w:sz w:val="24"/>
                <w:szCs w:val="24"/>
                <w:lang w:val="en-US" w:eastAsia="zh-CN" w:bidi="ar-SA"/>
              </w:rPr>
              <w:t>220kV变电站</w:t>
            </w:r>
            <w:r>
              <w:rPr>
                <w:rFonts w:hint="eastAsia"/>
                <w:color w:val="FF0000"/>
                <w:sz w:val="24"/>
                <w:lang w:val="en-US" w:eastAsia="zh-CN"/>
              </w:rPr>
              <w:t>围墙外200m范围</w:t>
            </w:r>
            <w:r>
              <w:rPr>
                <w:rFonts w:hint="eastAsia"/>
                <w:color w:val="FF0000"/>
                <w:sz w:val="24"/>
              </w:rPr>
              <w:t>内</w:t>
            </w:r>
            <w:r>
              <w:rPr>
                <w:rFonts w:hint="eastAsia"/>
                <w:color w:val="FF0000"/>
                <w:sz w:val="24"/>
                <w:lang w:val="en-US" w:eastAsia="zh-CN"/>
              </w:rPr>
              <w:t>存在2处</w:t>
            </w:r>
            <w:r>
              <w:rPr>
                <w:rFonts w:hint="eastAsia"/>
                <w:color w:val="FF0000"/>
                <w:sz w:val="24"/>
              </w:rPr>
              <w:t>声环境</w:t>
            </w:r>
            <w:r>
              <w:rPr>
                <w:rFonts w:hint="eastAsia"/>
                <w:color w:val="FF0000"/>
                <w:sz w:val="24"/>
                <w:lang w:val="en-US" w:eastAsia="zh-CN"/>
              </w:rPr>
              <w:t>保护</w:t>
            </w:r>
            <w:r>
              <w:rPr>
                <w:rFonts w:hint="eastAsia"/>
                <w:color w:val="FF0000"/>
                <w:sz w:val="24"/>
              </w:rPr>
              <w:t>目标</w:t>
            </w:r>
            <w:r>
              <w:rPr>
                <w:rFonts w:hint="eastAsia"/>
                <w:color w:val="000000" w:themeColor="text1"/>
                <w:sz w:val="24"/>
                <w:lang w:eastAsia="zh-CN"/>
                <w14:textFill>
                  <w14:solidFill>
                    <w14:schemeClr w14:val="tx1"/>
                  </w14:solidFill>
                </w14:textFill>
              </w:rPr>
              <w:t>，</w:t>
            </w:r>
            <w:r>
              <w:rPr>
                <w:rFonts w:hint="eastAsia"/>
                <w:color w:val="FF0000"/>
                <w:sz w:val="24"/>
              </w:rPr>
              <w:t>本项目</w:t>
            </w:r>
            <w:r>
              <w:rPr>
                <w:rFonts w:hint="eastAsia"/>
                <w:color w:val="FF0000"/>
                <w:sz w:val="24"/>
                <w:lang w:val="en-US" w:eastAsia="zh-CN"/>
              </w:rPr>
              <w:t>新建</w:t>
            </w:r>
            <w:r>
              <w:rPr>
                <w:rFonts w:hint="eastAsia"/>
                <w:color w:val="FF0000"/>
                <w:sz w:val="24"/>
              </w:rPr>
              <w:t>输电线路沿线两侧</w:t>
            </w:r>
            <w:r>
              <w:rPr>
                <w:rFonts w:hint="eastAsia"/>
                <w:color w:val="FF0000"/>
                <w:sz w:val="24"/>
                <w:lang w:val="en-US" w:eastAsia="zh-CN"/>
              </w:rPr>
              <w:t>40</w:t>
            </w:r>
            <w:r>
              <w:rPr>
                <w:rFonts w:hint="eastAsia"/>
                <w:color w:val="FF0000"/>
                <w:sz w:val="24"/>
              </w:rPr>
              <w:t>m范围内</w:t>
            </w:r>
            <w:r>
              <w:rPr>
                <w:rFonts w:hint="eastAsia"/>
                <w:color w:val="FF0000"/>
                <w:sz w:val="24"/>
                <w:lang w:val="en-US" w:eastAsia="zh-CN"/>
              </w:rPr>
              <w:t>无</w:t>
            </w:r>
            <w:r>
              <w:rPr>
                <w:rFonts w:hint="eastAsia"/>
                <w:color w:val="FF0000"/>
                <w:sz w:val="24"/>
              </w:rPr>
              <w:t>声环境</w:t>
            </w:r>
            <w:r>
              <w:rPr>
                <w:rFonts w:hint="eastAsia"/>
                <w:color w:val="FF0000"/>
                <w:sz w:val="24"/>
                <w:lang w:val="en-US" w:eastAsia="zh-CN"/>
              </w:rPr>
              <w:t>保护</w:t>
            </w:r>
            <w:r>
              <w:rPr>
                <w:rFonts w:hint="eastAsia"/>
                <w:color w:val="FF0000"/>
                <w:sz w:val="24"/>
              </w:rPr>
              <w:t>目标</w:t>
            </w:r>
            <w:r>
              <w:rPr>
                <w:rFonts w:hint="eastAsia"/>
                <w:color w:val="FF0000"/>
                <w:sz w:val="24"/>
                <w:lang w:eastAsia="zh-CN"/>
              </w:rPr>
              <w:t>，</w:t>
            </w:r>
            <w:r>
              <w:rPr>
                <w:rFonts w:hint="eastAsia"/>
                <w:color w:val="000000" w:themeColor="text1"/>
                <w:sz w:val="24"/>
                <w:lang w:val="en-US" w:eastAsia="zh-CN"/>
                <w14:textFill>
                  <w14:solidFill>
                    <w14:schemeClr w14:val="tx1"/>
                  </w14:solidFill>
                </w14:textFill>
              </w:rPr>
              <w:t>改造</w:t>
            </w:r>
            <w:r>
              <w:rPr>
                <w:rFonts w:hint="eastAsia"/>
                <w:color w:val="000000" w:themeColor="text1"/>
                <w:sz w:val="24"/>
                <w14:textFill>
                  <w14:solidFill>
                    <w14:schemeClr w14:val="tx1"/>
                  </w14:solidFill>
                </w14:textFill>
              </w:rPr>
              <w:t>输电线路沿线两侧</w:t>
            </w:r>
            <w:r>
              <w:rPr>
                <w:rFonts w:hint="eastAsia"/>
                <w:color w:val="000000" w:themeColor="text1"/>
                <w:sz w:val="24"/>
                <w:lang w:val="en-US" w:eastAsia="zh-CN"/>
                <w14:textFill>
                  <w14:solidFill>
                    <w14:schemeClr w14:val="tx1"/>
                  </w14:solidFill>
                </w14:textFill>
              </w:rPr>
              <w:t>40</w:t>
            </w:r>
            <w:r>
              <w:rPr>
                <w:rFonts w:hint="eastAsia"/>
                <w:color w:val="000000" w:themeColor="text1"/>
                <w:sz w:val="24"/>
                <w14:textFill>
                  <w14:solidFill>
                    <w14:schemeClr w14:val="tx1"/>
                  </w14:solidFill>
                </w14:textFill>
              </w:rPr>
              <w:t>m范围内</w:t>
            </w:r>
            <w:r>
              <w:rPr>
                <w:rFonts w:hint="eastAsia"/>
                <w:color w:val="000000" w:themeColor="text1"/>
                <w:sz w:val="24"/>
                <w:lang w:val="en-US" w:eastAsia="zh-CN"/>
                <w14:textFill>
                  <w14:solidFill>
                    <w14:schemeClr w14:val="tx1"/>
                  </w14:solidFill>
                </w14:textFill>
              </w:rPr>
              <w:t>不存在</w:t>
            </w:r>
            <w:r>
              <w:rPr>
                <w:rFonts w:hint="eastAsia"/>
                <w:color w:val="000000" w:themeColor="text1"/>
                <w:sz w:val="24"/>
                <w14:textFill>
                  <w14:solidFill>
                    <w14:schemeClr w14:val="tx1"/>
                  </w14:solidFill>
                </w14:textFill>
              </w:rPr>
              <w:t>声环境</w:t>
            </w:r>
            <w:r>
              <w:rPr>
                <w:rFonts w:hint="eastAsia"/>
                <w:color w:val="000000" w:themeColor="text1"/>
                <w:sz w:val="24"/>
                <w:lang w:val="en-US" w:eastAsia="zh-CN"/>
                <w14:textFill>
                  <w14:solidFill>
                    <w14:schemeClr w14:val="tx1"/>
                  </w14:solidFill>
                </w14:textFill>
              </w:rPr>
              <w:t>保护</w:t>
            </w:r>
            <w:r>
              <w:rPr>
                <w:rFonts w:hint="eastAsia"/>
                <w:color w:val="000000" w:themeColor="text1"/>
                <w:sz w:val="24"/>
                <w14:textFill>
                  <w14:solidFill>
                    <w14:schemeClr w14:val="tx1"/>
                  </w14:solidFill>
                </w14:textFill>
              </w:rPr>
              <w:t>目标。</w:t>
            </w:r>
          </w:p>
          <w:p w14:paraId="19EAAC0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 xml:space="preserve">表 </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w:t>
            </w:r>
            <w:r>
              <w:rPr>
                <w:rFonts w:hint="eastAsia" w:cs="Times New Roman"/>
                <w:b/>
                <w:bCs/>
                <w:color w:val="000000" w:themeColor="text1"/>
                <w:kern w:val="2"/>
                <w:sz w:val="24"/>
                <w:szCs w:val="24"/>
                <w:highlight w:val="none"/>
                <w:lang w:val="en-US" w:eastAsia="zh-CN" w:bidi="ar-SA"/>
                <w14:textFill>
                  <w14:solidFill>
                    <w14:schemeClr w14:val="tx1"/>
                  </w14:solidFill>
                </w14:textFill>
              </w:rPr>
              <w:t>6</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 xml:space="preserve"> 本项目保护目标情况</w:t>
            </w:r>
          </w:p>
          <w:tbl>
            <w:tblPr>
              <w:tblStyle w:val="30"/>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517"/>
              <w:gridCol w:w="1365"/>
              <w:gridCol w:w="2700"/>
              <w:gridCol w:w="825"/>
              <w:gridCol w:w="1095"/>
              <w:gridCol w:w="840"/>
              <w:gridCol w:w="735"/>
              <w:gridCol w:w="1091"/>
            </w:tblGrid>
            <w:tr w14:paraId="6E458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97" w:hRule="atLeast"/>
                <w:jc w:val="center"/>
              </w:trPr>
              <w:tc>
                <w:tcPr>
                  <w:tcW w:w="281" w:type="pct"/>
                  <w:tcBorders>
                    <w:tl2br w:val="nil"/>
                    <w:tr2bl w:val="nil"/>
                  </w:tcBorders>
                  <w:shd w:val="clear" w:color="auto" w:fill="auto"/>
                  <w:vAlign w:val="center"/>
                </w:tcPr>
                <w:p w14:paraId="2A8BC789">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序号</w:t>
                  </w:r>
                </w:p>
              </w:tc>
              <w:tc>
                <w:tcPr>
                  <w:tcW w:w="744" w:type="pct"/>
                  <w:tcBorders>
                    <w:tl2br w:val="nil"/>
                    <w:tr2bl w:val="nil"/>
                  </w:tcBorders>
                  <w:shd w:val="clear" w:color="auto" w:fill="auto"/>
                  <w:vAlign w:val="center"/>
                </w:tcPr>
                <w:p w14:paraId="6C52A972">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名称</w:t>
                  </w:r>
                </w:p>
              </w:tc>
              <w:tc>
                <w:tcPr>
                  <w:tcW w:w="1472" w:type="pct"/>
                  <w:tcBorders>
                    <w:tl2br w:val="nil"/>
                    <w:tr2bl w:val="nil"/>
                  </w:tcBorders>
                  <w:shd w:val="clear" w:color="auto" w:fill="auto"/>
                  <w:vAlign w:val="center"/>
                </w:tcPr>
                <w:p w14:paraId="4E9BE956">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方位及距离</w:t>
                  </w:r>
                </w:p>
              </w:tc>
              <w:tc>
                <w:tcPr>
                  <w:tcW w:w="449" w:type="pct"/>
                  <w:tcBorders>
                    <w:tl2br w:val="nil"/>
                    <w:tr2bl w:val="nil"/>
                  </w:tcBorders>
                  <w:shd w:val="clear" w:color="auto" w:fill="auto"/>
                  <w:vAlign w:val="center"/>
                </w:tcPr>
                <w:p w14:paraId="7ABB4307">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人数</w:t>
                  </w:r>
                </w:p>
              </w:tc>
              <w:tc>
                <w:tcPr>
                  <w:tcW w:w="597" w:type="pct"/>
                  <w:tcBorders>
                    <w:tl2br w:val="nil"/>
                    <w:tr2bl w:val="nil"/>
                  </w:tcBorders>
                  <w:shd w:val="clear" w:color="auto" w:fill="auto"/>
                  <w:vAlign w:val="center"/>
                </w:tcPr>
                <w:p w14:paraId="08E8067B">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建筑物特征</w:t>
                  </w:r>
                </w:p>
              </w:tc>
              <w:tc>
                <w:tcPr>
                  <w:tcW w:w="458" w:type="pct"/>
                  <w:tcBorders>
                    <w:tl2br w:val="nil"/>
                    <w:tr2bl w:val="nil"/>
                  </w:tcBorders>
                  <w:shd w:val="clear" w:color="auto" w:fill="auto"/>
                  <w:vAlign w:val="center"/>
                </w:tcPr>
                <w:p w14:paraId="0F221887">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建筑物高度</w:t>
                  </w:r>
                </w:p>
              </w:tc>
              <w:tc>
                <w:tcPr>
                  <w:tcW w:w="400" w:type="pct"/>
                  <w:tcBorders>
                    <w:tl2br w:val="nil"/>
                    <w:tr2bl w:val="nil"/>
                  </w:tcBorders>
                  <w:shd w:val="clear" w:color="auto" w:fill="auto"/>
                  <w:vAlign w:val="center"/>
                </w:tcPr>
                <w:p w14:paraId="34F60320">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性质</w:t>
                  </w:r>
                </w:p>
              </w:tc>
              <w:tc>
                <w:tcPr>
                  <w:tcW w:w="595" w:type="pct"/>
                  <w:tcBorders>
                    <w:tl2br w:val="nil"/>
                    <w:tr2bl w:val="nil"/>
                  </w:tcBorders>
                  <w:shd w:val="clear" w:color="auto" w:fill="auto"/>
                  <w:vAlign w:val="center"/>
                </w:tcPr>
                <w:p w14:paraId="1DE95E56">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环境影响因子</w:t>
                  </w:r>
                </w:p>
              </w:tc>
            </w:tr>
            <w:tr w14:paraId="7B6E7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1" w:type="pct"/>
                  <w:tcBorders>
                    <w:tl2br w:val="nil"/>
                    <w:tr2bl w:val="nil"/>
                  </w:tcBorders>
                  <w:shd w:val="clear" w:color="auto" w:fill="auto"/>
                  <w:vAlign w:val="center"/>
                </w:tcPr>
                <w:p w14:paraId="39412D3E">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w:t>
                  </w:r>
                </w:p>
              </w:tc>
              <w:tc>
                <w:tcPr>
                  <w:tcW w:w="744" w:type="pct"/>
                  <w:tcBorders>
                    <w:tl2br w:val="nil"/>
                    <w:tr2bl w:val="nil"/>
                  </w:tcBorders>
                  <w:shd w:val="clear" w:color="auto" w:fill="auto"/>
                  <w:vAlign w:val="center"/>
                </w:tcPr>
                <w:p w14:paraId="1948981B">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汽车修理厂</w:t>
                  </w:r>
                </w:p>
              </w:tc>
              <w:tc>
                <w:tcPr>
                  <w:tcW w:w="1472" w:type="pct"/>
                  <w:tcBorders>
                    <w:tl2br w:val="nil"/>
                    <w:tr2bl w:val="nil"/>
                  </w:tcBorders>
                  <w:shd w:val="clear" w:color="auto" w:fill="auto"/>
                  <w:vAlign w:val="center"/>
                </w:tcPr>
                <w:p w14:paraId="222A789A">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恒山变电站东北侧23m</w:t>
                  </w:r>
                </w:p>
                <w:p w14:paraId="136C4559">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（130.86715043,45.20377049）</w:t>
                  </w:r>
                </w:p>
              </w:tc>
              <w:tc>
                <w:tcPr>
                  <w:tcW w:w="449" w:type="pct"/>
                  <w:tcBorders>
                    <w:tl2br w:val="nil"/>
                    <w:tr2bl w:val="nil"/>
                  </w:tcBorders>
                  <w:shd w:val="clear" w:color="auto" w:fill="auto"/>
                  <w:vAlign w:val="center"/>
                </w:tcPr>
                <w:p w14:paraId="0E9F77F5">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12</w:t>
                  </w:r>
                </w:p>
              </w:tc>
              <w:tc>
                <w:tcPr>
                  <w:tcW w:w="597" w:type="pct"/>
                  <w:tcBorders>
                    <w:tl2br w:val="nil"/>
                    <w:tr2bl w:val="nil"/>
                  </w:tcBorders>
                  <w:shd w:val="clear" w:color="auto" w:fill="auto"/>
                  <w:vAlign w:val="center"/>
                </w:tcPr>
                <w:p w14:paraId="25412FA6">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1层</w:t>
                  </w:r>
                </w:p>
              </w:tc>
              <w:tc>
                <w:tcPr>
                  <w:tcW w:w="458" w:type="pct"/>
                  <w:tcBorders>
                    <w:tl2br w:val="nil"/>
                    <w:tr2bl w:val="nil"/>
                  </w:tcBorders>
                  <w:shd w:val="clear" w:color="auto" w:fill="auto"/>
                  <w:vAlign w:val="center"/>
                </w:tcPr>
                <w:p w14:paraId="737D21AA">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4m</w:t>
                  </w:r>
                </w:p>
              </w:tc>
              <w:tc>
                <w:tcPr>
                  <w:tcW w:w="400" w:type="pct"/>
                  <w:tcBorders>
                    <w:tl2br w:val="nil"/>
                    <w:tr2bl w:val="nil"/>
                  </w:tcBorders>
                  <w:shd w:val="clear" w:color="auto" w:fill="auto"/>
                  <w:vAlign w:val="center"/>
                </w:tcPr>
                <w:p w14:paraId="4BDA6E1B">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厂房</w:t>
                  </w:r>
                </w:p>
              </w:tc>
              <w:tc>
                <w:tcPr>
                  <w:tcW w:w="595" w:type="pct"/>
                  <w:tcBorders>
                    <w:tl2br w:val="nil"/>
                    <w:tr2bl w:val="nil"/>
                  </w:tcBorders>
                  <w:shd w:val="clear" w:color="auto" w:fill="auto"/>
                  <w:vAlign w:val="center"/>
                </w:tcPr>
                <w:p w14:paraId="255A6191">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电磁</w:t>
                  </w:r>
                </w:p>
              </w:tc>
            </w:tr>
            <w:tr w14:paraId="18CE1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1" w:type="pct"/>
                  <w:tcBorders>
                    <w:tl2br w:val="nil"/>
                    <w:tr2bl w:val="nil"/>
                  </w:tcBorders>
                  <w:shd w:val="clear" w:color="auto" w:fill="auto"/>
                  <w:vAlign w:val="center"/>
                </w:tcPr>
                <w:p w14:paraId="75CD2C6E">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2</w:t>
                  </w:r>
                </w:p>
              </w:tc>
              <w:tc>
                <w:tcPr>
                  <w:tcW w:w="744" w:type="pct"/>
                  <w:tcBorders>
                    <w:tl2br w:val="nil"/>
                    <w:tr2bl w:val="nil"/>
                  </w:tcBorders>
                  <w:shd w:val="clear" w:color="auto" w:fill="auto"/>
                  <w:vAlign w:val="center"/>
                </w:tcPr>
                <w:p w14:paraId="5DFAE138">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洗煤厂</w:t>
                  </w:r>
                </w:p>
              </w:tc>
              <w:tc>
                <w:tcPr>
                  <w:tcW w:w="1472" w:type="pct"/>
                  <w:tcBorders>
                    <w:tl2br w:val="nil"/>
                    <w:tr2bl w:val="nil"/>
                  </w:tcBorders>
                  <w:shd w:val="clear" w:color="auto" w:fill="auto"/>
                  <w:vAlign w:val="center"/>
                </w:tcPr>
                <w:p w14:paraId="1BF4FB63">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恒山变电站东侧73m</w:t>
                  </w:r>
                </w:p>
                <w:p w14:paraId="09C69CBE">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（130.86782045,45.20360789）</w:t>
                  </w:r>
                </w:p>
              </w:tc>
              <w:tc>
                <w:tcPr>
                  <w:tcW w:w="449" w:type="pct"/>
                  <w:tcBorders>
                    <w:tl2br w:val="nil"/>
                    <w:tr2bl w:val="nil"/>
                  </w:tcBorders>
                  <w:shd w:val="clear" w:color="auto" w:fill="auto"/>
                  <w:vAlign w:val="center"/>
                </w:tcPr>
                <w:p w14:paraId="3EBAF0B1">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12</w:t>
                  </w:r>
                </w:p>
              </w:tc>
              <w:tc>
                <w:tcPr>
                  <w:tcW w:w="597" w:type="pct"/>
                  <w:tcBorders>
                    <w:tl2br w:val="nil"/>
                    <w:tr2bl w:val="nil"/>
                  </w:tcBorders>
                  <w:shd w:val="clear" w:color="auto" w:fill="auto"/>
                  <w:vAlign w:val="center"/>
                </w:tcPr>
                <w:p w14:paraId="66C9BD63">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1层</w:t>
                  </w:r>
                </w:p>
              </w:tc>
              <w:tc>
                <w:tcPr>
                  <w:tcW w:w="458" w:type="pct"/>
                  <w:tcBorders>
                    <w:tl2br w:val="nil"/>
                    <w:tr2bl w:val="nil"/>
                  </w:tcBorders>
                  <w:shd w:val="clear" w:color="auto" w:fill="auto"/>
                  <w:vAlign w:val="center"/>
                </w:tcPr>
                <w:p w14:paraId="3B2D1979">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3.5m</w:t>
                  </w:r>
                </w:p>
              </w:tc>
              <w:tc>
                <w:tcPr>
                  <w:tcW w:w="400" w:type="pct"/>
                  <w:tcBorders>
                    <w:tl2br w:val="nil"/>
                    <w:tr2bl w:val="nil"/>
                  </w:tcBorders>
                  <w:shd w:val="clear" w:color="auto" w:fill="auto"/>
                  <w:vAlign w:val="center"/>
                </w:tcPr>
                <w:p w14:paraId="5DDA64CF">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厂房</w:t>
                  </w:r>
                </w:p>
              </w:tc>
              <w:tc>
                <w:tcPr>
                  <w:tcW w:w="595" w:type="pct"/>
                  <w:tcBorders>
                    <w:tl2br w:val="nil"/>
                    <w:tr2bl w:val="nil"/>
                  </w:tcBorders>
                  <w:shd w:val="clear" w:color="auto" w:fill="auto"/>
                  <w:vAlign w:val="center"/>
                </w:tcPr>
                <w:p w14:paraId="45A6C541">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r>
            <w:tr w14:paraId="66B77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1" w:type="pct"/>
                  <w:tcBorders>
                    <w:tl2br w:val="nil"/>
                    <w:tr2bl w:val="nil"/>
                  </w:tcBorders>
                  <w:shd w:val="clear" w:color="auto" w:fill="auto"/>
                  <w:vAlign w:val="center"/>
                </w:tcPr>
                <w:p w14:paraId="19C69D29">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3</w:t>
                  </w:r>
                </w:p>
              </w:tc>
              <w:tc>
                <w:tcPr>
                  <w:tcW w:w="744" w:type="pct"/>
                  <w:tcBorders>
                    <w:tl2br w:val="nil"/>
                    <w:tr2bl w:val="nil"/>
                  </w:tcBorders>
                  <w:shd w:val="clear" w:color="auto" w:fill="auto"/>
                  <w:vAlign w:val="center"/>
                </w:tcPr>
                <w:p w14:paraId="35E61622">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无人居住房</w:t>
                  </w:r>
                </w:p>
              </w:tc>
              <w:tc>
                <w:tcPr>
                  <w:tcW w:w="1472" w:type="pct"/>
                  <w:tcBorders>
                    <w:tl2br w:val="nil"/>
                    <w:tr2bl w:val="nil"/>
                  </w:tcBorders>
                  <w:shd w:val="clear" w:color="auto" w:fill="auto"/>
                  <w:vAlign w:val="center"/>
                </w:tcPr>
                <w:p w14:paraId="72CC03C0">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恒山变电站北侧92m</w:t>
                  </w:r>
                </w:p>
                <w:p w14:paraId="14EF7090">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（130.86749242,45.20434049）</w:t>
                  </w:r>
                </w:p>
              </w:tc>
              <w:tc>
                <w:tcPr>
                  <w:tcW w:w="449" w:type="pct"/>
                  <w:tcBorders>
                    <w:tl2br w:val="nil"/>
                    <w:tr2bl w:val="nil"/>
                  </w:tcBorders>
                  <w:shd w:val="clear" w:color="auto" w:fill="auto"/>
                  <w:vAlign w:val="center"/>
                </w:tcPr>
                <w:p w14:paraId="0439D410">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0</w:t>
                  </w:r>
                </w:p>
              </w:tc>
              <w:tc>
                <w:tcPr>
                  <w:tcW w:w="597" w:type="pct"/>
                  <w:tcBorders>
                    <w:tl2br w:val="nil"/>
                    <w:tr2bl w:val="nil"/>
                  </w:tcBorders>
                  <w:shd w:val="clear" w:color="auto" w:fill="auto"/>
                  <w:vAlign w:val="center"/>
                </w:tcPr>
                <w:p w14:paraId="12108AC7">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2层</w:t>
                  </w:r>
                </w:p>
              </w:tc>
              <w:tc>
                <w:tcPr>
                  <w:tcW w:w="458" w:type="pct"/>
                  <w:tcBorders>
                    <w:tl2br w:val="nil"/>
                    <w:tr2bl w:val="nil"/>
                  </w:tcBorders>
                  <w:shd w:val="clear" w:color="auto" w:fill="auto"/>
                  <w:vAlign w:val="center"/>
                </w:tcPr>
                <w:p w14:paraId="19813AAA">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7m</w:t>
                  </w:r>
                </w:p>
              </w:tc>
              <w:tc>
                <w:tcPr>
                  <w:tcW w:w="400" w:type="pct"/>
                  <w:tcBorders>
                    <w:tl2br w:val="nil"/>
                    <w:tr2bl w:val="nil"/>
                  </w:tcBorders>
                  <w:shd w:val="clear" w:color="auto" w:fill="auto"/>
                  <w:vAlign w:val="center"/>
                </w:tcPr>
                <w:p w14:paraId="0B1EBEA2">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住宅</w:t>
                  </w:r>
                </w:p>
              </w:tc>
              <w:tc>
                <w:tcPr>
                  <w:tcW w:w="595" w:type="pct"/>
                  <w:tcBorders>
                    <w:tl2br w:val="nil"/>
                    <w:tr2bl w:val="nil"/>
                  </w:tcBorders>
                  <w:shd w:val="clear" w:color="auto" w:fill="auto"/>
                  <w:vAlign w:val="center"/>
                </w:tcPr>
                <w:p w14:paraId="155887BA">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噪声</w:t>
                  </w:r>
                  <w:r>
                    <w:rPr>
                      <w:rFonts w:hint="eastAsia" w:cs="Times New Roman"/>
                      <w:color w:val="FF0000"/>
                      <w:kern w:val="2"/>
                      <w:sz w:val="21"/>
                      <w:szCs w:val="21"/>
                      <w:lang w:val="en-US" w:eastAsia="zh-CN" w:bidi="ar-SA"/>
                    </w:rPr>
                    <w:t>：</w:t>
                  </w:r>
                  <w:r>
                    <w:rPr>
                      <w:rFonts w:hint="eastAsia" w:ascii="Times New Roman" w:hAnsi="Times New Roman" w:eastAsia="宋体" w:cs="Times New Roman"/>
                      <w:color w:val="FF0000"/>
                      <w:kern w:val="2"/>
                      <w:sz w:val="21"/>
                      <w:szCs w:val="21"/>
                      <w:lang w:val="en-US" w:eastAsia="zh-CN" w:bidi="ar-SA"/>
                    </w:rPr>
                    <w:t>《声环境质量标准》（GB 3096-2008）4a类标准</w:t>
                  </w:r>
                </w:p>
              </w:tc>
            </w:tr>
            <w:tr w14:paraId="76186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1" w:type="pct"/>
                  <w:tcBorders>
                    <w:tl2br w:val="nil"/>
                    <w:tr2bl w:val="nil"/>
                  </w:tcBorders>
                  <w:shd w:val="clear" w:color="auto" w:fill="auto"/>
                  <w:vAlign w:val="center"/>
                </w:tcPr>
                <w:p w14:paraId="4D242130">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4</w:t>
                  </w:r>
                </w:p>
              </w:tc>
              <w:tc>
                <w:tcPr>
                  <w:tcW w:w="744" w:type="pct"/>
                  <w:tcBorders>
                    <w:tl2br w:val="nil"/>
                    <w:tr2bl w:val="nil"/>
                  </w:tcBorders>
                  <w:shd w:val="clear" w:color="auto" w:fill="auto"/>
                  <w:vAlign w:val="center"/>
                </w:tcPr>
                <w:p w14:paraId="7E6BDB43">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无人居住房</w:t>
                  </w:r>
                </w:p>
              </w:tc>
              <w:tc>
                <w:tcPr>
                  <w:tcW w:w="1472" w:type="pct"/>
                  <w:tcBorders>
                    <w:tl2br w:val="nil"/>
                    <w:tr2bl w:val="nil"/>
                  </w:tcBorders>
                  <w:shd w:val="clear" w:color="auto" w:fill="auto"/>
                  <w:vAlign w:val="center"/>
                </w:tcPr>
                <w:p w14:paraId="370737E0">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恒山变电站北侧156m</w:t>
                  </w:r>
                </w:p>
                <w:p w14:paraId="677C1C85">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（130.86749242,45.20434049）</w:t>
                  </w:r>
                </w:p>
              </w:tc>
              <w:tc>
                <w:tcPr>
                  <w:tcW w:w="449" w:type="pct"/>
                  <w:tcBorders>
                    <w:tl2br w:val="nil"/>
                    <w:tr2bl w:val="nil"/>
                  </w:tcBorders>
                  <w:shd w:val="clear" w:color="auto" w:fill="auto"/>
                  <w:vAlign w:val="center"/>
                </w:tcPr>
                <w:p w14:paraId="48543204">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0</w:t>
                  </w:r>
                </w:p>
              </w:tc>
              <w:tc>
                <w:tcPr>
                  <w:tcW w:w="597" w:type="pct"/>
                  <w:tcBorders>
                    <w:tl2br w:val="nil"/>
                    <w:tr2bl w:val="nil"/>
                  </w:tcBorders>
                  <w:shd w:val="clear" w:color="auto" w:fill="auto"/>
                  <w:vAlign w:val="center"/>
                </w:tcPr>
                <w:p w14:paraId="4EECC2B6">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1层</w:t>
                  </w:r>
                </w:p>
              </w:tc>
              <w:tc>
                <w:tcPr>
                  <w:tcW w:w="458" w:type="pct"/>
                  <w:tcBorders>
                    <w:tl2br w:val="nil"/>
                    <w:tr2bl w:val="nil"/>
                  </w:tcBorders>
                  <w:shd w:val="clear" w:color="auto" w:fill="auto"/>
                  <w:vAlign w:val="center"/>
                </w:tcPr>
                <w:p w14:paraId="1A3E4A48">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3.5m</w:t>
                  </w:r>
                </w:p>
              </w:tc>
              <w:tc>
                <w:tcPr>
                  <w:tcW w:w="400" w:type="pct"/>
                  <w:tcBorders>
                    <w:tl2br w:val="nil"/>
                    <w:tr2bl w:val="nil"/>
                  </w:tcBorders>
                  <w:shd w:val="clear" w:color="auto" w:fill="auto"/>
                  <w:vAlign w:val="center"/>
                </w:tcPr>
                <w:p w14:paraId="1ADDF81B">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住宅</w:t>
                  </w:r>
                </w:p>
              </w:tc>
              <w:tc>
                <w:tcPr>
                  <w:tcW w:w="595" w:type="pct"/>
                  <w:tcBorders>
                    <w:tl2br w:val="nil"/>
                    <w:tr2bl w:val="nil"/>
                  </w:tcBorders>
                  <w:shd w:val="clear" w:color="auto" w:fill="auto"/>
                  <w:vAlign w:val="center"/>
                </w:tcPr>
                <w:p w14:paraId="7482B6B2">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噪声</w:t>
                  </w:r>
                  <w:r>
                    <w:rPr>
                      <w:rFonts w:hint="eastAsia" w:cs="Times New Roman"/>
                      <w:color w:val="FF0000"/>
                      <w:kern w:val="2"/>
                      <w:sz w:val="21"/>
                      <w:szCs w:val="21"/>
                      <w:lang w:val="en-US" w:eastAsia="zh-CN" w:bidi="ar-SA"/>
                    </w:rPr>
                    <w:t>：</w:t>
                  </w:r>
                  <w:r>
                    <w:rPr>
                      <w:rFonts w:hint="eastAsia" w:ascii="Times New Roman" w:hAnsi="Times New Roman" w:eastAsia="宋体" w:cs="Times New Roman"/>
                      <w:color w:val="FF0000"/>
                      <w:kern w:val="2"/>
                      <w:sz w:val="21"/>
                      <w:szCs w:val="21"/>
                      <w:lang w:val="en-US" w:eastAsia="zh-CN" w:bidi="ar-SA"/>
                    </w:rPr>
                    <w:t>《声环境质量标准》（GB 3096-2008）</w:t>
                  </w:r>
                  <w:r>
                    <w:rPr>
                      <w:rFonts w:hint="eastAsia" w:cs="Times New Roman"/>
                      <w:color w:val="FF0000"/>
                      <w:kern w:val="2"/>
                      <w:sz w:val="21"/>
                      <w:szCs w:val="21"/>
                      <w:lang w:val="en-US" w:eastAsia="zh-CN" w:bidi="ar-SA"/>
                    </w:rPr>
                    <w:t>2</w:t>
                  </w:r>
                  <w:r>
                    <w:rPr>
                      <w:rFonts w:hint="eastAsia" w:ascii="Times New Roman" w:hAnsi="Times New Roman" w:eastAsia="宋体" w:cs="Times New Roman"/>
                      <w:color w:val="FF0000"/>
                      <w:kern w:val="2"/>
                      <w:sz w:val="21"/>
                      <w:szCs w:val="21"/>
                      <w:lang w:val="en-US" w:eastAsia="zh-CN" w:bidi="ar-SA"/>
                    </w:rPr>
                    <w:t>类标准</w:t>
                  </w:r>
                </w:p>
              </w:tc>
            </w:tr>
          </w:tbl>
          <w:p w14:paraId="0FA8B5FF">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rPr>
              <w:drawing>
                <wp:inline distT="0" distB="0" distL="114300" distR="114300">
                  <wp:extent cx="4979670" cy="4370705"/>
                  <wp:effectExtent l="0" t="0" r="11430" b="10795"/>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25"/>
                          <a:stretch>
                            <a:fillRect/>
                          </a:stretch>
                        </pic:blipFill>
                        <pic:spPr>
                          <a:xfrm>
                            <a:off x="0" y="0"/>
                            <a:ext cx="4979670" cy="4370705"/>
                          </a:xfrm>
                          <a:prstGeom prst="rect">
                            <a:avLst/>
                          </a:prstGeom>
                          <a:noFill/>
                          <a:ln>
                            <a:noFill/>
                          </a:ln>
                        </pic:spPr>
                      </pic:pic>
                    </a:graphicData>
                  </a:graphic>
                </wp:inline>
              </w:drawing>
            </w:r>
          </w:p>
          <w:p w14:paraId="61AFC90F">
            <w:pPr>
              <w:pStyle w:val="26"/>
              <w:keepNext w:val="0"/>
              <w:keepLines w:val="0"/>
              <w:suppressLineNumbers w:val="0"/>
              <w:spacing w:beforeAutospacing="0" w:afterAutospacing="0"/>
              <w:ind w:left="0" w:right="0"/>
              <w:jc w:val="cente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 xml:space="preserve">图 3-8 </w:t>
            </w:r>
            <w:r>
              <w:rPr>
                <w:rFonts w:hint="eastAsia" w:ascii="Times New Roman" w:hAnsi="Times New Roman" w:cs="Times New Roman"/>
                <w:b/>
                <w:bCs/>
                <w:color w:val="000000" w:themeColor="text1"/>
                <w:kern w:val="2"/>
                <w:sz w:val="24"/>
                <w:szCs w:val="24"/>
                <w:highlight w:val="none"/>
                <w:lang w:val="en-US" w:eastAsia="zh-CN" w:bidi="ar-SA"/>
                <w14:textFill>
                  <w14:solidFill>
                    <w14:schemeClr w14:val="tx1"/>
                  </w14:solidFill>
                </w14:textFill>
              </w:rPr>
              <w:t>变电站评价范围及</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敏感目标位置关系图</w:t>
            </w:r>
          </w:p>
          <w:p w14:paraId="7F09D42B">
            <w:pPr>
              <w:pStyle w:val="26"/>
              <w:keepNext w:val="0"/>
              <w:keepLines w:val="0"/>
              <w:suppressLineNumbers w:val="0"/>
              <w:spacing w:beforeAutospacing="0" w:afterAutospacing="0"/>
              <w:ind w:left="0" w:right="0"/>
              <w:jc w:val="cente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rPr>
              <w:drawing>
                <wp:inline distT="0" distB="0" distL="114300" distR="114300">
                  <wp:extent cx="5823585" cy="1828800"/>
                  <wp:effectExtent l="0" t="0" r="5715" b="0"/>
                  <wp:docPr id="7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5"/>
                          <pic:cNvPicPr>
                            <a:picLocks noChangeAspect="1"/>
                          </pic:cNvPicPr>
                        </pic:nvPicPr>
                        <pic:blipFill>
                          <a:blip r:embed="rId26"/>
                          <a:stretch>
                            <a:fillRect/>
                          </a:stretch>
                        </pic:blipFill>
                        <pic:spPr>
                          <a:xfrm>
                            <a:off x="0" y="0"/>
                            <a:ext cx="5823585" cy="1828800"/>
                          </a:xfrm>
                          <a:prstGeom prst="rect">
                            <a:avLst/>
                          </a:prstGeom>
                          <a:noFill/>
                          <a:ln>
                            <a:noFill/>
                          </a:ln>
                        </pic:spPr>
                      </pic:pic>
                    </a:graphicData>
                  </a:graphic>
                </wp:inline>
              </w:drawing>
            </w:r>
          </w:p>
          <w:p w14:paraId="3229BF06">
            <w:pPr>
              <w:keepNext w:val="0"/>
              <w:keepLines w:val="0"/>
              <w:suppressLineNumbers w:val="0"/>
              <w:spacing w:before="0" w:beforeAutospacing="0" w:after="0" w:afterAutospacing="0"/>
              <w:ind w:left="0" w:right="0"/>
              <w:jc w:val="center"/>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图 3-</w:t>
            </w:r>
            <w:r>
              <w:rPr>
                <w:rFonts w:hint="eastAsia" w:cs="Times New Roman"/>
                <w:b/>
                <w:bCs/>
                <w:color w:val="000000" w:themeColor="text1"/>
                <w:kern w:val="2"/>
                <w:sz w:val="24"/>
                <w:szCs w:val="24"/>
                <w:highlight w:val="none"/>
                <w:lang w:val="en-US" w:eastAsia="zh-CN" w:bidi="ar-SA"/>
                <w14:textFill>
                  <w14:solidFill>
                    <w14:schemeClr w14:val="tx1"/>
                  </w14:solidFill>
                </w14:textFill>
              </w:rPr>
              <w:t>9</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 xml:space="preserve"> 线路评价范围图</w:t>
            </w:r>
          </w:p>
        </w:tc>
      </w:tr>
      <w:tr w14:paraId="67E39F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70" w:hRule="atLeast"/>
          <w:jc w:val="center"/>
        </w:trPr>
        <w:tc>
          <w:tcPr>
            <w:tcW w:w="456" w:type="dxa"/>
            <w:vAlign w:val="center"/>
          </w:tcPr>
          <w:p w14:paraId="77BE7193">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评价</w:t>
            </w:r>
          </w:p>
          <w:p w14:paraId="380C279A">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标准</w:t>
            </w:r>
          </w:p>
        </w:tc>
        <w:tc>
          <w:tcPr>
            <w:tcW w:w="9403" w:type="dxa"/>
            <w:vAlign w:val="center"/>
          </w:tcPr>
          <w:p w14:paraId="6AD0D8C8">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w:t>
            </w:r>
            <w:r>
              <w:rPr>
                <w:rFonts w:hint="eastAsia"/>
                <w:b/>
                <w:bCs/>
                <w:color w:val="000000" w:themeColor="text1"/>
                <w:sz w:val="24"/>
                <w:lang w:val="en-US" w:eastAsia="zh-CN"/>
                <w14:textFill>
                  <w14:solidFill>
                    <w14:schemeClr w14:val="tx1"/>
                  </w14:solidFill>
                </w14:textFill>
              </w:rPr>
              <w:t>一</w:t>
            </w:r>
            <w:r>
              <w:rPr>
                <w:rFonts w:hint="eastAsia"/>
                <w:b/>
                <w:bCs/>
                <w:color w:val="000000" w:themeColor="text1"/>
                <w:sz w:val="24"/>
                <w14:textFill>
                  <w14:solidFill>
                    <w14:schemeClr w14:val="tx1"/>
                  </w14:solidFill>
                </w14:textFill>
              </w:rPr>
              <w:t>）环境质量标准</w:t>
            </w:r>
          </w:p>
          <w:p w14:paraId="025F3F34">
            <w:pPr>
              <w:pStyle w:val="74"/>
              <w:keepNext w:val="0"/>
              <w:keepLines w:val="0"/>
              <w:suppressLineNumbers w:val="0"/>
              <w:spacing w:before="0" w:beforeAutospacing="0" w:after="0" w:afterAutospacing="0"/>
              <w:ind w:left="0" w:right="0" w:firstLine="482"/>
              <w:rPr>
                <w:rFonts w:hint="default" w:ascii="Times New Roman" w:hAnsi="Times New Roman" w:eastAsia="宋体" w:cs="Times New Roman"/>
                <w:b/>
                <w:bCs/>
                <w:color w:val="000000" w:themeColor="text1"/>
                <w:sz w:val="24"/>
                <w14:textFill>
                  <w14:solidFill>
                    <w14:schemeClr w14:val="tx1"/>
                  </w14:solidFill>
                </w14:textFill>
              </w:rPr>
            </w:pPr>
            <w:r>
              <w:rPr>
                <w:rFonts w:hint="eastAsia" w:ascii="Times New Roman" w:hAnsi="Times New Roman" w:eastAsia="宋体" w:cs="Times New Roman"/>
                <w:b/>
                <w:bCs/>
                <w:color w:val="000000" w:themeColor="text1"/>
                <w:sz w:val="24"/>
                <w14:textFill>
                  <w14:solidFill>
                    <w14:schemeClr w14:val="tx1"/>
                  </w14:solidFill>
                </w14:textFill>
              </w:rPr>
              <w:t>1、大气环境质量标准</w:t>
            </w:r>
          </w:p>
          <w:p w14:paraId="54517934">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eastAsia"/>
                <w:color w:val="000000" w:themeColor="text1"/>
                <w:kern w:val="0"/>
                <w:sz w:val="24"/>
                <w14:textFill>
                  <w14:solidFill>
                    <w14:schemeClr w14:val="tx1"/>
                  </w14:solidFill>
                </w14:textFill>
              </w:rPr>
              <w:t>评价区域大气环境质量标准执行《环境空气质量标准》（GB 3095-2012）中的二级标准，见表3-</w:t>
            </w:r>
            <w:r>
              <w:rPr>
                <w:rFonts w:hint="eastAsia"/>
                <w:color w:val="000000" w:themeColor="text1"/>
                <w:kern w:val="0"/>
                <w:sz w:val="24"/>
                <w:lang w:val="en-US" w:eastAsia="zh-CN"/>
                <w14:textFill>
                  <w14:solidFill>
                    <w14:schemeClr w14:val="tx1"/>
                  </w14:solidFill>
                </w14:textFill>
              </w:rPr>
              <w:t>7</w:t>
            </w:r>
            <w:r>
              <w:rPr>
                <w:rFonts w:hint="eastAsia"/>
                <w:color w:val="000000" w:themeColor="text1"/>
                <w:kern w:val="0"/>
                <w:sz w:val="24"/>
                <w14:textFill>
                  <w14:solidFill>
                    <w14:schemeClr w14:val="tx1"/>
                  </w14:solidFill>
                </w14:textFill>
              </w:rPr>
              <w:t>。</w:t>
            </w:r>
          </w:p>
          <w:p w14:paraId="494C45B4">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bookmarkStart w:id="11" w:name="OLE_LINK4"/>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w:t>
            </w:r>
            <w:bookmarkEnd w:id="11"/>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3-</w:t>
            </w:r>
            <w:r>
              <w:rPr>
                <w:rFonts w:hint="eastAsia" w:cs="Times New Roman"/>
                <w:b/>
                <w:bCs/>
                <w:color w:val="000000" w:themeColor="text1"/>
                <w:kern w:val="2"/>
                <w:sz w:val="24"/>
                <w:szCs w:val="24"/>
                <w:lang w:val="en-US" w:eastAsia="zh-CN" w:bidi="ar-SA"/>
                <w14:textFill>
                  <w14:solidFill>
                    <w14:schemeClr w14:val="tx1"/>
                  </w14:solidFill>
                </w14:textFill>
              </w:rPr>
              <w:t xml:space="preserve">7 </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《环境空气质量标准》（GB 3095-2012）中的二级标准</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1957"/>
              <w:gridCol w:w="2604"/>
              <w:gridCol w:w="1489"/>
              <w:gridCol w:w="1760"/>
            </w:tblGrid>
            <w:tr w14:paraId="7181A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743" w:type="pct"/>
                  <w:vAlign w:val="center"/>
                </w:tcPr>
                <w:p w14:paraId="20F5F277">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序号</w:t>
                  </w:r>
                </w:p>
              </w:tc>
              <w:tc>
                <w:tcPr>
                  <w:tcW w:w="1066" w:type="pct"/>
                  <w:vAlign w:val="center"/>
                </w:tcPr>
                <w:p w14:paraId="15F63B0C">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污染物项目</w:t>
                  </w:r>
                </w:p>
              </w:tc>
              <w:tc>
                <w:tcPr>
                  <w:tcW w:w="1419" w:type="pct"/>
                  <w:vAlign w:val="center"/>
                </w:tcPr>
                <w:p w14:paraId="7B9FF8A1">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平均</w:t>
                  </w:r>
                  <w:r>
                    <w:rPr>
                      <w:rFonts w:hint="eastAsia" w:eastAsia="宋体"/>
                      <w:color w:val="000000" w:themeColor="text1"/>
                      <w:sz w:val="21"/>
                      <w:szCs w:val="21"/>
                      <w14:textFill>
                        <w14:solidFill>
                          <w14:schemeClr w14:val="tx1"/>
                        </w14:solidFill>
                      </w14:textFill>
                    </w:rPr>
                    <w:t>时间</w:t>
                  </w:r>
                </w:p>
              </w:tc>
              <w:tc>
                <w:tcPr>
                  <w:tcW w:w="811" w:type="pct"/>
                  <w:vAlign w:val="center"/>
                </w:tcPr>
                <w:p w14:paraId="2128B6B0">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浓度</w:t>
                  </w:r>
                  <w:r>
                    <w:rPr>
                      <w:rFonts w:hint="default" w:eastAsia="宋体"/>
                      <w:color w:val="000000" w:themeColor="text1"/>
                      <w:sz w:val="21"/>
                      <w:szCs w:val="21"/>
                      <w14:textFill>
                        <w14:solidFill>
                          <w14:schemeClr w14:val="tx1"/>
                        </w14:solidFill>
                      </w14:textFill>
                    </w:rPr>
                    <w:t>限制</w:t>
                  </w:r>
                </w:p>
              </w:tc>
              <w:tc>
                <w:tcPr>
                  <w:tcW w:w="959" w:type="pct"/>
                  <w:vAlign w:val="center"/>
                </w:tcPr>
                <w:p w14:paraId="14F86923">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单位</w:t>
                  </w:r>
                </w:p>
              </w:tc>
            </w:tr>
            <w:tr w14:paraId="0ABD8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restart"/>
                  <w:vAlign w:val="center"/>
                </w:tcPr>
                <w:p w14:paraId="03225454">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w:t>
                  </w:r>
                </w:p>
              </w:tc>
              <w:tc>
                <w:tcPr>
                  <w:tcW w:w="1066" w:type="pct"/>
                  <w:vMerge w:val="restart"/>
                  <w:vAlign w:val="center"/>
                </w:tcPr>
                <w:p w14:paraId="579C2A67">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二氧化硫（SO</w:t>
                  </w:r>
                  <w:r>
                    <w:rPr>
                      <w:rFonts w:hint="default" w:eastAsia="宋体"/>
                      <w:color w:val="000000" w:themeColor="text1"/>
                      <w:sz w:val="21"/>
                      <w:szCs w:val="21"/>
                      <w:vertAlign w:val="subscript"/>
                      <w14:textFill>
                        <w14:solidFill>
                          <w14:schemeClr w14:val="tx1"/>
                        </w14:solidFill>
                      </w14:textFill>
                    </w:rPr>
                    <w:t>2</w:t>
                  </w:r>
                  <w:r>
                    <w:rPr>
                      <w:rFonts w:hint="default" w:eastAsia="宋体"/>
                      <w:color w:val="000000" w:themeColor="text1"/>
                      <w:sz w:val="21"/>
                      <w:szCs w:val="21"/>
                      <w14:textFill>
                        <w14:solidFill>
                          <w14:schemeClr w14:val="tx1"/>
                        </w14:solidFill>
                      </w14:textFill>
                    </w:rPr>
                    <w:t>）</w:t>
                  </w:r>
                </w:p>
              </w:tc>
              <w:tc>
                <w:tcPr>
                  <w:tcW w:w="1419" w:type="pct"/>
                  <w:vAlign w:val="center"/>
                </w:tcPr>
                <w:p w14:paraId="2F67EEBC">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年平均</w:t>
                  </w:r>
                </w:p>
              </w:tc>
              <w:tc>
                <w:tcPr>
                  <w:tcW w:w="811" w:type="pct"/>
                  <w:vAlign w:val="center"/>
                </w:tcPr>
                <w:p w14:paraId="0E3C7EC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60</w:t>
                  </w:r>
                </w:p>
              </w:tc>
              <w:tc>
                <w:tcPr>
                  <w:tcW w:w="959" w:type="pct"/>
                  <w:vMerge w:val="restart"/>
                  <w:vAlign w:val="center"/>
                </w:tcPr>
                <w:p w14:paraId="23FBB81E">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μg/m</w:t>
                  </w:r>
                  <w:r>
                    <w:rPr>
                      <w:rFonts w:hint="default" w:eastAsia="宋体"/>
                      <w:color w:val="000000" w:themeColor="text1"/>
                      <w:sz w:val="21"/>
                      <w:szCs w:val="21"/>
                      <w:vertAlign w:val="superscript"/>
                      <w14:textFill>
                        <w14:solidFill>
                          <w14:schemeClr w14:val="tx1"/>
                        </w14:solidFill>
                      </w14:textFill>
                    </w:rPr>
                    <w:t>3</w:t>
                  </w:r>
                </w:p>
              </w:tc>
            </w:tr>
            <w:tr w14:paraId="5515A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continue"/>
                  <w:vAlign w:val="center"/>
                </w:tcPr>
                <w:p w14:paraId="2DC95C28">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066" w:type="pct"/>
                  <w:vMerge w:val="continue"/>
                  <w:vAlign w:val="center"/>
                </w:tcPr>
                <w:p w14:paraId="09C9409D">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419" w:type="pct"/>
                  <w:vAlign w:val="center"/>
                </w:tcPr>
                <w:p w14:paraId="5D58A9D7">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24小时平均</w:t>
                  </w:r>
                </w:p>
              </w:tc>
              <w:tc>
                <w:tcPr>
                  <w:tcW w:w="811" w:type="pct"/>
                  <w:vAlign w:val="center"/>
                </w:tcPr>
                <w:p w14:paraId="549556E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150</w:t>
                  </w:r>
                </w:p>
              </w:tc>
              <w:tc>
                <w:tcPr>
                  <w:tcW w:w="959" w:type="pct"/>
                  <w:vMerge w:val="continue"/>
                  <w:vAlign w:val="center"/>
                </w:tcPr>
                <w:p w14:paraId="4CC50B20">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0931C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continue"/>
                  <w:vAlign w:val="center"/>
                </w:tcPr>
                <w:p w14:paraId="2F485811">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066" w:type="pct"/>
                  <w:vMerge w:val="continue"/>
                  <w:vAlign w:val="center"/>
                </w:tcPr>
                <w:p w14:paraId="7864D805">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419" w:type="pct"/>
                  <w:vAlign w:val="center"/>
                </w:tcPr>
                <w:p w14:paraId="50731215">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1小时平均</w:t>
                  </w:r>
                </w:p>
              </w:tc>
              <w:tc>
                <w:tcPr>
                  <w:tcW w:w="811" w:type="pct"/>
                  <w:vAlign w:val="center"/>
                </w:tcPr>
                <w:p w14:paraId="2154030B">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500</w:t>
                  </w:r>
                </w:p>
              </w:tc>
              <w:tc>
                <w:tcPr>
                  <w:tcW w:w="959" w:type="pct"/>
                  <w:vMerge w:val="continue"/>
                  <w:vAlign w:val="center"/>
                </w:tcPr>
                <w:p w14:paraId="63654E2C">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70654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restart"/>
                  <w:vAlign w:val="center"/>
                </w:tcPr>
                <w:p w14:paraId="658908FB">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w:t>
                  </w:r>
                </w:p>
              </w:tc>
              <w:tc>
                <w:tcPr>
                  <w:tcW w:w="1066" w:type="pct"/>
                  <w:vMerge w:val="restart"/>
                  <w:vAlign w:val="center"/>
                </w:tcPr>
                <w:p w14:paraId="63BCA95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二氧化氮（NO</w:t>
                  </w:r>
                  <w:r>
                    <w:rPr>
                      <w:rFonts w:hint="default" w:eastAsia="宋体"/>
                      <w:color w:val="000000" w:themeColor="text1"/>
                      <w:sz w:val="21"/>
                      <w:szCs w:val="21"/>
                      <w:vertAlign w:val="subscript"/>
                      <w14:textFill>
                        <w14:solidFill>
                          <w14:schemeClr w14:val="tx1"/>
                        </w14:solidFill>
                      </w14:textFill>
                    </w:rPr>
                    <w:t>2</w:t>
                  </w:r>
                  <w:r>
                    <w:rPr>
                      <w:rFonts w:hint="default" w:eastAsia="宋体"/>
                      <w:color w:val="000000" w:themeColor="text1"/>
                      <w:sz w:val="21"/>
                      <w:szCs w:val="21"/>
                      <w14:textFill>
                        <w14:solidFill>
                          <w14:schemeClr w14:val="tx1"/>
                        </w14:solidFill>
                      </w14:textFill>
                    </w:rPr>
                    <w:t>）</w:t>
                  </w:r>
                </w:p>
              </w:tc>
              <w:tc>
                <w:tcPr>
                  <w:tcW w:w="1419" w:type="pct"/>
                  <w:vAlign w:val="center"/>
                </w:tcPr>
                <w:p w14:paraId="7241FA38">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年平均</w:t>
                  </w:r>
                </w:p>
              </w:tc>
              <w:tc>
                <w:tcPr>
                  <w:tcW w:w="811" w:type="pct"/>
                  <w:vAlign w:val="center"/>
                </w:tcPr>
                <w:p w14:paraId="351C557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40</w:t>
                  </w:r>
                </w:p>
              </w:tc>
              <w:tc>
                <w:tcPr>
                  <w:tcW w:w="959" w:type="pct"/>
                  <w:vMerge w:val="continue"/>
                  <w:vAlign w:val="center"/>
                </w:tcPr>
                <w:p w14:paraId="171A037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3C612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continue"/>
                  <w:vAlign w:val="center"/>
                </w:tcPr>
                <w:p w14:paraId="6ED7073C">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066" w:type="pct"/>
                  <w:vMerge w:val="continue"/>
                  <w:vAlign w:val="center"/>
                </w:tcPr>
                <w:p w14:paraId="3F6B88D4">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419" w:type="pct"/>
                  <w:vAlign w:val="center"/>
                </w:tcPr>
                <w:p w14:paraId="7F66DCC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24小时平均</w:t>
                  </w:r>
                </w:p>
              </w:tc>
              <w:tc>
                <w:tcPr>
                  <w:tcW w:w="811" w:type="pct"/>
                  <w:vAlign w:val="center"/>
                </w:tcPr>
                <w:p w14:paraId="7F01CB76">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80</w:t>
                  </w:r>
                </w:p>
              </w:tc>
              <w:tc>
                <w:tcPr>
                  <w:tcW w:w="959" w:type="pct"/>
                  <w:vMerge w:val="continue"/>
                  <w:vAlign w:val="center"/>
                </w:tcPr>
                <w:p w14:paraId="01506F5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4593B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continue"/>
                  <w:vAlign w:val="center"/>
                </w:tcPr>
                <w:p w14:paraId="45A11EA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066" w:type="pct"/>
                  <w:vMerge w:val="continue"/>
                  <w:vAlign w:val="center"/>
                </w:tcPr>
                <w:p w14:paraId="507BBD68">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419" w:type="pct"/>
                  <w:vAlign w:val="center"/>
                </w:tcPr>
                <w:p w14:paraId="70518E4B">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1小时平均</w:t>
                  </w:r>
                </w:p>
              </w:tc>
              <w:tc>
                <w:tcPr>
                  <w:tcW w:w="811" w:type="pct"/>
                  <w:vAlign w:val="center"/>
                </w:tcPr>
                <w:p w14:paraId="5CE6906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200</w:t>
                  </w:r>
                </w:p>
              </w:tc>
              <w:tc>
                <w:tcPr>
                  <w:tcW w:w="959" w:type="pct"/>
                  <w:vMerge w:val="continue"/>
                  <w:vAlign w:val="center"/>
                </w:tcPr>
                <w:p w14:paraId="6F281967">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6BDF2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restart"/>
                  <w:vAlign w:val="center"/>
                </w:tcPr>
                <w:p w14:paraId="68D27BA7">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3</w:t>
                  </w:r>
                </w:p>
              </w:tc>
              <w:tc>
                <w:tcPr>
                  <w:tcW w:w="1066" w:type="pct"/>
                  <w:vMerge w:val="restart"/>
                  <w:vAlign w:val="center"/>
                </w:tcPr>
                <w:p w14:paraId="59317A86">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一氧化碳（CO）</w:t>
                  </w:r>
                </w:p>
              </w:tc>
              <w:tc>
                <w:tcPr>
                  <w:tcW w:w="1419" w:type="pct"/>
                  <w:vAlign w:val="center"/>
                </w:tcPr>
                <w:p w14:paraId="11A397A5">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24小时平均</w:t>
                  </w:r>
                </w:p>
              </w:tc>
              <w:tc>
                <w:tcPr>
                  <w:tcW w:w="811" w:type="pct"/>
                  <w:vAlign w:val="center"/>
                </w:tcPr>
                <w:p w14:paraId="7DC6F30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4</w:t>
                  </w:r>
                </w:p>
              </w:tc>
              <w:tc>
                <w:tcPr>
                  <w:tcW w:w="959" w:type="pct"/>
                  <w:vMerge w:val="restart"/>
                  <w:vAlign w:val="center"/>
                </w:tcPr>
                <w:p w14:paraId="773F4DEB">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mg/m</w:t>
                  </w:r>
                  <w:r>
                    <w:rPr>
                      <w:rFonts w:hint="default" w:eastAsia="宋体"/>
                      <w:color w:val="000000" w:themeColor="text1"/>
                      <w:sz w:val="21"/>
                      <w:szCs w:val="21"/>
                      <w:vertAlign w:val="superscript"/>
                      <w14:textFill>
                        <w14:solidFill>
                          <w14:schemeClr w14:val="tx1"/>
                        </w14:solidFill>
                      </w14:textFill>
                    </w:rPr>
                    <w:t>3</w:t>
                  </w:r>
                </w:p>
              </w:tc>
            </w:tr>
            <w:tr w14:paraId="3044B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continue"/>
                  <w:vAlign w:val="center"/>
                </w:tcPr>
                <w:p w14:paraId="740C4426">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066" w:type="pct"/>
                  <w:vMerge w:val="continue"/>
                  <w:vAlign w:val="center"/>
                </w:tcPr>
                <w:p w14:paraId="6B041E80">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419" w:type="pct"/>
                  <w:vAlign w:val="center"/>
                </w:tcPr>
                <w:p w14:paraId="66207AB4">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1小时平均</w:t>
                  </w:r>
                </w:p>
              </w:tc>
              <w:tc>
                <w:tcPr>
                  <w:tcW w:w="811" w:type="pct"/>
                  <w:vAlign w:val="center"/>
                </w:tcPr>
                <w:p w14:paraId="452D6B91">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10</w:t>
                  </w:r>
                </w:p>
              </w:tc>
              <w:tc>
                <w:tcPr>
                  <w:tcW w:w="959" w:type="pct"/>
                  <w:vMerge w:val="continue"/>
                  <w:vAlign w:val="center"/>
                </w:tcPr>
                <w:p w14:paraId="0D76CD81">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74B63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restart"/>
                  <w:vAlign w:val="center"/>
                </w:tcPr>
                <w:p w14:paraId="47D21398">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4</w:t>
                  </w:r>
                </w:p>
              </w:tc>
              <w:tc>
                <w:tcPr>
                  <w:tcW w:w="1066" w:type="pct"/>
                  <w:vMerge w:val="restart"/>
                  <w:vAlign w:val="center"/>
                </w:tcPr>
                <w:p w14:paraId="1CAA375E">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臭氧（O</w:t>
                  </w:r>
                  <w:r>
                    <w:rPr>
                      <w:rFonts w:hint="default" w:eastAsia="宋体"/>
                      <w:color w:val="000000" w:themeColor="text1"/>
                      <w:sz w:val="21"/>
                      <w:szCs w:val="21"/>
                      <w:vertAlign w:val="subscript"/>
                      <w14:textFill>
                        <w14:solidFill>
                          <w14:schemeClr w14:val="tx1"/>
                        </w14:solidFill>
                      </w14:textFill>
                    </w:rPr>
                    <w:t>3</w:t>
                  </w:r>
                  <w:r>
                    <w:rPr>
                      <w:rFonts w:hint="default" w:eastAsia="宋体"/>
                      <w:color w:val="000000" w:themeColor="text1"/>
                      <w:sz w:val="21"/>
                      <w:szCs w:val="21"/>
                      <w14:textFill>
                        <w14:solidFill>
                          <w14:schemeClr w14:val="tx1"/>
                        </w14:solidFill>
                      </w14:textFill>
                    </w:rPr>
                    <w:t>）</w:t>
                  </w:r>
                </w:p>
              </w:tc>
              <w:tc>
                <w:tcPr>
                  <w:tcW w:w="1419" w:type="pct"/>
                  <w:vAlign w:val="center"/>
                </w:tcPr>
                <w:p w14:paraId="2EB640F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日最大8小时平均</w:t>
                  </w:r>
                </w:p>
              </w:tc>
              <w:tc>
                <w:tcPr>
                  <w:tcW w:w="811" w:type="pct"/>
                  <w:vAlign w:val="center"/>
                </w:tcPr>
                <w:p w14:paraId="06730BB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160</w:t>
                  </w:r>
                </w:p>
              </w:tc>
              <w:tc>
                <w:tcPr>
                  <w:tcW w:w="959" w:type="pct"/>
                  <w:vMerge w:val="restart"/>
                  <w:vAlign w:val="center"/>
                </w:tcPr>
                <w:p w14:paraId="20E9A7DE">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μg/m</w:t>
                  </w:r>
                  <w:r>
                    <w:rPr>
                      <w:rFonts w:hint="default" w:eastAsia="宋体"/>
                      <w:color w:val="000000" w:themeColor="text1"/>
                      <w:sz w:val="21"/>
                      <w:szCs w:val="21"/>
                      <w:vertAlign w:val="superscript"/>
                      <w14:textFill>
                        <w14:solidFill>
                          <w14:schemeClr w14:val="tx1"/>
                        </w14:solidFill>
                      </w14:textFill>
                    </w:rPr>
                    <w:t>3</w:t>
                  </w:r>
                </w:p>
              </w:tc>
            </w:tr>
            <w:tr w14:paraId="75B68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continue"/>
                  <w:vAlign w:val="center"/>
                </w:tcPr>
                <w:p w14:paraId="3345DC28">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066" w:type="pct"/>
                  <w:vMerge w:val="continue"/>
                  <w:vAlign w:val="center"/>
                </w:tcPr>
                <w:p w14:paraId="3CCC85B0">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419" w:type="pct"/>
                  <w:vAlign w:val="center"/>
                </w:tcPr>
                <w:p w14:paraId="3F561F4E">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1小时平均</w:t>
                  </w:r>
                </w:p>
              </w:tc>
              <w:tc>
                <w:tcPr>
                  <w:tcW w:w="811" w:type="pct"/>
                  <w:vAlign w:val="center"/>
                </w:tcPr>
                <w:p w14:paraId="48BDFBBD">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200</w:t>
                  </w:r>
                </w:p>
              </w:tc>
              <w:tc>
                <w:tcPr>
                  <w:tcW w:w="959" w:type="pct"/>
                  <w:vMerge w:val="continue"/>
                  <w:vAlign w:val="center"/>
                </w:tcPr>
                <w:p w14:paraId="138FB233">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4A453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restart"/>
                  <w:vAlign w:val="center"/>
                </w:tcPr>
                <w:p w14:paraId="300AD46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5</w:t>
                  </w:r>
                </w:p>
              </w:tc>
              <w:tc>
                <w:tcPr>
                  <w:tcW w:w="1066" w:type="pct"/>
                  <w:vMerge w:val="restart"/>
                  <w:vAlign w:val="center"/>
                </w:tcPr>
                <w:p w14:paraId="33EC61BB">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颗粒物（粒径小于等于10μm）</w:t>
                  </w:r>
                </w:p>
              </w:tc>
              <w:tc>
                <w:tcPr>
                  <w:tcW w:w="1419" w:type="pct"/>
                  <w:vAlign w:val="center"/>
                </w:tcPr>
                <w:p w14:paraId="5190D467">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年平均</w:t>
                  </w:r>
                </w:p>
              </w:tc>
              <w:tc>
                <w:tcPr>
                  <w:tcW w:w="811" w:type="pct"/>
                  <w:vAlign w:val="center"/>
                </w:tcPr>
                <w:p w14:paraId="4690783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70</w:t>
                  </w:r>
                </w:p>
              </w:tc>
              <w:tc>
                <w:tcPr>
                  <w:tcW w:w="959" w:type="pct"/>
                  <w:vMerge w:val="continue"/>
                  <w:vAlign w:val="center"/>
                </w:tcPr>
                <w:p w14:paraId="4B35131E">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25318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continue"/>
                  <w:vAlign w:val="center"/>
                </w:tcPr>
                <w:p w14:paraId="77B6E583">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066" w:type="pct"/>
                  <w:vMerge w:val="continue"/>
                  <w:vAlign w:val="center"/>
                </w:tcPr>
                <w:p w14:paraId="2D0ED874">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419" w:type="pct"/>
                  <w:vAlign w:val="center"/>
                </w:tcPr>
                <w:p w14:paraId="1438F770">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24小时平均</w:t>
                  </w:r>
                </w:p>
              </w:tc>
              <w:tc>
                <w:tcPr>
                  <w:tcW w:w="811" w:type="pct"/>
                  <w:vAlign w:val="center"/>
                </w:tcPr>
                <w:p w14:paraId="7E6C4EDD">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150</w:t>
                  </w:r>
                </w:p>
              </w:tc>
              <w:tc>
                <w:tcPr>
                  <w:tcW w:w="959" w:type="pct"/>
                  <w:vMerge w:val="continue"/>
                  <w:vAlign w:val="center"/>
                </w:tcPr>
                <w:p w14:paraId="02CE4485">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6D590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43" w:type="pct"/>
                  <w:vMerge w:val="restart"/>
                  <w:vAlign w:val="center"/>
                </w:tcPr>
                <w:p w14:paraId="2C1F59C4">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6</w:t>
                  </w:r>
                </w:p>
              </w:tc>
              <w:tc>
                <w:tcPr>
                  <w:tcW w:w="1066" w:type="pct"/>
                  <w:vMerge w:val="restart"/>
                  <w:vAlign w:val="center"/>
                </w:tcPr>
                <w:p w14:paraId="4B82C7AE">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颗粒物（粒径小于等于2.5μm）</w:t>
                  </w:r>
                </w:p>
              </w:tc>
              <w:tc>
                <w:tcPr>
                  <w:tcW w:w="1419" w:type="pct"/>
                  <w:vAlign w:val="center"/>
                </w:tcPr>
                <w:p w14:paraId="208464F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年平均</w:t>
                  </w:r>
                </w:p>
              </w:tc>
              <w:tc>
                <w:tcPr>
                  <w:tcW w:w="811" w:type="pct"/>
                  <w:vAlign w:val="center"/>
                </w:tcPr>
                <w:p w14:paraId="5099B96D">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35</w:t>
                  </w:r>
                </w:p>
              </w:tc>
              <w:tc>
                <w:tcPr>
                  <w:tcW w:w="959" w:type="pct"/>
                  <w:vMerge w:val="continue"/>
                  <w:vAlign w:val="center"/>
                </w:tcPr>
                <w:p w14:paraId="07B0D827">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r w14:paraId="3DD51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43" w:type="pct"/>
                  <w:vMerge w:val="continue"/>
                  <w:vAlign w:val="center"/>
                </w:tcPr>
                <w:p w14:paraId="42654970">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066" w:type="pct"/>
                  <w:vMerge w:val="continue"/>
                  <w:vAlign w:val="center"/>
                </w:tcPr>
                <w:p w14:paraId="5A81AF7B">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c>
                <w:tcPr>
                  <w:tcW w:w="1419" w:type="pct"/>
                  <w:vAlign w:val="center"/>
                </w:tcPr>
                <w:p w14:paraId="09B1A061">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24小时平均</w:t>
                  </w:r>
                </w:p>
              </w:tc>
              <w:tc>
                <w:tcPr>
                  <w:tcW w:w="811" w:type="pct"/>
                  <w:vAlign w:val="center"/>
                </w:tcPr>
                <w:p w14:paraId="635676A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75</w:t>
                  </w:r>
                </w:p>
              </w:tc>
              <w:tc>
                <w:tcPr>
                  <w:tcW w:w="959" w:type="pct"/>
                  <w:vMerge w:val="continue"/>
                  <w:vAlign w:val="center"/>
                </w:tcPr>
                <w:p w14:paraId="0A45E9B7">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p>
              </w:tc>
            </w:tr>
          </w:tbl>
          <w:p w14:paraId="05B4A3E1">
            <w:pPr>
              <w:pStyle w:val="74"/>
              <w:keepNext w:val="0"/>
              <w:keepLines w:val="0"/>
              <w:suppressLineNumbers w:val="0"/>
              <w:spacing w:before="0" w:beforeAutospacing="0" w:after="0" w:afterAutospacing="0"/>
              <w:ind w:left="0" w:right="0" w:firstLine="480"/>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w:t>
            </w:r>
            <w:r>
              <w:rPr>
                <w:rFonts w:hint="default"/>
                <w:b/>
                <w:bCs/>
                <w:color w:val="000000" w:themeColor="text1"/>
                <w:sz w:val="24"/>
                <w14:textFill>
                  <w14:solidFill>
                    <w14:schemeClr w14:val="tx1"/>
                  </w14:solidFill>
                </w14:textFill>
              </w:rPr>
              <w:t>声环境</w:t>
            </w:r>
            <w:r>
              <w:rPr>
                <w:rFonts w:hint="eastAsia"/>
                <w:b/>
                <w:bCs/>
                <w:color w:val="000000" w:themeColor="text1"/>
                <w:sz w:val="24"/>
                <w14:textFill>
                  <w14:solidFill>
                    <w14:schemeClr w14:val="tx1"/>
                  </w14:solidFill>
                </w14:textFill>
              </w:rPr>
              <w:t>质量标准</w:t>
            </w:r>
          </w:p>
          <w:p w14:paraId="31DBD684">
            <w:pPr>
              <w:pStyle w:val="74"/>
              <w:keepNext w:val="0"/>
              <w:keepLines w:val="0"/>
              <w:suppressLineNumbers w:val="0"/>
              <w:spacing w:before="0" w:beforeAutospacing="0" w:after="0" w:afterAutospacing="0"/>
              <w:ind w:left="0" w:right="0" w:firstLine="480"/>
              <w:jc w:val="both"/>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根据《声环境质量标准（GB3096-2008）》7.2 乡村声环境功能的确定：乡村区域一般不划分声环境功能区，根据环境管理的需要，县级以上人民政府环境保护行政主管部门可按</w:t>
            </w:r>
            <w:r>
              <w:rPr>
                <w:rFonts w:hint="eastAsia"/>
                <w:color w:val="000000" w:themeColor="text1"/>
                <w:sz w:val="24"/>
                <w:lang w:eastAsia="zh-CN"/>
                <w14:textFill>
                  <w14:solidFill>
                    <w14:schemeClr w14:val="tx1"/>
                  </w14:solidFill>
                </w14:textFill>
              </w:rPr>
              <w:t>以</w:t>
            </w:r>
            <w:r>
              <w:rPr>
                <w:rFonts w:hint="eastAsia"/>
                <w:color w:val="000000" w:themeColor="text1"/>
                <w:sz w:val="24"/>
                <w14:textFill>
                  <w14:solidFill>
                    <w14:schemeClr w14:val="tx1"/>
                  </w14:solidFill>
                </w14:textFill>
              </w:rPr>
              <w:t>下要求确定乡村区域适用的声环境质量要求：a）位于乡村的康复疗养区执行0类声环境功能区要求；</w:t>
            </w:r>
            <w:r>
              <w:rPr>
                <w:rFonts w:hint="default"/>
                <w:color w:val="000000" w:themeColor="text1"/>
                <w:sz w:val="24"/>
                <w14:textFill>
                  <w14:solidFill>
                    <w14:schemeClr w14:val="tx1"/>
                  </w14:solidFill>
                </w14:textFill>
              </w:rPr>
              <w:t>b</w:t>
            </w:r>
            <w:r>
              <w:rPr>
                <w:rFonts w:hint="eastAsia"/>
                <w:color w:val="000000" w:themeColor="text1"/>
                <w:sz w:val="24"/>
                <w14:textFill>
                  <w14:solidFill>
                    <w14:schemeClr w14:val="tx1"/>
                  </w14:solidFill>
                </w14:textFill>
              </w:rPr>
              <w:t>）村庄原则上执行</w:t>
            </w:r>
            <w:r>
              <w:rPr>
                <w:rFonts w:hint="default"/>
                <w:color w:val="000000" w:themeColor="text1"/>
                <w:sz w:val="24"/>
                <w14:textFill>
                  <w14:solidFill>
                    <w14:schemeClr w14:val="tx1"/>
                  </w14:solidFill>
                </w14:textFill>
              </w:rPr>
              <w:t>1</w:t>
            </w:r>
            <w:r>
              <w:rPr>
                <w:rFonts w:hint="eastAsia"/>
                <w:color w:val="000000" w:themeColor="text1"/>
                <w:sz w:val="24"/>
                <w14:textFill>
                  <w14:solidFill>
                    <w14:schemeClr w14:val="tx1"/>
                  </w14:solidFill>
                </w14:textFill>
              </w:rPr>
              <w:t>类声环境功能区要求，工业活动较多的村庄以及有交通干线经过的村庄（指执行</w:t>
            </w:r>
            <w:r>
              <w:rPr>
                <w:rFonts w:hint="default"/>
                <w:color w:val="000000" w:themeColor="text1"/>
                <w:sz w:val="24"/>
                <w14:textFill>
                  <w14:solidFill>
                    <w14:schemeClr w14:val="tx1"/>
                  </w14:solidFill>
                </w14:textFill>
              </w:rPr>
              <w:t>4</w:t>
            </w:r>
            <w:r>
              <w:rPr>
                <w:rFonts w:hint="eastAsia"/>
                <w:color w:val="000000" w:themeColor="text1"/>
                <w:sz w:val="24"/>
                <w14:textFill>
                  <w14:solidFill>
                    <w14:schemeClr w14:val="tx1"/>
                  </w14:solidFill>
                </w14:textFill>
              </w:rPr>
              <w:t>类声环境功能区要求以外的地区）可局部或全部执行</w:t>
            </w:r>
            <w:r>
              <w:rPr>
                <w:rFonts w:hint="default"/>
                <w:color w:val="000000" w:themeColor="text1"/>
                <w:sz w:val="24"/>
                <w14:textFill>
                  <w14:solidFill>
                    <w14:schemeClr w14:val="tx1"/>
                  </w14:solidFill>
                </w14:textFill>
              </w:rPr>
              <w:t>2</w:t>
            </w:r>
            <w:r>
              <w:rPr>
                <w:rFonts w:hint="eastAsia"/>
                <w:color w:val="000000" w:themeColor="text1"/>
                <w:sz w:val="24"/>
                <w14:textFill>
                  <w14:solidFill>
                    <w14:schemeClr w14:val="tx1"/>
                  </w14:solidFill>
                </w14:textFill>
              </w:rPr>
              <w:t>类声环境功能区要求；</w:t>
            </w:r>
            <w:r>
              <w:rPr>
                <w:rFonts w:hint="default"/>
                <w:color w:val="000000" w:themeColor="text1"/>
                <w:sz w:val="24"/>
                <w14:textFill>
                  <w14:solidFill>
                    <w14:schemeClr w14:val="tx1"/>
                  </w14:solidFill>
                </w14:textFill>
              </w:rPr>
              <w:t>c</w:t>
            </w:r>
            <w:r>
              <w:rPr>
                <w:rFonts w:hint="eastAsia"/>
                <w:color w:val="000000" w:themeColor="text1"/>
                <w:sz w:val="24"/>
                <w14:textFill>
                  <w14:solidFill>
                    <w14:schemeClr w14:val="tx1"/>
                  </w14:solidFill>
                </w14:textFill>
              </w:rPr>
              <w:t>）集镇执行</w:t>
            </w:r>
            <w:r>
              <w:rPr>
                <w:rFonts w:hint="default"/>
                <w:color w:val="000000" w:themeColor="text1"/>
                <w:sz w:val="24"/>
                <w14:textFill>
                  <w14:solidFill>
                    <w14:schemeClr w14:val="tx1"/>
                  </w14:solidFill>
                </w14:textFill>
              </w:rPr>
              <w:t>2</w:t>
            </w:r>
            <w:r>
              <w:rPr>
                <w:rFonts w:hint="eastAsia"/>
                <w:color w:val="000000" w:themeColor="text1"/>
                <w:sz w:val="24"/>
                <w14:textFill>
                  <w14:solidFill>
                    <w14:schemeClr w14:val="tx1"/>
                  </w14:solidFill>
                </w14:textFill>
              </w:rPr>
              <w:t>类声环境功能区要求；</w:t>
            </w:r>
            <w:r>
              <w:rPr>
                <w:rFonts w:hint="default"/>
                <w:color w:val="000000" w:themeColor="text1"/>
                <w:sz w:val="24"/>
                <w14:textFill>
                  <w14:solidFill>
                    <w14:schemeClr w14:val="tx1"/>
                  </w14:solidFill>
                </w14:textFill>
              </w:rPr>
              <w:t>d</w:t>
            </w:r>
            <w:r>
              <w:rPr>
                <w:rFonts w:hint="eastAsia"/>
                <w:color w:val="000000" w:themeColor="text1"/>
                <w:sz w:val="24"/>
                <w14:textFill>
                  <w14:solidFill>
                    <w14:schemeClr w14:val="tx1"/>
                  </w14:solidFill>
                </w14:textFill>
              </w:rPr>
              <w:t>）独立于村庄、集镇之外的工业、仓储集中区执行</w:t>
            </w:r>
            <w:r>
              <w:rPr>
                <w:rFonts w:hint="default"/>
                <w:color w:val="000000" w:themeColor="text1"/>
                <w:sz w:val="24"/>
                <w14:textFill>
                  <w14:solidFill>
                    <w14:schemeClr w14:val="tx1"/>
                  </w14:solidFill>
                </w14:textFill>
              </w:rPr>
              <w:t>3</w:t>
            </w:r>
            <w:r>
              <w:rPr>
                <w:rFonts w:hint="eastAsia"/>
                <w:color w:val="000000" w:themeColor="text1"/>
                <w:sz w:val="24"/>
                <w14:textFill>
                  <w14:solidFill>
                    <w14:schemeClr w14:val="tx1"/>
                  </w14:solidFill>
                </w14:textFill>
              </w:rPr>
              <w:t>类声环境功能区要求；</w:t>
            </w:r>
            <w:r>
              <w:rPr>
                <w:rFonts w:hint="default"/>
                <w:color w:val="000000" w:themeColor="text1"/>
                <w:sz w:val="24"/>
                <w14:textFill>
                  <w14:solidFill>
                    <w14:schemeClr w14:val="tx1"/>
                  </w14:solidFill>
                </w14:textFill>
              </w:rPr>
              <w:t>e</w:t>
            </w:r>
            <w:r>
              <w:rPr>
                <w:rFonts w:hint="eastAsia"/>
                <w:color w:val="000000" w:themeColor="text1"/>
                <w:sz w:val="24"/>
                <w14:textFill>
                  <w14:solidFill>
                    <w14:schemeClr w14:val="tx1"/>
                  </w14:solidFill>
                </w14:textFill>
              </w:rPr>
              <w:t>）位于交通干线两侧一定距离（参考</w:t>
            </w:r>
            <w:r>
              <w:rPr>
                <w:rFonts w:hint="default"/>
                <w:color w:val="000000" w:themeColor="text1"/>
                <w:sz w:val="24"/>
                <w14:textFill>
                  <w14:solidFill>
                    <w14:schemeClr w14:val="tx1"/>
                  </w14:solidFill>
                </w14:textFill>
              </w:rPr>
              <w:t>GB</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T 15190</w:t>
            </w:r>
            <w:r>
              <w:rPr>
                <w:rFonts w:hint="eastAsia"/>
                <w:color w:val="000000" w:themeColor="text1"/>
                <w:sz w:val="24"/>
                <w14:textFill>
                  <w14:solidFill>
                    <w14:schemeClr w14:val="tx1"/>
                  </w14:solidFill>
                </w14:textFill>
              </w:rPr>
              <w:t>第</w:t>
            </w:r>
            <w:r>
              <w:rPr>
                <w:rFonts w:hint="default"/>
                <w:color w:val="000000" w:themeColor="text1"/>
                <w:sz w:val="24"/>
                <w14:textFill>
                  <w14:solidFill>
                    <w14:schemeClr w14:val="tx1"/>
                  </w14:solidFill>
                </w14:textFill>
              </w:rPr>
              <w:t>8.3</w:t>
            </w:r>
            <w:r>
              <w:rPr>
                <w:rFonts w:hint="eastAsia"/>
                <w:color w:val="000000" w:themeColor="text1"/>
                <w:sz w:val="24"/>
                <w14:textFill>
                  <w14:solidFill>
                    <w14:schemeClr w14:val="tx1"/>
                  </w14:solidFill>
                </w14:textFill>
              </w:rPr>
              <w:t>条规定）内的噪声敏感建筑物执行</w:t>
            </w:r>
            <w:r>
              <w:rPr>
                <w:rFonts w:hint="default"/>
                <w:color w:val="000000" w:themeColor="text1"/>
                <w:sz w:val="24"/>
                <w14:textFill>
                  <w14:solidFill>
                    <w14:schemeClr w14:val="tx1"/>
                  </w14:solidFill>
                </w14:textFill>
              </w:rPr>
              <w:t>4</w:t>
            </w:r>
            <w:r>
              <w:rPr>
                <w:rFonts w:hint="eastAsia"/>
                <w:color w:val="000000" w:themeColor="text1"/>
                <w:sz w:val="24"/>
                <w14:textFill>
                  <w14:solidFill>
                    <w14:schemeClr w14:val="tx1"/>
                  </w14:solidFill>
                </w14:textFill>
              </w:rPr>
              <w:t>类声环境功能区要求</w:t>
            </w:r>
            <w:r>
              <w:rPr>
                <w:rFonts w:hint="eastAsia"/>
                <w:color w:val="000000" w:themeColor="text1"/>
                <w:sz w:val="24"/>
                <w:lang w:eastAsia="zh-CN"/>
                <w14:textFill>
                  <w14:solidFill>
                    <w14:schemeClr w14:val="tx1"/>
                  </w14:solidFill>
                </w14:textFill>
              </w:rPr>
              <w:t>。</w:t>
            </w:r>
          </w:p>
          <w:p w14:paraId="7CA57138">
            <w:pPr>
              <w:pStyle w:val="74"/>
              <w:keepNext w:val="0"/>
              <w:keepLines w:val="0"/>
              <w:suppressLineNumbers w:val="0"/>
              <w:spacing w:before="0" w:beforeAutospacing="0" w:after="0" w:afterAutospacing="0"/>
              <w:ind w:left="0" w:right="0" w:firstLine="48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color w:val="000000" w:themeColor="text1"/>
                <w:sz w:val="24"/>
                <w14:textFill>
                  <w14:solidFill>
                    <w14:schemeClr w14:val="tx1"/>
                  </w14:solidFill>
                </w14:textFill>
              </w:rPr>
              <w:t>本工程线路位于黑龙江省</w:t>
            </w:r>
            <w:r>
              <w:rPr>
                <w:rFonts w:hint="eastAsia"/>
                <w:color w:val="000000" w:themeColor="text1"/>
                <w:sz w:val="24"/>
                <w:lang w:val="en-US" w:eastAsia="zh-CN"/>
                <w14:textFill>
                  <w14:solidFill>
                    <w14:schemeClr w14:val="tx1"/>
                  </w14:solidFill>
                </w14:textFill>
              </w:rPr>
              <w:t>鸡西市恒山区和鸡西市</w:t>
            </w:r>
            <w:r>
              <w:rPr>
                <w:rFonts w:hint="eastAsia"/>
                <w:color w:val="000000" w:themeColor="text1"/>
                <w:sz w:val="24"/>
                <w14:textFill>
                  <w14:solidFill>
                    <w14:schemeClr w14:val="tx1"/>
                  </w14:solidFill>
                </w14:textFill>
              </w:rPr>
              <w:t>，呈东-西走向，起点鸡东县东南方向的500千伏鸡西变电站，止于鸡西市恒山区以西的220千伏恒山变电站。</w:t>
            </w:r>
            <w:r>
              <w:rPr>
                <w:rFonts w:hint="eastAsia"/>
                <w:color w:val="000000" w:themeColor="text1"/>
                <w:sz w:val="24"/>
                <w:lang w:val="en-US" w:eastAsia="zh-CN"/>
                <w14:textFill>
                  <w14:solidFill>
                    <w14:schemeClr w14:val="tx1"/>
                  </w14:solidFill>
                </w14:textFill>
              </w:rPr>
              <w:t>恒山变电站及变电站环境敏感目标根据《鸡西市恒山产业园区拓展区总体规划（2021—2035年）》属于二级工业用地，</w:t>
            </w:r>
            <w:r>
              <w:rPr>
                <w:rFonts w:hint="eastAsia"/>
                <w:color w:val="FF0000"/>
                <w:sz w:val="24"/>
                <w:lang w:val="en-US" w:eastAsia="zh-CN"/>
              </w:rPr>
              <w:t>变电站及变电站敏感目标根据《声环境功能区规划技术规范》（</w:t>
            </w:r>
            <w:r>
              <w:rPr>
                <w:rFonts w:hint="default"/>
                <w:color w:val="FF0000"/>
                <w:sz w:val="24"/>
              </w:rPr>
              <w:t>GB</w:t>
            </w:r>
            <w:r>
              <w:rPr>
                <w:rFonts w:hint="eastAsia"/>
                <w:color w:val="FF0000"/>
                <w:sz w:val="24"/>
                <w:lang w:val="en-US" w:eastAsia="zh-CN"/>
              </w:rPr>
              <w:t>/T15190-2014）执行</w:t>
            </w:r>
            <w:r>
              <w:rPr>
                <w:rFonts w:hint="default"/>
                <w:color w:val="FF0000"/>
                <w:sz w:val="24"/>
              </w:rPr>
              <w:t>2</w:t>
            </w:r>
            <w:r>
              <w:rPr>
                <w:rFonts w:hint="eastAsia"/>
                <w:color w:val="FF0000"/>
                <w:sz w:val="24"/>
              </w:rPr>
              <w:t>类声环境功能区要求</w:t>
            </w:r>
            <w:r>
              <w:rPr>
                <w:rFonts w:hint="eastAsia"/>
                <w:color w:val="FF0000"/>
                <w:sz w:val="24"/>
                <w:lang w:eastAsia="zh-CN"/>
              </w:rPr>
              <w:t>。</w:t>
            </w:r>
            <w:r>
              <w:rPr>
                <w:rFonts w:hint="eastAsia"/>
                <w:color w:val="FF0000"/>
                <w:sz w:val="24"/>
                <w:lang w:val="en-US" w:eastAsia="zh-CN"/>
              </w:rPr>
              <w:t>其中恒山变电站北侧92m无人居住房屋位于主干道35m±5m范围内，故</w:t>
            </w:r>
            <w:r>
              <w:rPr>
                <w:rFonts w:hint="default"/>
                <w:color w:val="FF0000"/>
                <w:sz w:val="24"/>
              </w:rPr>
              <w:t>执行《声环境质量标准》（GB</w:t>
            </w:r>
            <w:r>
              <w:rPr>
                <w:rFonts w:hint="eastAsia"/>
                <w:color w:val="FF0000"/>
                <w:sz w:val="24"/>
              </w:rPr>
              <w:t xml:space="preserve"> </w:t>
            </w:r>
            <w:r>
              <w:rPr>
                <w:rFonts w:hint="default"/>
                <w:color w:val="FF0000"/>
                <w:sz w:val="24"/>
              </w:rPr>
              <w:t>3096-2008）</w:t>
            </w:r>
            <w:r>
              <w:rPr>
                <w:rFonts w:hint="eastAsia"/>
                <w:color w:val="FF0000"/>
                <w:sz w:val="24"/>
                <w:lang w:val="en-US" w:eastAsia="zh-CN"/>
              </w:rPr>
              <w:t>4a类</w:t>
            </w:r>
            <w:r>
              <w:rPr>
                <w:rFonts w:hint="default"/>
                <w:color w:val="FF0000"/>
                <w:sz w:val="24"/>
              </w:rPr>
              <w:t>标准</w:t>
            </w:r>
            <w:r>
              <w:rPr>
                <w:rFonts w:hint="eastAsia"/>
                <w:color w:val="FF0000"/>
                <w:sz w:val="24"/>
                <w:lang w:val="en-US" w:eastAsia="zh-CN"/>
              </w:rPr>
              <w:t>。输电线路属于</w:t>
            </w:r>
            <w:r>
              <w:rPr>
                <w:rFonts w:hint="eastAsia"/>
                <w:color w:val="FF0000"/>
                <w:sz w:val="24"/>
              </w:rPr>
              <w:t>村庄原则上执行</w:t>
            </w:r>
            <w:r>
              <w:rPr>
                <w:rFonts w:hint="default"/>
                <w:color w:val="FF0000"/>
                <w:sz w:val="24"/>
              </w:rPr>
              <w:t>1</w:t>
            </w:r>
            <w:r>
              <w:rPr>
                <w:rFonts w:hint="eastAsia"/>
                <w:color w:val="FF0000"/>
                <w:sz w:val="24"/>
              </w:rPr>
              <w:t>类声环境功能区要求</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详</w:t>
            </w:r>
            <w:r>
              <w:rPr>
                <w:rFonts w:hint="default"/>
                <w:color w:val="000000" w:themeColor="text1"/>
                <w:sz w:val="24"/>
                <w14:textFill>
                  <w14:solidFill>
                    <w14:schemeClr w14:val="tx1"/>
                  </w14:solidFill>
                </w14:textFill>
              </w:rPr>
              <w:t>见</w:t>
            </w:r>
            <w:r>
              <w:rPr>
                <w:rFonts w:hint="eastAsia"/>
                <w:color w:val="000000" w:themeColor="text1"/>
                <w:kern w:val="0"/>
                <w:sz w:val="24"/>
                <w14:textFill>
                  <w14:solidFill>
                    <w14:schemeClr w14:val="tx1"/>
                  </w14:solidFill>
                </w14:textFill>
              </w:rPr>
              <w:t>下表</w:t>
            </w:r>
            <w:r>
              <w:rPr>
                <w:rFonts w:hint="eastAsia"/>
                <w:color w:val="000000" w:themeColor="text1"/>
                <w:kern w:val="0"/>
                <w:sz w:val="24"/>
                <w:lang w:eastAsia="zh-CN"/>
                <w14:textFill>
                  <w14:solidFill>
                    <w14:schemeClr w14:val="tx1"/>
                  </w14:solidFill>
                </w14:textFill>
              </w:rPr>
              <w:t>。</w:t>
            </w:r>
          </w:p>
          <w:p w14:paraId="5073B6DA">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3-</w:t>
            </w:r>
            <w:r>
              <w:rPr>
                <w:rFonts w:hint="eastAsia" w:cs="Times New Roman"/>
                <w:b/>
                <w:bCs/>
                <w:color w:val="000000" w:themeColor="text1"/>
                <w:kern w:val="2"/>
                <w:sz w:val="24"/>
                <w:szCs w:val="24"/>
                <w:lang w:val="en-US" w:eastAsia="zh-CN" w:bidi="ar-SA"/>
                <w14:textFill>
                  <w14:solidFill>
                    <w14:schemeClr w14:val="tx1"/>
                  </w14:solidFill>
                </w14:textFill>
              </w:rPr>
              <w:t>8</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《声环境质量标准》（GB 3096-2008）</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733"/>
              <w:gridCol w:w="3218"/>
              <w:gridCol w:w="3220"/>
            </w:tblGrid>
            <w:tr w14:paraId="3C46EA4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327" w:hRule="atLeast"/>
                <w:jc w:val="center"/>
              </w:trPr>
              <w:tc>
                <w:tcPr>
                  <w:tcW w:w="1490" w:type="pct"/>
                  <w:vMerge w:val="restart"/>
                  <w:noWrap w:val="0"/>
                  <w:vAlign w:val="center"/>
                </w:tcPr>
                <w:p w14:paraId="4B49730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声环境功能区类别</w:t>
                  </w:r>
                </w:p>
              </w:tc>
              <w:tc>
                <w:tcPr>
                  <w:tcW w:w="3509" w:type="pct"/>
                  <w:gridSpan w:val="2"/>
                  <w:noWrap w:val="0"/>
                  <w:vAlign w:val="center"/>
                </w:tcPr>
                <w:p w14:paraId="139B621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时段</w:t>
                  </w:r>
                </w:p>
              </w:tc>
            </w:tr>
            <w:tr w14:paraId="24E9267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490" w:type="pct"/>
                  <w:vMerge w:val="continue"/>
                  <w:noWrap w:val="0"/>
                  <w:vAlign w:val="center"/>
                </w:tcPr>
                <w:p w14:paraId="2756E38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754" w:type="pct"/>
                  <w:noWrap w:val="0"/>
                  <w:vAlign w:val="center"/>
                </w:tcPr>
                <w:p w14:paraId="1097542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昼间</w:t>
                  </w:r>
                </w:p>
              </w:tc>
              <w:tc>
                <w:tcPr>
                  <w:tcW w:w="1755" w:type="pct"/>
                  <w:noWrap w:val="0"/>
                  <w:vAlign w:val="center"/>
                </w:tcPr>
                <w:p w14:paraId="070EDD0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夜间</w:t>
                  </w:r>
                </w:p>
              </w:tc>
            </w:tr>
            <w:tr w14:paraId="5A85CE5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1490" w:type="pct"/>
                  <w:noWrap w:val="0"/>
                  <w:vAlign w:val="center"/>
                </w:tcPr>
                <w:p w14:paraId="2E35D41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rFonts w:hint="default"/>
                      <w:color w:val="000000" w:themeColor="text1"/>
                      <w:szCs w:val="21"/>
                      <w14:textFill>
                        <w14:solidFill>
                          <w14:schemeClr w14:val="tx1"/>
                        </w14:solidFill>
                      </w14:textFill>
                    </w:rPr>
                    <w:t>类</w:t>
                  </w:r>
                </w:p>
              </w:tc>
              <w:tc>
                <w:tcPr>
                  <w:tcW w:w="1754" w:type="pct"/>
                  <w:noWrap w:val="0"/>
                  <w:vAlign w:val="center"/>
                </w:tcPr>
                <w:p w14:paraId="50083D3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55</w:t>
                  </w:r>
                  <w:r>
                    <w:rPr>
                      <w:rFonts w:hint="default"/>
                      <w:color w:val="000000" w:themeColor="text1"/>
                      <w:szCs w:val="21"/>
                      <w14:textFill>
                        <w14:solidFill>
                          <w14:schemeClr w14:val="tx1"/>
                        </w14:solidFill>
                      </w14:textFill>
                    </w:rPr>
                    <w:t>dB（A）</w:t>
                  </w:r>
                </w:p>
              </w:tc>
              <w:tc>
                <w:tcPr>
                  <w:tcW w:w="1755" w:type="pct"/>
                  <w:noWrap w:val="0"/>
                  <w:vAlign w:val="center"/>
                </w:tcPr>
                <w:p w14:paraId="70230F6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45</w:t>
                  </w:r>
                  <w:r>
                    <w:rPr>
                      <w:rFonts w:hint="default"/>
                      <w:color w:val="000000" w:themeColor="text1"/>
                      <w:szCs w:val="21"/>
                      <w14:textFill>
                        <w14:solidFill>
                          <w14:schemeClr w14:val="tx1"/>
                        </w14:solidFill>
                      </w14:textFill>
                    </w:rPr>
                    <w:t>dB（A）</w:t>
                  </w:r>
                </w:p>
              </w:tc>
            </w:tr>
            <w:tr w14:paraId="17F87E3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1490" w:type="pct"/>
                  <w:noWrap w:val="0"/>
                  <w:vAlign w:val="center"/>
                </w:tcPr>
                <w:p w14:paraId="60CA52A5">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2类</w:t>
                  </w:r>
                </w:p>
              </w:tc>
              <w:tc>
                <w:tcPr>
                  <w:tcW w:w="3218" w:type="dxa"/>
                  <w:noWrap w:val="0"/>
                  <w:vAlign w:val="center"/>
                </w:tcPr>
                <w:p w14:paraId="5C906781">
                  <w:pPr>
                    <w:keepNext w:val="0"/>
                    <w:keepLines w:val="0"/>
                    <w:suppressLineNumbers w:val="0"/>
                    <w:spacing w:before="0" w:beforeAutospacing="0" w:after="0" w:afterAutospacing="0"/>
                    <w:ind w:left="0" w:leftChars="0" w:right="0" w:rightChars="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60</w:t>
                  </w:r>
                  <w:r>
                    <w:rPr>
                      <w:rFonts w:hint="default"/>
                      <w:color w:val="000000" w:themeColor="text1"/>
                      <w:szCs w:val="21"/>
                      <w14:textFill>
                        <w14:solidFill>
                          <w14:schemeClr w14:val="tx1"/>
                        </w14:solidFill>
                      </w14:textFill>
                    </w:rPr>
                    <w:t>dB（A）</w:t>
                  </w:r>
                </w:p>
              </w:tc>
              <w:tc>
                <w:tcPr>
                  <w:tcW w:w="3220" w:type="dxa"/>
                  <w:noWrap w:val="0"/>
                  <w:vAlign w:val="center"/>
                </w:tcPr>
                <w:p w14:paraId="36F8018C">
                  <w:pPr>
                    <w:keepNext w:val="0"/>
                    <w:keepLines w:val="0"/>
                    <w:suppressLineNumbers w:val="0"/>
                    <w:spacing w:before="0" w:beforeAutospacing="0" w:after="0" w:afterAutospacing="0"/>
                    <w:ind w:left="0" w:leftChars="0" w:right="0" w:rightChars="0"/>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r>
                    <w:rPr>
                      <w:rFonts w:hint="default"/>
                      <w:color w:val="000000" w:themeColor="text1"/>
                      <w:szCs w:val="21"/>
                      <w14:textFill>
                        <w14:solidFill>
                          <w14:schemeClr w14:val="tx1"/>
                        </w14:solidFill>
                      </w14:textFill>
                    </w:rPr>
                    <w:t>dB（A）</w:t>
                  </w:r>
                </w:p>
              </w:tc>
            </w:tr>
            <w:tr w14:paraId="0959CEA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1490" w:type="pct"/>
                  <w:noWrap w:val="0"/>
                  <w:vAlign w:val="center"/>
                </w:tcPr>
                <w:p w14:paraId="0557E0BC">
                  <w:pPr>
                    <w:keepNext w:val="0"/>
                    <w:keepLines w:val="0"/>
                    <w:suppressLineNumbers w:val="0"/>
                    <w:spacing w:before="0" w:beforeAutospacing="0" w:after="0" w:afterAutospacing="0"/>
                    <w:ind w:left="0" w:right="0"/>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4a类</w:t>
                  </w:r>
                </w:p>
              </w:tc>
              <w:tc>
                <w:tcPr>
                  <w:tcW w:w="3218" w:type="dxa"/>
                  <w:noWrap w:val="0"/>
                  <w:vAlign w:val="center"/>
                </w:tcPr>
                <w:p w14:paraId="0450CB1A">
                  <w:pPr>
                    <w:keepNext w:val="0"/>
                    <w:keepLines w:val="0"/>
                    <w:suppressLineNumbers w:val="0"/>
                    <w:spacing w:before="0" w:beforeAutospacing="0" w:after="0" w:afterAutospacing="0"/>
                    <w:ind w:left="0" w:leftChars="0" w:right="0" w:rightChars="0"/>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70</w:t>
                  </w:r>
                  <w:r>
                    <w:rPr>
                      <w:rFonts w:hint="default"/>
                      <w:color w:val="000000" w:themeColor="text1"/>
                      <w:szCs w:val="21"/>
                      <w14:textFill>
                        <w14:solidFill>
                          <w14:schemeClr w14:val="tx1"/>
                        </w14:solidFill>
                      </w14:textFill>
                    </w:rPr>
                    <w:t>dB（A）</w:t>
                  </w:r>
                </w:p>
              </w:tc>
              <w:tc>
                <w:tcPr>
                  <w:tcW w:w="3220" w:type="dxa"/>
                  <w:noWrap w:val="0"/>
                  <w:vAlign w:val="center"/>
                </w:tcPr>
                <w:p w14:paraId="4AC8BC8D">
                  <w:pPr>
                    <w:keepNext w:val="0"/>
                    <w:keepLines w:val="0"/>
                    <w:suppressLineNumbers w:val="0"/>
                    <w:spacing w:before="0" w:beforeAutospacing="0" w:after="0" w:afterAutospacing="0"/>
                    <w:ind w:left="0" w:leftChars="0" w:right="0" w:rightChars="0"/>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55</w:t>
                  </w:r>
                  <w:r>
                    <w:rPr>
                      <w:rFonts w:hint="default"/>
                      <w:color w:val="000000" w:themeColor="text1"/>
                      <w:szCs w:val="21"/>
                      <w14:textFill>
                        <w14:solidFill>
                          <w14:schemeClr w14:val="tx1"/>
                        </w14:solidFill>
                      </w14:textFill>
                    </w:rPr>
                    <w:t>dB（A）</w:t>
                  </w:r>
                </w:p>
              </w:tc>
            </w:tr>
          </w:tbl>
          <w:p w14:paraId="24C6BD0C">
            <w:pPr>
              <w:pStyle w:val="74"/>
              <w:keepNext w:val="0"/>
              <w:keepLines w:val="0"/>
              <w:suppressLineNumbers w:val="0"/>
              <w:spacing w:before="0" w:beforeAutospacing="0" w:after="0" w:afterAutospacing="0"/>
              <w:ind w:left="0" w:right="0" w:firstLine="480"/>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3、水环境质量标准</w:t>
            </w:r>
          </w:p>
          <w:p w14:paraId="18284457">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地表水执行《地表水环境质量标准》（GB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3838-2002）</w:t>
            </w:r>
            <w:r>
              <w:rPr>
                <w:rFonts w:hint="default"/>
                <w:color w:val="000000" w:themeColor="text1"/>
                <w:sz w:val="24"/>
                <w14:textFill>
                  <w14:solidFill>
                    <w14:schemeClr w14:val="tx1"/>
                  </w14:solidFill>
                </w14:textFill>
              </w:rPr>
              <w:fldChar w:fldCharType="begin"/>
            </w:r>
            <w:r>
              <w:rPr>
                <w:rFonts w:hint="default"/>
                <w:color w:val="000000" w:themeColor="text1"/>
                <w:sz w:val="24"/>
                <w14:textFill>
                  <w14:solidFill>
                    <w14:schemeClr w14:val="tx1"/>
                  </w14:solidFill>
                </w14:textFill>
              </w:rPr>
              <w:instrText xml:space="preserve"> </w:instrText>
            </w:r>
            <w:r>
              <w:rPr>
                <w:rFonts w:hint="eastAsia"/>
                <w:color w:val="000000" w:themeColor="text1"/>
                <w:sz w:val="24"/>
                <w14:textFill>
                  <w14:solidFill>
                    <w14:schemeClr w14:val="tx1"/>
                  </w14:solidFill>
                </w14:textFill>
              </w:rPr>
              <w:instrText xml:space="preserve">= 3 \* ROMAN</w:instrText>
            </w:r>
            <w:r>
              <w:rPr>
                <w:rFonts w:hint="default"/>
                <w:color w:val="000000" w:themeColor="text1"/>
                <w:sz w:val="24"/>
                <w14:textFill>
                  <w14:solidFill>
                    <w14:schemeClr w14:val="tx1"/>
                  </w14:solidFill>
                </w14:textFill>
              </w:rPr>
              <w:instrText xml:space="preserve"> </w:instrText>
            </w:r>
            <w:r>
              <w:rPr>
                <w:rFonts w:hint="default"/>
                <w:color w:val="000000" w:themeColor="text1"/>
                <w:sz w:val="24"/>
                <w14:textFill>
                  <w14:solidFill>
                    <w14:schemeClr w14:val="tx1"/>
                  </w14:solidFill>
                </w14:textFill>
              </w:rPr>
              <w:fldChar w:fldCharType="separate"/>
            </w:r>
            <w:r>
              <w:rPr>
                <w:rFonts w:hint="default"/>
                <w:color w:val="000000" w:themeColor="text1"/>
                <w:sz w:val="24"/>
                <w14:textFill>
                  <w14:solidFill>
                    <w14:schemeClr w14:val="tx1"/>
                  </w14:solidFill>
                </w14:textFill>
              </w:rPr>
              <w:t>III</w:t>
            </w:r>
            <w:r>
              <w:rPr>
                <w:rFonts w:hint="default"/>
                <w:color w:val="000000" w:themeColor="text1"/>
                <w:sz w:val="24"/>
                <w14:textFill>
                  <w14:solidFill>
                    <w14:schemeClr w14:val="tx1"/>
                  </w14:solidFill>
                </w14:textFill>
              </w:rPr>
              <w:fldChar w:fldCharType="end"/>
            </w:r>
            <w:r>
              <w:rPr>
                <w:rFonts w:hint="default"/>
                <w:color w:val="000000" w:themeColor="text1"/>
                <w:sz w:val="24"/>
                <w14:textFill>
                  <w14:solidFill>
                    <w14:schemeClr w14:val="tx1"/>
                  </w14:solidFill>
                </w14:textFill>
              </w:rPr>
              <w:t>类标准，见</w:t>
            </w:r>
            <w:r>
              <w:rPr>
                <w:rFonts w:hint="eastAsia"/>
                <w:color w:val="000000" w:themeColor="text1"/>
                <w:sz w:val="24"/>
                <w:lang w:val="en-US" w:eastAsia="zh-CN"/>
                <w14:textFill>
                  <w14:solidFill>
                    <w14:schemeClr w14:val="tx1"/>
                  </w14:solidFill>
                </w14:textFill>
              </w:rPr>
              <w:t>下表</w:t>
            </w:r>
            <w:r>
              <w:rPr>
                <w:rFonts w:hint="default"/>
                <w:color w:val="000000" w:themeColor="text1"/>
                <w:sz w:val="24"/>
                <w14:textFill>
                  <w14:solidFill>
                    <w14:schemeClr w14:val="tx1"/>
                  </w14:solidFill>
                </w14:textFill>
              </w:rPr>
              <w:t>。</w:t>
            </w:r>
          </w:p>
          <w:p w14:paraId="3175455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3-</w:t>
            </w:r>
            <w:r>
              <w:rPr>
                <w:rFonts w:hint="eastAsia" w:cs="Times New Roman"/>
                <w:b/>
                <w:bCs/>
                <w:color w:val="000000" w:themeColor="text1"/>
                <w:kern w:val="2"/>
                <w:sz w:val="24"/>
                <w:szCs w:val="24"/>
                <w:lang w:val="en-US" w:eastAsia="zh-CN" w:bidi="ar-SA"/>
                <w14:textFill>
                  <w14:solidFill>
                    <w14:schemeClr w14:val="tx1"/>
                  </w14:solidFill>
                </w14:textFill>
              </w:rPr>
              <w:t xml:space="preserve">9 </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《地表水环境质量标准》（GB 3838-2002）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fldChar w:fldCharType="begin"/>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instrText xml:space="preserve"> = 3 \* ROMAN </w:instrTex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fldChar w:fldCharType="separate"/>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III</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fldChar w:fldCharType="end"/>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类标准的要求</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6"/>
              <w:gridCol w:w="2564"/>
              <w:gridCol w:w="2265"/>
              <w:gridCol w:w="2858"/>
            </w:tblGrid>
            <w:tr w14:paraId="53D88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810" w:type="pct"/>
                  <w:vAlign w:val="center"/>
                </w:tcPr>
                <w:p w14:paraId="3431063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序号</w:t>
                  </w:r>
                </w:p>
              </w:tc>
              <w:tc>
                <w:tcPr>
                  <w:tcW w:w="1397" w:type="pct"/>
                  <w:vAlign w:val="center"/>
                </w:tcPr>
                <w:p w14:paraId="6418427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标准</w:t>
                  </w:r>
                  <w:r>
                    <w:rPr>
                      <w:rFonts w:hint="default" w:eastAsia="宋体"/>
                      <w:color w:val="000000" w:themeColor="text1"/>
                      <w:sz w:val="21"/>
                      <w:szCs w:val="21"/>
                      <w14:textFill>
                        <w14:solidFill>
                          <w14:schemeClr w14:val="tx1"/>
                        </w14:solidFill>
                      </w14:textFill>
                    </w:rPr>
                    <w:t>项目</w:t>
                  </w:r>
                </w:p>
              </w:tc>
              <w:tc>
                <w:tcPr>
                  <w:tcW w:w="1234" w:type="pct"/>
                  <w:vAlign w:val="center"/>
                </w:tcPr>
                <w:p w14:paraId="1604B3A4">
                  <w:pPr>
                    <w:pStyle w:val="8"/>
                    <w:keepNext w:val="0"/>
                    <w:keepLines w:val="0"/>
                    <w:suppressLineNumbers w:val="0"/>
                    <w:spacing w:before="0" w:beforeAutospacing="0" w:after="0" w:afterAutospacing="0" w:line="240" w:lineRule="auto"/>
                    <w:ind w:left="0" w:right="0" w:firstLine="0" w:firstLineChars="0"/>
                    <w:rPr>
                      <w:rFonts w:hint="default"/>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fldChar w:fldCharType="begin"/>
                  </w:r>
                  <w:r>
                    <w:rPr>
                      <w:rFonts w:hint="default" w:eastAsia="宋体"/>
                      <w:color w:val="000000" w:themeColor="text1"/>
                      <w:sz w:val="21"/>
                      <w:szCs w:val="21"/>
                      <w14:textFill>
                        <w14:solidFill>
                          <w14:schemeClr w14:val="tx1"/>
                        </w14:solidFill>
                      </w14:textFill>
                    </w:rPr>
                    <w:instrText xml:space="preserve"> </w:instrText>
                  </w:r>
                  <w:r>
                    <w:rPr>
                      <w:rFonts w:hint="eastAsia" w:eastAsia="宋体"/>
                      <w:color w:val="000000" w:themeColor="text1"/>
                      <w:sz w:val="21"/>
                      <w:szCs w:val="21"/>
                      <w14:textFill>
                        <w14:solidFill>
                          <w14:schemeClr w14:val="tx1"/>
                        </w14:solidFill>
                      </w14:textFill>
                    </w:rPr>
                    <w:instrText xml:space="preserve">= 3 \* ROMAN</w:instrText>
                  </w:r>
                  <w:r>
                    <w:rPr>
                      <w:rFonts w:hint="default" w:eastAsia="宋体"/>
                      <w:color w:val="000000" w:themeColor="text1"/>
                      <w:sz w:val="21"/>
                      <w:szCs w:val="21"/>
                      <w14:textFill>
                        <w14:solidFill>
                          <w14:schemeClr w14:val="tx1"/>
                        </w14:solidFill>
                      </w14:textFill>
                    </w:rPr>
                    <w:instrText xml:space="preserve"> </w:instrText>
                  </w:r>
                  <w:r>
                    <w:rPr>
                      <w:rFonts w:hint="default" w:eastAsia="宋体"/>
                      <w:color w:val="000000" w:themeColor="text1"/>
                      <w:sz w:val="21"/>
                      <w:szCs w:val="21"/>
                      <w14:textFill>
                        <w14:solidFill>
                          <w14:schemeClr w14:val="tx1"/>
                        </w14:solidFill>
                      </w14:textFill>
                    </w:rPr>
                    <w:fldChar w:fldCharType="separate"/>
                  </w:r>
                  <w:r>
                    <w:rPr>
                      <w:rFonts w:hint="default" w:eastAsia="宋体"/>
                      <w:color w:val="000000" w:themeColor="text1"/>
                      <w:sz w:val="21"/>
                      <w:szCs w:val="21"/>
                      <w14:textFill>
                        <w14:solidFill>
                          <w14:schemeClr w14:val="tx1"/>
                        </w14:solidFill>
                      </w14:textFill>
                    </w:rPr>
                    <w:t>III</w:t>
                  </w:r>
                  <w:r>
                    <w:rPr>
                      <w:rFonts w:hint="default" w:eastAsia="宋体"/>
                      <w:color w:val="000000" w:themeColor="text1"/>
                      <w:sz w:val="21"/>
                      <w:szCs w:val="21"/>
                      <w14:textFill>
                        <w14:solidFill>
                          <w14:schemeClr w14:val="tx1"/>
                        </w14:solidFill>
                      </w14:textFill>
                    </w:rPr>
                    <w:fldChar w:fldCharType="end"/>
                  </w:r>
                  <w:r>
                    <w:rPr>
                      <w:rFonts w:hint="default" w:eastAsia="宋体"/>
                      <w:color w:val="000000" w:themeColor="text1"/>
                      <w:sz w:val="21"/>
                      <w:szCs w:val="21"/>
                      <w14:textFill>
                        <w14:solidFill>
                          <w14:schemeClr w14:val="tx1"/>
                        </w14:solidFill>
                      </w14:textFill>
                    </w:rPr>
                    <w:t>类标准</w:t>
                  </w:r>
                </w:p>
              </w:tc>
              <w:tc>
                <w:tcPr>
                  <w:tcW w:w="1557" w:type="pct"/>
                  <w:vAlign w:val="center"/>
                </w:tcPr>
                <w:p w14:paraId="6E83625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单位</w:t>
                  </w:r>
                </w:p>
              </w:tc>
            </w:tr>
            <w:tr w14:paraId="22F99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20268FED">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w:t>
                  </w:r>
                </w:p>
              </w:tc>
              <w:tc>
                <w:tcPr>
                  <w:tcW w:w="1397" w:type="pct"/>
                  <w:vAlign w:val="center"/>
                </w:tcPr>
                <w:p w14:paraId="22700F1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pH</w:t>
                  </w:r>
                </w:p>
              </w:tc>
              <w:tc>
                <w:tcPr>
                  <w:tcW w:w="1234" w:type="pct"/>
                  <w:vAlign w:val="center"/>
                </w:tcPr>
                <w:p w14:paraId="7F2B3A5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6-9</w:t>
                  </w:r>
                </w:p>
              </w:tc>
              <w:tc>
                <w:tcPr>
                  <w:tcW w:w="1557" w:type="pct"/>
                  <w:vAlign w:val="center"/>
                </w:tcPr>
                <w:p w14:paraId="1B5E630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w:t>
                  </w:r>
                </w:p>
              </w:tc>
            </w:tr>
            <w:tr w14:paraId="2BFB1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008DF485">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2</w:t>
                  </w:r>
                </w:p>
              </w:tc>
              <w:tc>
                <w:tcPr>
                  <w:tcW w:w="1397" w:type="pct"/>
                  <w:vAlign w:val="center"/>
                </w:tcPr>
                <w:p w14:paraId="31207846">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溶解氧</w:t>
                  </w:r>
                </w:p>
              </w:tc>
              <w:tc>
                <w:tcPr>
                  <w:tcW w:w="1234" w:type="pct"/>
                  <w:vAlign w:val="center"/>
                </w:tcPr>
                <w:p w14:paraId="66D8D843">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≥5</w:t>
                  </w:r>
                </w:p>
              </w:tc>
              <w:tc>
                <w:tcPr>
                  <w:tcW w:w="1557" w:type="pct"/>
                  <w:vAlign w:val="center"/>
                </w:tcPr>
                <w:p w14:paraId="1B1A4028">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mg/L</w:t>
                  </w:r>
                </w:p>
              </w:tc>
            </w:tr>
            <w:tr w14:paraId="05726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2449A655">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3</w:t>
                  </w:r>
                </w:p>
              </w:tc>
              <w:tc>
                <w:tcPr>
                  <w:tcW w:w="1397" w:type="pct"/>
                  <w:vAlign w:val="center"/>
                </w:tcPr>
                <w:p w14:paraId="350EEEFC">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高锰酸盐指数</w:t>
                  </w:r>
                </w:p>
              </w:tc>
              <w:tc>
                <w:tcPr>
                  <w:tcW w:w="1234" w:type="pct"/>
                  <w:vAlign w:val="center"/>
                </w:tcPr>
                <w:p w14:paraId="745E7D9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≤6</w:t>
                  </w:r>
                </w:p>
              </w:tc>
              <w:tc>
                <w:tcPr>
                  <w:tcW w:w="1557" w:type="pct"/>
                  <w:vAlign w:val="center"/>
                </w:tcPr>
                <w:p w14:paraId="4991CC0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mg/L</w:t>
                  </w:r>
                </w:p>
              </w:tc>
            </w:tr>
            <w:tr w14:paraId="1E261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64C54713">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4</w:t>
                  </w:r>
                </w:p>
              </w:tc>
              <w:tc>
                <w:tcPr>
                  <w:tcW w:w="1397" w:type="pct"/>
                  <w:vAlign w:val="center"/>
                </w:tcPr>
                <w:p w14:paraId="32C02D5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COD</w:t>
                  </w:r>
                  <w:r>
                    <w:rPr>
                      <w:rFonts w:hint="eastAsia" w:eastAsia="宋体"/>
                      <w:color w:val="000000" w:themeColor="text1"/>
                      <w:sz w:val="21"/>
                      <w:szCs w:val="21"/>
                      <w:vertAlign w:val="subscript"/>
                      <w14:textFill>
                        <w14:solidFill>
                          <w14:schemeClr w14:val="tx1"/>
                        </w14:solidFill>
                      </w14:textFill>
                    </w:rPr>
                    <w:t>Cr</w:t>
                  </w:r>
                </w:p>
              </w:tc>
              <w:tc>
                <w:tcPr>
                  <w:tcW w:w="1234" w:type="pct"/>
                  <w:vAlign w:val="center"/>
                </w:tcPr>
                <w:p w14:paraId="05CDBC3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≤20</w:t>
                  </w:r>
                </w:p>
              </w:tc>
              <w:tc>
                <w:tcPr>
                  <w:tcW w:w="1557" w:type="pct"/>
                  <w:vAlign w:val="center"/>
                </w:tcPr>
                <w:p w14:paraId="08024541">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mg/L</w:t>
                  </w:r>
                </w:p>
              </w:tc>
            </w:tr>
            <w:tr w14:paraId="7D48F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24FADCF6">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5</w:t>
                  </w:r>
                </w:p>
              </w:tc>
              <w:tc>
                <w:tcPr>
                  <w:tcW w:w="1397" w:type="pct"/>
                  <w:vAlign w:val="center"/>
                </w:tcPr>
                <w:p w14:paraId="358687B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BOD</w:t>
                  </w:r>
                  <w:r>
                    <w:rPr>
                      <w:rFonts w:hint="default" w:eastAsia="宋体"/>
                      <w:color w:val="000000" w:themeColor="text1"/>
                      <w:sz w:val="21"/>
                      <w:szCs w:val="21"/>
                      <w:vertAlign w:val="subscript"/>
                      <w14:textFill>
                        <w14:solidFill>
                          <w14:schemeClr w14:val="tx1"/>
                        </w14:solidFill>
                      </w14:textFill>
                    </w:rPr>
                    <w:t>5</w:t>
                  </w:r>
                </w:p>
              </w:tc>
              <w:tc>
                <w:tcPr>
                  <w:tcW w:w="1234" w:type="pct"/>
                  <w:vAlign w:val="center"/>
                </w:tcPr>
                <w:p w14:paraId="366D6E5E">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≤4</w:t>
                  </w:r>
                </w:p>
              </w:tc>
              <w:tc>
                <w:tcPr>
                  <w:tcW w:w="1557" w:type="pct"/>
                  <w:vAlign w:val="center"/>
                </w:tcPr>
                <w:p w14:paraId="7CFC882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mg/L</w:t>
                  </w:r>
                </w:p>
              </w:tc>
            </w:tr>
            <w:tr w14:paraId="718B8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11012D78">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6</w:t>
                  </w:r>
                </w:p>
              </w:tc>
              <w:tc>
                <w:tcPr>
                  <w:tcW w:w="1397" w:type="pct"/>
                  <w:vAlign w:val="center"/>
                </w:tcPr>
                <w:p w14:paraId="15F2703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氨氮</w:t>
                  </w:r>
                </w:p>
              </w:tc>
              <w:tc>
                <w:tcPr>
                  <w:tcW w:w="1234" w:type="pct"/>
                  <w:vAlign w:val="center"/>
                </w:tcPr>
                <w:p w14:paraId="395CCE7D">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≤1.0</w:t>
                  </w:r>
                </w:p>
              </w:tc>
              <w:tc>
                <w:tcPr>
                  <w:tcW w:w="1557" w:type="pct"/>
                  <w:vAlign w:val="center"/>
                </w:tcPr>
                <w:p w14:paraId="3EA145B4">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mg/L</w:t>
                  </w:r>
                </w:p>
              </w:tc>
            </w:tr>
            <w:tr w14:paraId="13AB0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090A024E">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7</w:t>
                  </w:r>
                </w:p>
              </w:tc>
              <w:tc>
                <w:tcPr>
                  <w:tcW w:w="1397" w:type="pct"/>
                  <w:vAlign w:val="center"/>
                </w:tcPr>
                <w:p w14:paraId="5D9284CB">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总磷</w:t>
                  </w:r>
                </w:p>
              </w:tc>
              <w:tc>
                <w:tcPr>
                  <w:tcW w:w="1234" w:type="pct"/>
                  <w:vAlign w:val="center"/>
                </w:tcPr>
                <w:p w14:paraId="7AE49F6A">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≤0.2</w:t>
                  </w:r>
                </w:p>
              </w:tc>
              <w:tc>
                <w:tcPr>
                  <w:tcW w:w="1557" w:type="pct"/>
                  <w:vAlign w:val="center"/>
                </w:tcPr>
                <w:p w14:paraId="02BAD5ED">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mg/L</w:t>
                  </w:r>
                </w:p>
              </w:tc>
            </w:tr>
            <w:tr w14:paraId="22DC4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737E1A49">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8</w:t>
                  </w:r>
                </w:p>
              </w:tc>
              <w:tc>
                <w:tcPr>
                  <w:tcW w:w="1397" w:type="pct"/>
                  <w:vAlign w:val="center"/>
                </w:tcPr>
                <w:p w14:paraId="74B329C3">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总氮</w:t>
                  </w:r>
                </w:p>
              </w:tc>
              <w:tc>
                <w:tcPr>
                  <w:tcW w:w="1234" w:type="pct"/>
                  <w:vAlign w:val="center"/>
                </w:tcPr>
                <w:p w14:paraId="6E0EDB64">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≤1.0</w:t>
                  </w:r>
                </w:p>
              </w:tc>
              <w:tc>
                <w:tcPr>
                  <w:tcW w:w="1557" w:type="pct"/>
                  <w:vAlign w:val="center"/>
                </w:tcPr>
                <w:p w14:paraId="614F59F0">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mg/L</w:t>
                  </w:r>
                </w:p>
              </w:tc>
            </w:tr>
            <w:tr w14:paraId="136C7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10" w:type="pct"/>
                  <w:vAlign w:val="center"/>
                </w:tcPr>
                <w:p w14:paraId="29777331">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9</w:t>
                  </w:r>
                </w:p>
              </w:tc>
              <w:tc>
                <w:tcPr>
                  <w:tcW w:w="1397" w:type="pct"/>
                  <w:vAlign w:val="center"/>
                </w:tcPr>
                <w:p w14:paraId="56042551">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六价铬</w:t>
                  </w:r>
                </w:p>
              </w:tc>
              <w:tc>
                <w:tcPr>
                  <w:tcW w:w="1234" w:type="pct"/>
                  <w:vAlign w:val="center"/>
                </w:tcPr>
                <w:p w14:paraId="467124E3">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≤0.05</w:t>
                  </w:r>
                </w:p>
              </w:tc>
              <w:tc>
                <w:tcPr>
                  <w:tcW w:w="1557" w:type="pct"/>
                  <w:vAlign w:val="center"/>
                </w:tcPr>
                <w:p w14:paraId="5A2D404B">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mg/L</w:t>
                  </w:r>
                </w:p>
              </w:tc>
            </w:tr>
            <w:tr w14:paraId="5EF86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810" w:type="pct"/>
                  <w:vAlign w:val="center"/>
                </w:tcPr>
                <w:p w14:paraId="21C859D0">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eastAsia" w:eastAsia="宋体"/>
                      <w:color w:val="000000" w:themeColor="text1"/>
                      <w:sz w:val="21"/>
                      <w:szCs w:val="21"/>
                      <w14:textFill>
                        <w14:solidFill>
                          <w14:schemeClr w14:val="tx1"/>
                        </w14:solidFill>
                      </w14:textFill>
                    </w:rPr>
                    <w:t>10</w:t>
                  </w:r>
                </w:p>
              </w:tc>
              <w:tc>
                <w:tcPr>
                  <w:tcW w:w="1397" w:type="pct"/>
                  <w:vAlign w:val="center"/>
                </w:tcPr>
                <w:p w14:paraId="7B2B3BDC">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粪大肠菌群</w:t>
                  </w:r>
                </w:p>
              </w:tc>
              <w:tc>
                <w:tcPr>
                  <w:tcW w:w="1234" w:type="pct"/>
                  <w:vAlign w:val="center"/>
                </w:tcPr>
                <w:p w14:paraId="43CEC95F">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≤10000</w:t>
                  </w:r>
                </w:p>
              </w:tc>
              <w:tc>
                <w:tcPr>
                  <w:tcW w:w="1557" w:type="pct"/>
                  <w:vAlign w:val="center"/>
                </w:tcPr>
                <w:p w14:paraId="6D280F32">
                  <w:pPr>
                    <w:pStyle w:val="8"/>
                    <w:keepNext w:val="0"/>
                    <w:keepLines w:val="0"/>
                    <w:suppressLineNumbers w:val="0"/>
                    <w:spacing w:before="0" w:beforeAutospacing="0" w:after="0" w:afterAutospacing="0" w:line="240" w:lineRule="auto"/>
                    <w:ind w:left="0" w:right="0" w:firstLine="0" w:firstLineChars="0"/>
                    <w:rPr>
                      <w:rFonts w:hint="default" w:eastAsia="宋体"/>
                      <w:color w:val="000000" w:themeColor="text1"/>
                      <w:sz w:val="21"/>
                      <w:szCs w:val="21"/>
                      <w14:textFill>
                        <w14:solidFill>
                          <w14:schemeClr w14:val="tx1"/>
                        </w14:solidFill>
                      </w14:textFill>
                    </w:rPr>
                  </w:pPr>
                  <w:r>
                    <w:rPr>
                      <w:rFonts w:hint="default" w:eastAsia="宋体"/>
                      <w:color w:val="000000" w:themeColor="text1"/>
                      <w:sz w:val="21"/>
                      <w:szCs w:val="21"/>
                      <w14:textFill>
                        <w14:solidFill>
                          <w14:schemeClr w14:val="tx1"/>
                        </w14:solidFill>
                      </w14:textFill>
                    </w:rPr>
                    <w:t>（</w:t>
                  </w:r>
                  <w:r>
                    <w:rPr>
                      <w:rFonts w:hint="eastAsia" w:eastAsia="宋体"/>
                      <w:color w:val="000000" w:themeColor="text1"/>
                      <w:sz w:val="21"/>
                      <w:szCs w:val="21"/>
                      <w14:textFill>
                        <w14:solidFill>
                          <w14:schemeClr w14:val="tx1"/>
                        </w14:solidFill>
                      </w14:textFill>
                    </w:rPr>
                    <w:t>个</w:t>
                  </w:r>
                  <w:r>
                    <w:rPr>
                      <w:rFonts w:hint="default" w:eastAsia="宋体"/>
                      <w:color w:val="000000" w:themeColor="text1"/>
                      <w:sz w:val="21"/>
                      <w:szCs w:val="21"/>
                      <w14:textFill>
                        <w14:solidFill>
                          <w14:schemeClr w14:val="tx1"/>
                        </w14:solidFill>
                      </w14:textFill>
                    </w:rPr>
                    <w:t>/L）</w:t>
                  </w:r>
                </w:p>
              </w:tc>
            </w:tr>
          </w:tbl>
          <w:p w14:paraId="55644636">
            <w:pPr>
              <w:pStyle w:val="74"/>
              <w:keepNext w:val="0"/>
              <w:keepLines w:val="0"/>
              <w:suppressLineNumbers w:val="0"/>
              <w:spacing w:before="0" w:beforeAutospacing="0" w:after="0" w:afterAutospacing="0"/>
              <w:ind w:left="0" w:right="0" w:firstLine="480"/>
              <w:rPr>
                <w:rFonts w:hint="eastAsia" w:eastAsia="宋体"/>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4</w:t>
            </w:r>
            <w:r>
              <w:rPr>
                <w:rFonts w:hint="eastAsia"/>
                <w:b/>
                <w:bCs/>
                <w:color w:val="000000" w:themeColor="text1"/>
                <w:sz w:val="24"/>
                <w14:textFill>
                  <w14:solidFill>
                    <w14:schemeClr w14:val="tx1"/>
                  </w14:solidFill>
                </w14:textFill>
              </w:rPr>
              <w:t>、电磁环境</w:t>
            </w:r>
            <w:r>
              <w:rPr>
                <w:rFonts w:hint="eastAsia"/>
                <w:b/>
                <w:bCs/>
                <w:color w:val="000000" w:themeColor="text1"/>
                <w:sz w:val="24"/>
                <w:lang w:val="en-US" w:eastAsia="zh-CN"/>
                <w14:textFill>
                  <w14:solidFill>
                    <w14:schemeClr w14:val="tx1"/>
                  </w14:solidFill>
                </w14:textFill>
              </w:rPr>
              <w:t>质量标准</w:t>
            </w:r>
          </w:p>
          <w:p w14:paraId="5FDFC219">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输变电工程</w:t>
            </w:r>
            <w:r>
              <w:rPr>
                <w:rFonts w:hint="default"/>
                <w:color w:val="000000" w:themeColor="text1"/>
                <w:sz w:val="24"/>
                <w14:textFill>
                  <w14:solidFill>
                    <w14:schemeClr w14:val="tx1"/>
                  </w14:solidFill>
                </w14:textFill>
              </w:rPr>
              <w:t>运行期</w:t>
            </w:r>
            <w:r>
              <w:rPr>
                <w:rFonts w:hint="eastAsia"/>
                <w:color w:val="000000" w:themeColor="text1"/>
                <w:sz w:val="24"/>
                <w14:textFill>
                  <w14:solidFill>
                    <w14:schemeClr w14:val="tx1"/>
                  </w14:solidFill>
                </w14:textFill>
              </w:rPr>
              <w:t>电磁环境</w:t>
            </w:r>
            <w:r>
              <w:rPr>
                <w:rFonts w:hint="default"/>
                <w:color w:val="000000" w:themeColor="text1"/>
                <w:sz w:val="24"/>
                <w14:textFill>
                  <w14:solidFill>
                    <w14:schemeClr w14:val="tx1"/>
                  </w14:solidFill>
                </w14:textFill>
              </w:rPr>
              <w:t>执行</w:t>
            </w:r>
            <w:r>
              <w:rPr>
                <w:rFonts w:hint="eastAsia"/>
                <w:color w:val="000000" w:themeColor="text1"/>
                <w:sz w:val="24"/>
                <w14:textFill>
                  <w14:solidFill>
                    <w14:schemeClr w14:val="tx1"/>
                  </w14:solidFill>
                </w14:textFill>
              </w:rPr>
              <w:t>《电磁环境控制限值》（GB 8702-2014）中的公众暴露控制限值要求</w:t>
            </w:r>
            <w:r>
              <w:rPr>
                <w:rFonts w:hint="default"/>
                <w:color w:val="000000" w:themeColor="text1"/>
                <w:kern w:val="0"/>
                <w:sz w:val="24"/>
                <w14:textFill>
                  <w14:solidFill>
                    <w14:schemeClr w14:val="tx1"/>
                  </w14:solidFill>
                </w14:textFill>
              </w:rPr>
              <w:t>，见</w:t>
            </w:r>
            <w:r>
              <w:rPr>
                <w:rFonts w:hint="eastAsia"/>
                <w:color w:val="000000" w:themeColor="text1"/>
                <w:kern w:val="0"/>
                <w:sz w:val="24"/>
                <w14:textFill>
                  <w14:solidFill>
                    <w14:schemeClr w14:val="tx1"/>
                  </w14:solidFill>
                </w14:textFill>
              </w:rPr>
              <w:t>下表</w:t>
            </w:r>
            <w:r>
              <w:rPr>
                <w:rFonts w:hint="default"/>
                <w:color w:val="000000" w:themeColor="text1"/>
                <w:kern w:val="0"/>
                <w:sz w:val="24"/>
                <w14:textFill>
                  <w14:solidFill>
                    <w14:schemeClr w14:val="tx1"/>
                  </w14:solidFill>
                </w14:textFill>
              </w:rPr>
              <w:t>。</w:t>
            </w:r>
          </w:p>
          <w:p w14:paraId="7B2BED9C">
            <w:pPr>
              <w:pStyle w:val="71"/>
              <w:keepNext w:val="0"/>
              <w:keepLines w:val="0"/>
              <w:suppressLineNumbers w:val="0"/>
              <w:spacing w:before="0" w:beforeLines="0" w:beforeAutospacing="0" w:after="0" w:afterAutospacing="0"/>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3-</w:t>
            </w:r>
            <w:r>
              <w:rPr>
                <w:rFonts w:hint="eastAsia" w:eastAsia="宋体" w:cs="Times New Roman"/>
                <w:b/>
                <w:bCs/>
                <w:color w:val="000000" w:themeColor="text1"/>
                <w:kern w:val="2"/>
                <w:sz w:val="24"/>
                <w:szCs w:val="24"/>
                <w:lang w:val="en-US" w:eastAsia="zh-CN" w:bidi="ar-SA"/>
                <w14:textFill>
                  <w14:solidFill>
                    <w14:schemeClr w14:val="tx1"/>
                  </w14:solidFill>
                </w14:textFill>
              </w:rPr>
              <w:t>10</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《电磁环境控制限值》（GB 8702-2014）中的公众暴露控制限值</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9"/>
              <w:gridCol w:w="1457"/>
              <w:gridCol w:w="1618"/>
              <w:gridCol w:w="1783"/>
              <w:gridCol w:w="2236"/>
            </w:tblGrid>
            <w:tr w14:paraId="4BAF8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jc w:val="center"/>
              </w:trPr>
              <w:tc>
                <w:tcPr>
                  <w:tcW w:w="1133" w:type="pct"/>
                  <w:vAlign w:val="center"/>
                </w:tcPr>
                <w:p w14:paraId="4E9A577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频率范围</w:t>
                  </w:r>
                </w:p>
              </w:tc>
              <w:tc>
                <w:tcPr>
                  <w:tcW w:w="794" w:type="pct"/>
                  <w:vAlign w:val="center"/>
                </w:tcPr>
                <w:p w14:paraId="0CADDEE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电场强度E（V/m）</w:t>
                  </w:r>
                </w:p>
              </w:tc>
              <w:tc>
                <w:tcPr>
                  <w:tcW w:w="882" w:type="pct"/>
                  <w:vAlign w:val="center"/>
                </w:tcPr>
                <w:p w14:paraId="4DF1D22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磁场强度H（A/m）</w:t>
                  </w:r>
                </w:p>
              </w:tc>
              <w:tc>
                <w:tcPr>
                  <w:tcW w:w="972" w:type="pct"/>
                  <w:vAlign w:val="center"/>
                </w:tcPr>
                <w:p w14:paraId="1E32BEC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磁感应强度B（</w:t>
                  </w:r>
                  <w:r>
                    <w:rPr>
                      <w:rFonts w:hint="default"/>
                      <w:color w:val="000000" w:themeColor="text1"/>
                      <w:szCs w:val="21"/>
                      <w14:textFill>
                        <w14:solidFill>
                          <w14:schemeClr w14:val="tx1"/>
                        </w14:solidFill>
                      </w14:textFill>
                    </w:rPr>
                    <w:t>μT</w:t>
                  </w:r>
                  <w:r>
                    <w:rPr>
                      <w:rFonts w:hint="eastAsia"/>
                      <w:color w:val="000000" w:themeColor="text1"/>
                      <w:szCs w:val="21"/>
                      <w14:textFill>
                        <w14:solidFill>
                          <w14:schemeClr w14:val="tx1"/>
                        </w14:solidFill>
                      </w14:textFill>
                    </w:rPr>
                    <w:t>）</w:t>
                  </w:r>
                </w:p>
              </w:tc>
              <w:tc>
                <w:tcPr>
                  <w:tcW w:w="1216" w:type="pct"/>
                  <w:vAlign w:val="center"/>
                </w:tcPr>
                <w:p w14:paraId="2EB3BC2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等效平面波动率密度Seq（W/m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w:t>
                  </w:r>
                </w:p>
              </w:tc>
            </w:tr>
            <w:tr w14:paraId="47AE5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133" w:type="pct"/>
                  <w:vAlign w:val="center"/>
                </w:tcPr>
                <w:p w14:paraId="5B37B80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0.025kHz~1.2kH</w:t>
                  </w:r>
                </w:p>
              </w:tc>
              <w:tc>
                <w:tcPr>
                  <w:tcW w:w="794" w:type="pct"/>
                  <w:vAlign w:val="center"/>
                </w:tcPr>
                <w:p w14:paraId="4519DBE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200/f</w:t>
                  </w:r>
                </w:p>
              </w:tc>
              <w:tc>
                <w:tcPr>
                  <w:tcW w:w="882" w:type="pct"/>
                  <w:vAlign w:val="center"/>
                </w:tcPr>
                <w:p w14:paraId="5711E4C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4/f</w:t>
                  </w:r>
                </w:p>
              </w:tc>
              <w:tc>
                <w:tcPr>
                  <w:tcW w:w="972" w:type="pct"/>
                  <w:vAlign w:val="center"/>
                </w:tcPr>
                <w:p w14:paraId="4386FD7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5/f</w:t>
                  </w:r>
                </w:p>
              </w:tc>
              <w:tc>
                <w:tcPr>
                  <w:tcW w:w="1216" w:type="pct"/>
                  <w:vAlign w:val="center"/>
                </w:tcPr>
                <w:p w14:paraId="17FF163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7D5CB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000" w:type="pct"/>
                  <w:gridSpan w:val="5"/>
                  <w:vAlign w:val="center"/>
                </w:tcPr>
                <w:p w14:paraId="35996C53">
                  <w:pPr>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注：架空输电线路线下的耕地、园地、牧草地、畜禽饲养地、养殖水面、道路等场所，其频率50Hz的电场强度控制限值为10kV/m，且应给出警示和防护指示标志。</w:t>
                  </w:r>
                </w:p>
              </w:tc>
            </w:tr>
          </w:tbl>
          <w:p w14:paraId="5B312083">
            <w:pPr>
              <w:pStyle w:val="74"/>
              <w:keepNext w:val="0"/>
              <w:keepLines w:val="0"/>
              <w:suppressLineNumbers w:val="0"/>
              <w:spacing w:before="0" w:beforeAutospacing="0" w:after="0" w:afterAutospacing="0"/>
              <w:ind w:left="0" w:right="0" w:firstLine="480"/>
              <w:jc w:val="both"/>
              <w:rPr>
                <w:rFonts w:hint="eastAsia" w:ascii="Times New Roman" w:hAnsi="Times New Roman" w:eastAsia="宋体" w:cs="Times New Roman"/>
                <w:bCs/>
                <w:color w:val="FF0000"/>
                <w:kern w:val="2"/>
                <w:sz w:val="24"/>
                <w:szCs w:val="24"/>
                <w:lang w:val="en-US" w:eastAsia="zh-CN" w:bidi="ar-SA"/>
              </w:rPr>
            </w:pPr>
            <w:r>
              <w:rPr>
                <w:rFonts w:hint="eastAsia" w:ascii="Times New Roman" w:hAnsi="Times New Roman" w:eastAsia="宋体" w:cs="Times New Roman"/>
                <w:bCs/>
                <w:color w:val="FF0000"/>
                <w:kern w:val="2"/>
                <w:sz w:val="24"/>
                <w:szCs w:val="24"/>
                <w:lang w:val="en-US" w:eastAsia="zh-CN" w:bidi="ar-SA"/>
              </w:rPr>
              <w:t>输变电工程的工作频率为0.05kHz。因此，本项目变电站厂界电磁环境评价范围内与电磁敏感目标处的工频电场强度执行4000V/m的公众暴露控制限值的要求，工频磁感应强度执行100</w:t>
            </w:r>
            <w:r>
              <w:rPr>
                <w:rFonts w:hint="default" w:ascii="Times New Roman" w:hAnsi="Times New Roman" w:eastAsia="宋体" w:cs="Times New Roman"/>
                <w:bCs/>
                <w:color w:val="FF0000"/>
                <w:kern w:val="2"/>
                <w:sz w:val="24"/>
                <w:szCs w:val="24"/>
                <w:lang w:val="en-US" w:eastAsia="zh-CN" w:bidi="ar-SA"/>
              </w:rPr>
              <w:t>μ</w:t>
            </w:r>
            <w:r>
              <w:rPr>
                <w:rFonts w:hint="eastAsia" w:ascii="Times New Roman" w:hAnsi="Times New Roman" w:eastAsia="宋体" w:cs="Times New Roman"/>
                <w:bCs/>
                <w:color w:val="FF0000"/>
                <w:kern w:val="2"/>
                <w:sz w:val="24"/>
                <w:szCs w:val="24"/>
                <w:lang w:val="en-US" w:eastAsia="zh-CN" w:bidi="ar-SA"/>
              </w:rPr>
              <w:t>T的公众暴露控制限值的要求；架空输电线路线下的耕地、园地、牧草地、畜禽饲养地、养殖水面、道路等场所，其频率50Hz的电场强度控制限值为10kV/m，且应给出警示和防护指示标志。</w:t>
            </w:r>
          </w:p>
          <w:p w14:paraId="7AFA9B54">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（二）污染排放标准</w:t>
            </w:r>
          </w:p>
          <w:p w14:paraId="566E6CB7">
            <w:pPr>
              <w:pStyle w:val="74"/>
              <w:keepNext w:val="0"/>
              <w:keepLines w:val="0"/>
              <w:suppressLineNumbers w:val="0"/>
              <w:spacing w:before="0" w:beforeAutospacing="0" w:after="0" w:afterAutospacing="0"/>
              <w:ind w:left="0" w:right="0" w:firstLine="480"/>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14:textFill>
                  <w14:solidFill>
                    <w14:schemeClr w14:val="tx1"/>
                  </w14:solidFill>
                </w14:textFill>
              </w:rPr>
              <w:t>、噪声</w:t>
            </w:r>
          </w:p>
          <w:p w14:paraId="24111B80">
            <w:pPr>
              <w:keepNext w:val="0"/>
              <w:keepLines w:val="0"/>
              <w:suppressLineNumbers w:val="0"/>
              <w:spacing w:before="0" w:beforeAutospacing="0" w:after="0" w:afterAutospacing="0" w:line="360" w:lineRule="auto"/>
              <w:ind w:left="0" w:right="0" w:firstLine="480" w:firstLineChars="200"/>
              <w:rPr>
                <w:rFonts w:hint="default"/>
                <w:bCs/>
                <w:color w:val="000000" w:themeColor="text1"/>
                <w:sz w:val="24"/>
                <w14:textFill>
                  <w14:solidFill>
                    <w14:schemeClr w14:val="tx1"/>
                  </w14:solidFill>
                </w14:textFill>
              </w:rPr>
            </w:pPr>
            <w:r>
              <w:rPr>
                <w:rFonts w:hint="default"/>
                <w:bCs/>
                <w:color w:val="000000" w:themeColor="text1"/>
                <w:sz w:val="24"/>
                <w14:textFill>
                  <w14:solidFill>
                    <w14:schemeClr w14:val="tx1"/>
                  </w14:solidFill>
                </w14:textFill>
              </w:rPr>
              <w:t>项目施工期执行《建筑施工场界环境噪声排放标准》（GB</w:t>
            </w:r>
            <w:r>
              <w:rPr>
                <w:rFonts w:hint="eastAsia"/>
                <w:bCs/>
                <w:color w:val="000000" w:themeColor="text1"/>
                <w:sz w:val="24"/>
                <w14:textFill>
                  <w14:solidFill>
                    <w14:schemeClr w14:val="tx1"/>
                  </w14:solidFill>
                </w14:textFill>
              </w:rPr>
              <w:t xml:space="preserve"> </w:t>
            </w:r>
            <w:r>
              <w:rPr>
                <w:rFonts w:hint="default"/>
                <w:bCs/>
                <w:color w:val="000000" w:themeColor="text1"/>
                <w:sz w:val="24"/>
                <w14:textFill>
                  <w14:solidFill>
                    <w14:schemeClr w14:val="tx1"/>
                  </w14:solidFill>
                </w14:textFill>
              </w:rPr>
              <w:t>12523-2011）排放限值</w:t>
            </w:r>
            <w:r>
              <w:rPr>
                <w:rFonts w:hint="default"/>
                <w:color w:val="000000" w:themeColor="text1"/>
                <w:sz w:val="24"/>
                <w14:textFill>
                  <w14:solidFill>
                    <w14:schemeClr w14:val="tx1"/>
                  </w14:solidFill>
                </w14:textFill>
              </w:rPr>
              <w:t>，见</w:t>
            </w:r>
            <w:r>
              <w:rPr>
                <w:rFonts w:hint="eastAsia"/>
                <w:color w:val="000000" w:themeColor="text1"/>
                <w:sz w:val="24"/>
                <w:lang w:val="en-US" w:eastAsia="zh-CN"/>
                <w14:textFill>
                  <w14:solidFill>
                    <w14:schemeClr w14:val="tx1"/>
                  </w14:solidFill>
                </w14:textFill>
              </w:rPr>
              <w:t>下表</w:t>
            </w:r>
            <w:r>
              <w:rPr>
                <w:rFonts w:hint="default"/>
                <w:color w:val="000000" w:themeColor="text1"/>
                <w:sz w:val="24"/>
                <w14:textFill>
                  <w14:solidFill>
                    <w14:schemeClr w14:val="tx1"/>
                  </w14:solidFill>
                </w14:textFill>
              </w:rPr>
              <w:t>。</w:t>
            </w:r>
          </w:p>
          <w:p w14:paraId="05956A2D">
            <w:pPr>
              <w:pStyle w:val="71"/>
              <w:keepNext w:val="0"/>
              <w:keepLines w:val="0"/>
              <w:suppressLineNumbers w:val="0"/>
              <w:spacing w:before="0" w:beforeLines="0" w:beforeAutospacing="0" w:after="0" w:afterAutospacing="0"/>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bookmarkStart w:id="12" w:name="OLE_LINK7"/>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w:t>
            </w:r>
            <w:bookmarkEnd w:id="12"/>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3-</w:t>
            </w:r>
            <w:r>
              <w:rPr>
                <w:rFonts w:hint="eastAsia" w:eastAsia="宋体" w:cs="Times New Roman"/>
                <w:b/>
                <w:bCs/>
                <w:color w:val="000000" w:themeColor="text1"/>
                <w:kern w:val="2"/>
                <w:sz w:val="24"/>
                <w:szCs w:val="24"/>
                <w:lang w:val="en-US" w:eastAsia="zh-CN" w:bidi="ar-SA"/>
                <w14:textFill>
                  <w14:solidFill>
                    <w14:schemeClr w14:val="tx1"/>
                  </w14:solidFill>
                </w14:textFill>
              </w:rPr>
              <w:t>11</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《建筑施工场界环境噪声排放标准》（GB 12523-2011）排放限值</w:t>
            </w:r>
          </w:p>
          <w:tbl>
            <w:tblPr>
              <w:tblStyle w:val="30"/>
              <w:tblW w:w="4999"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370"/>
              <w:gridCol w:w="4805"/>
            </w:tblGrid>
            <w:tr w14:paraId="193E48C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2381" w:type="pct"/>
                  <w:vAlign w:val="center"/>
                </w:tcPr>
                <w:p w14:paraId="2FCC17F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昼间</w:t>
                  </w:r>
                </w:p>
              </w:tc>
              <w:tc>
                <w:tcPr>
                  <w:tcW w:w="2618" w:type="pct"/>
                  <w:vAlign w:val="center"/>
                </w:tcPr>
                <w:p w14:paraId="0190D6A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夜间</w:t>
                  </w:r>
                </w:p>
              </w:tc>
            </w:tr>
            <w:tr w14:paraId="49782C6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4" w:hRule="atLeast"/>
                <w:jc w:val="center"/>
              </w:trPr>
              <w:tc>
                <w:tcPr>
                  <w:tcW w:w="2381" w:type="pct"/>
                  <w:vAlign w:val="center"/>
                </w:tcPr>
                <w:p w14:paraId="2CB9A9C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70dB（A）</w:t>
                  </w:r>
                </w:p>
              </w:tc>
              <w:tc>
                <w:tcPr>
                  <w:tcW w:w="2618" w:type="pct"/>
                  <w:vAlign w:val="center"/>
                </w:tcPr>
                <w:p w14:paraId="191DFE6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55dB（A）</w:t>
                  </w:r>
                </w:p>
              </w:tc>
            </w:tr>
          </w:tbl>
          <w:p w14:paraId="30836695">
            <w:pPr>
              <w:pStyle w:val="74"/>
              <w:keepNext w:val="0"/>
              <w:keepLines w:val="0"/>
              <w:suppressLineNumbers w:val="0"/>
              <w:spacing w:before="0" w:beforeAutospacing="0" w:after="0" w:afterAutospacing="0"/>
              <w:ind w:left="0" w:right="0" w:firstLine="48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color w:val="000000" w:themeColor="text1"/>
                <w:sz w:val="24"/>
                <w14:textFill>
                  <w14:solidFill>
                    <w14:schemeClr w14:val="tx1"/>
                  </w14:solidFill>
                </w14:textFill>
              </w:rPr>
              <w:t>本工程线路位于黑龙江省</w:t>
            </w:r>
            <w:r>
              <w:rPr>
                <w:rFonts w:hint="eastAsia"/>
                <w:color w:val="000000" w:themeColor="text1"/>
                <w:sz w:val="24"/>
                <w:lang w:val="en-US" w:eastAsia="zh-CN"/>
                <w14:textFill>
                  <w14:solidFill>
                    <w14:schemeClr w14:val="tx1"/>
                  </w14:solidFill>
                </w14:textFill>
              </w:rPr>
              <w:t>鸡西市恒山区和鸡西市</w:t>
            </w:r>
            <w:r>
              <w:rPr>
                <w:rFonts w:hint="eastAsia"/>
                <w:color w:val="000000" w:themeColor="text1"/>
                <w:sz w:val="24"/>
                <w14:textFill>
                  <w14:solidFill>
                    <w14:schemeClr w14:val="tx1"/>
                  </w14:solidFill>
                </w14:textFill>
              </w:rPr>
              <w:t>，呈东-西走向，起点鸡东县东南方向的500千伏鸡西变电站，止于鸡西市恒山区以西的220千伏恒山变电站。</w:t>
            </w:r>
            <w:r>
              <w:rPr>
                <w:rFonts w:hint="eastAsia"/>
                <w:color w:val="000000" w:themeColor="text1"/>
                <w:sz w:val="24"/>
                <w:lang w:val="en-US" w:eastAsia="zh-CN"/>
                <w14:textFill>
                  <w14:solidFill>
                    <w14:schemeClr w14:val="tx1"/>
                  </w14:solidFill>
                </w14:textFill>
              </w:rPr>
              <w:t>恒山变电站及变电站环境敏感目标根据《鸡西市恒山产业园区拓展区总体规划（2021—2035年）》属于二级工业用地，故执行</w:t>
            </w:r>
            <w:r>
              <w:rPr>
                <w:rFonts w:hint="default"/>
                <w:color w:val="000000" w:themeColor="text1"/>
                <w:sz w:val="24"/>
                <w14:textFill>
                  <w14:solidFill>
                    <w14:schemeClr w14:val="tx1"/>
                  </w14:solidFill>
                </w14:textFill>
              </w:rPr>
              <w:t>2</w:t>
            </w:r>
            <w:r>
              <w:rPr>
                <w:rFonts w:hint="eastAsia"/>
                <w:color w:val="000000" w:themeColor="text1"/>
                <w:sz w:val="24"/>
                <w14:textFill>
                  <w14:solidFill>
                    <w14:schemeClr w14:val="tx1"/>
                  </w14:solidFill>
                </w14:textFill>
              </w:rPr>
              <w:t>类声环境功能区要求</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变电站声环境敏感目标根据</w:t>
            </w:r>
            <w:r>
              <w:rPr>
                <w:rFonts w:hint="default"/>
                <w:color w:val="000000" w:themeColor="text1"/>
                <w:sz w:val="24"/>
                <w14:textFill>
                  <w14:solidFill>
                    <w14:schemeClr w14:val="tx1"/>
                  </w14:solidFill>
                </w14:textFill>
              </w:rPr>
              <w:t>《声环境质量标准》（GB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3096-2008）</w:t>
            </w:r>
            <w:r>
              <w:rPr>
                <w:rFonts w:hint="eastAsia"/>
                <w:color w:val="000000" w:themeColor="text1"/>
                <w:sz w:val="24"/>
                <w:lang w:val="en-US" w:eastAsia="zh-CN"/>
                <w14:textFill>
                  <w14:solidFill>
                    <w14:schemeClr w14:val="tx1"/>
                  </w14:solidFill>
                </w14:textFill>
              </w:rPr>
              <w:t>要求，汽车修理厂及恒山变电站北侧92m无人居住房屋位于主干道35m范围内，故</w:t>
            </w:r>
            <w:r>
              <w:rPr>
                <w:rFonts w:hint="default"/>
                <w:color w:val="000000" w:themeColor="text1"/>
                <w:sz w:val="24"/>
                <w14:textFill>
                  <w14:solidFill>
                    <w14:schemeClr w14:val="tx1"/>
                  </w14:solidFill>
                </w14:textFill>
              </w:rPr>
              <w:t>执行《声环境质量标准》（GB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3096-2008）</w:t>
            </w:r>
            <w:r>
              <w:rPr>
                <w:rFonts w:hint="eastAsia"/>
                <w:color w:val="000000" w:themeColor="text1"/>
                <w:sz w:val="24"/>
                <w:lang w:val="en-US" w:eastAsia="zh-CN"/>
                <w14:textFill>
                  <w14:solidFill>
                    <w14:schemeClr w14:val="tx1"/>
                  </w14:solidFill>
                </w14:textFill>
              </w:rPr>
              <w:t>4a类</w:t>
            </w:r>
            <w:r>
              <w:rPr>
                <w:rFonts w:hint="default"/>
                <w:color w:val="000000" w:themeColor="text1"/>
                <w:sz w:val="24"/>
                <w14:textFill>
                  <w14:solidFill>
                    <w14:schemeClr w14:val="tx1"/>
                  </w14:solidFill>
                </w14:textFill>
              </w:rPr>
              <w:t>标准</w:t>
            </w:r>
            <w:r>
              <w:rPr>
                <w:rFonts w:hint="eastAsia"/>
                <w:color w:val="000000" w:themeColor="text1"/>
                <w:sz w:val="24"/>
                <w:lang w:val="en-US" w:eastAsia="zh-CN"/>
                <w14:textFill>
                  <w14:solidFill>
                    <w14:schemeClr w14:val="tx1"/>
                  </w14:solidFill>
                </w14:textFill>
              </w:rPr>
              <w:t>。输电线路属于</w:t>
            </w:r>
            <w:r>
              <w:rPr>
                <w:rFonts w:hint="eastAsia"/>
                <w:color w:val="000000" w:themeColor="text1"/>
                <w:sz w:val="24"/>
                <w14:textFill>
                  <w14:solidFill>
                    <w14:schemeClr w14:val="tx1"/>
                  </w14:solidFill>
                </w14:textFill>
              </w:rPr>
              <w:t>村庄原则上执行</w:t>
            </w:r>
            <w:r>
              <w:rPr>
                <w:rFonts w:hint="default"/>
                <w:color w:val="000000" w:themeColor="text1"/>
                <w:sz w:val="24"/>
                <w14:textFill>
                  <w14:solidFill>
                    <w14:schemeClr w14:val="tx1"/>
                  </w14:solidFill>
                </w14:textFill>
              </w:rPr>
              <w:t>1</w:t>
            </w:r>
            <w:r>
              <w:rPr>
                <w:rFonts w:hint="eastAsia"/>
                <w:color w:val="000000" w:themeColor="text1"/>
                <w:sz w:val="24"/>
                <w14:textFill>
                  <w14:solidFill>
                    <w14:schemeClr w14:val="tx1"/>
                  </w14:solidFill>
                </w14:textFill>
              </w:rPr>
              <w:t>类声环境功能区要求，工业活动较多的村庄以及有交通干线经过的村庄（指执行</w:t>
            </w:r>
            <w:r>
              <w:rPr>
                <w:rFonts w:hint="default"/>
                <w:color w:val="000000" w:themeColor="text1"/>
                <w:sz w:val="24"/>
                <w14:textFill>
                  <w14:solidFill>
                    <w14:schemeClr w14:val="tx1"/>
                  </w14:solidFill>
                </w14:textFill>
              </w:rPr>
              <w:t>4</w:t>
            </w:r>
            <w:r>
              <w:rPr>
                <w:rFonts w:hint="eastAsia"/>
                <w:color w:val="000000" w:themeColor="text1"/>
                <w:sz w:val="24"/>
                <w14:textFill>
                  <w14:solidFill>
                    <w14:schemeClr w14:val="tx1"/>
                  </w14:solidFill>
                </w14:textFill>
              </w:rPr>
              <w:t>类声环境功能区要求以外的地区）可局部或全部执行</w:t>
            </w:r>
            <w:r>
              <w:rPr>
                <w:rFonts w:hint="default"/>
                <w:color w:val="000000" w:themeColor="text1"/>
                <w:sz w:val="24"/>
                <w14:textFill>
                  <w14:solidFill>
                    <w14:schemeClr w14:val="tx1"/>
                  </w14:solidFill>
                </w14:textFill>
              </w:rPr>
              <w:t>2</w:t>
            </w:r>
            <w:r>
              <w:rPr>
                <w:rFonts w:hint="eastAsia"/>
                <w:color w:val="000000" w:themeColor="text1"/>
                <w:sz w:val="24"/>
                <w14:textFill>
                  <w14:solidFill>
                    <w14:schemeClr w14:val="tx1"/>
                  </w14:solidFill>
                </w14:textFill>
              </w:rPr>
              <w:t>类声环境功能区要求</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详</w:t>
            </w:r>
            <w:r>
              <w:rPr>
                <w:rFonts w:hint="default"/>
                <w:color w:val="000000" w:themeColor="text1"/>
                <w:sz w:val="24"/>
                <w14:textFill>
                  <w14:solidFill>
                    <w14:schemeClr w14:val="tx1"/>
                  </w14:solidFill>
                </w14:textFill>
              </w:rPr>
              <w:t>见</w:t>
            </w:r>
            <w:r>
              <w:rPr>
                <w:rFonts w:hint="eastAsia"/>
                <w:color w:val="000000" w:themeColor="text1"/>
                <w:kern w:val="0"/>
                <w:sz w:val="24"/>
                <w14:textFill>
                  <w14:solidFill>
                    <w14:schemeClr w14:val="tx1"/>
                  </w14:solidFill>
                </w14:textFill>
              </w:rPr>
              <w:t>下表</w:t>
            </w:r>
            <w:r>
              <w:rPr>
                <w:rFonts w:hint="eastAsia"/>
                <w:color w:val="000000" w:themeColor="text1"/>
                <w:kern w:val="0"/>
                <w:sz w:val="24"/>
                <w:lang w:eastAsia="zh-CN"/>
                <w14:textFill>
                  <w14:solidFill>
                    <w14:schemeClr w14:val="tx1"/>
                  </w14:solidFill>
                </w14:textFill>
              </w:rPr>
              <w:t>。</w:t>
            </w:r>
          </w:p>
          <w:p w14:paraId="446C5F57">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3-</w:t>
            </w:r>
            <w:r>
              <w:rPr>
                <w:rFonts w:hint="eastAsia" w:cs="Times New Roman"/>
                <w:b/>
                <w:bCs/>
                <w:color w:val="000000" w:themeColor="text1"/>
                <w:kern w:val="2"/>
                <w:sz w:val="24"/>
                <w:szCs w:val="24"/>
                <w:lang w:val="en-US" w:eastAsia="zh-CN" w:bidi="ar-SA"/>
                <w14:textFill>
                  <w14:solidFill>
                    <w14:schemeClr w14:val="tx1"/>
                  </w14:solidFill>
                </w14:textFill>
              </w:rPr>
              <w:t>12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《声环境质量标准》（GB 3096-2008）</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733"/>
              <w:gridCol w:w="3218"/>
              <w:gridCol w:w="3220"/>
            </w:tblGrid>
            <w:tr w14:paraId="4870F93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490" w:type="pct"/>
                  <w:vMerge w:val="restart"/>
                  <w:noWrap w:val="0"/>
                  <w:vAlign w:val="center"/>
                </w:tcPr>
                <w:p w14:paraId="326F5C5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声环境功能区类别</w:t>
                  </w:r>
                </w:p>
              </w:tc>
              <w:tc>
                <w:tcPr>
                  <w:tcW w:w="3509" w:type="pct"/>
                  <w:gridSpan w:val="2"/>
                  <w:noWrap w:val="0"/>
                  <w:vAlign w:val="center"/>
                </w:tcPr>
                <w:p w14:paraId="48B7743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时段</w:t>
                  </w:r>
                </w:p>
              </w:tc>
            </w:tr>
            <w:tr w14:paraId="4D5C54B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490" w:type="pct"/>
                  <w:vMerge w:val="continue"/>
                  <w:noWrap w:val="0"/>
                  <w:vAlign w:val="center"/>
                </w:tcPr>
                <w:p w14:paraId="6D3CD3D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754" w:type="pct"/>
                  <w:noWrap w:val="0"/>
                  <w:vAlign w:val="center"/>
                </w:tcPr>
                <w:p w14:paraId="501A930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昼间</w:t>
                  </w:r>
                </w:p>
              </w:tc>
              <w:tc>
                <w:tcPr>
                  <w:tcW w:w="1755" w:type="pct"/>
                  <w:noWrap w:val="0"/>
                  <w:vAlign w:val="center"/>
                </w:tcPr>
                <w:p w14:paraId="0965720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夜间</w:t>
                  </w:r>
                </w:p>
              </w:tc>
            </w:tr>
            <w:tr w14:paraId="68F5941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1490" w:type="pct"/>
                  <w:noWrap w:val="0"/>
                  <w:vAlign w:val="center"/>
                </w:tcPr>
                <w:p w14:paraId="710F1A6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rFonts w:hint="default"/>
                      <w:color w:val="000000" w:themeColor="text1"/>
                      <w:szCs w:val="21"/>
                      <w14:textFill>
                        <w14:solidFill>
                          <w14:schemeClr w14:val="tx1"/>
                        </w14:solidFill>
                      </w14:textFill>
                    </w:rPr>
                    <w:t>类</w:t>
                  </w:r>
                </w:p>
              </w:tc>
              <w:tc>
                <w:tcPr>
                  <w:tcW w:w="1754" w:type="pct"/>
                  <w:noWrap w:val="0"/>
                  <w:vAlign w:val="center"/>
                </w:tcPr>
                <w:p w14:paraId="0F1D359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55</w:t>
                  </w:r>
                  <w:r>
                    <w:rPr>
                      <w:rFonts w:hint="default"/>
                      <w:color w:val="000000" w:themeColor="text1"/>
                      <w:szCs w:val="21"/>
                      <w14:textFill>
                        <w14:solidFill>
                          <w14:schemeClr w14:val="tx1"/>
                        </w14:solidFill>
                      </w14:textFill>
                    </w:rPr>
                    <w:t>dB（A）</w:t>
                  </w:r>
                </w:p>
              </w:tc>
              <w:tc>
                <w:tcPr>
                  <w:tcW w:w="1755" w:type="pct"/>
                  <w:noWrap w:val="0"/>
                  <w:vAlign w:val="center"/>
                </w:tcPr>
                <w:p w14:paraId="01B5D81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45</w:t>
                  </w:r>
                  <w:r>
                    <w:rPr>
                      <w:rFonts w:hint="default"/>
                      <w:color w:val="000000" w:themeColor="text1"/>
                      <w:szCs w:val="21"/>
                      <w14:textFill>
                        <w14:solidFill>
                          <w14:schemeClr w14:val="tx1"/>
                        </w14:solidFill>
                      </w14:textFill>
                    </w:rPr>
                    <w:t>dB（A）</w:t>
                  </w:r>
                </w:p>
              </w:tc>
            </w:tr>
            <w:tr w14:paraId="3A73C19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1490" w:type="pct"/>
                  <w:noWrap w:val="0"/>
                  <w:vAlign w:val="center"/>
                </w:tcPr>
                <w:p w14:paraId="029C1B4C">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2类</w:t>
                  </w:r>
                </w:p>
              </w:tc>
              <w:tc>
                <w:tcPr>
                  <w:tcW w:w="3218" w:type="dxa"/>
                  <w:noWrap w:val="0"/>
                  <w:vAlign w:val="center"/>
                </w:tcPr>
                <w:p w14:paraId="7C7B6F4E">
                  <w:pPr>
                    <w:keepNext w:val="0"/>
                    <w:keepLines w:val="0"/>
                    <w:suppressLineNumbers w:val="0"/>
                    <w:spacing w:before="0" w:beforeAutospacing="0" w:after="0" w:afterAutospacing="0"/>
                    <w:ind w:left="0" w:leftChars="0" w:right="0" w:rightChars="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60</w:t>
                  </w:r>
                  <w:r>
                    <w:rPr>
                      <w:rFonts w:hint="default"/>
                      <w:color w:val="000000" w:themeColor="text1"/>
                      <w:szCs w:val="21"/>
                      <w14:textFill>
                        <w14:solidFill>
                          <w14:schemeClr w14:val="tx1"/>
                        </w14:solidFill>
                      </w14:textFill>
                    </w:rPr>
                    <w:t>dB（A）</w:t>
                  </w:r>
                </w:p>
              </w:tc>
              <w:tc>
                <w:tcPr>
                  <w:tcW w:w="3220" w:type="dxa"/>
                  <w:noWrap w:val="0"/>
                  <w:vAlign w:val="center"/>
                </w:tcPr>
                <w:p w14:paraId="3E7EC30A">
                  <w:pPr>
                    <w:keepNext w:val="0"/>
                    <w:keepLines w:val="0"/>
                    <w:suppressLineNumbers w:val="0"/>
                    <w:spacing w:before="0" w:beforeAutospacing="0" w:after="0" w:afterAutospacing="0"/>
                    <w:ind w:left="0" w:leftChars="0" w:right="0" w:rightChars="0"/>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r>
                    <w:rPr>
                      <w:rFonts w:hint="default"/>
                      <w:color w:val="000000" w:themeColor="text1"/>
                      <w:szCs w:val="21"/>
                      <w14:textFill>
                        <w14:solidFill>
                          <w14:schemeClr w14:val="tx1"/>
                        </w14:solidFill>
                      </w14:textFill>
                    </w:rPr>
                    <w:t>dB（A）</w:t>
                  </w:r>
                </w:p>
              </w:tc>
            </w:tr>
            <w:tr w14:paraId="0CB3340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1490" w:type="pct"/>
                  <w:noWrap w:val="0"/>
                  <w:vAlign w:val="center"/>
                </w:tcPr>
                <w:p w14:paraId="57B8406A">
                  <w:pPr>
                    <w:keepNext w:val="0"/>
                    <w:keepLines w:val="0"/>
                    <w:suppressLineNumbers w:val="0"/>
                    <w:spacing w:before="0" w:beforeAutospacing="0" w:after="0" w:afterAutospacing="0"/>
                    <w:ind w:left="0" w:right="0"/>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4a类</w:t>
                  </w:r>
                </w:p>
              </w:tc>
              <w:tc>
                <w:tcPr>
                  <w:tcW w:w="3218" w:type="dxa"/>
                  <w:noWrap w:val="0"/>
                  <w:vAlign w:val="center"/>
                </w:tcPr>
                <w:p w14:paraId="4742E256">
                  <w:pPr>
                    <w:keepNext w:val="0"/>
                    <w:keepLines w:val="0"/>
                    <w:suppressLineNumbers w:val="0"/>
                    <w:spacing w:before="0" w:beforeAutospacing="0" w:after="0" w:afterAutospacing="0"/>
                    <w:ind w:left="0" w:leftChars="0" w:right="0" w:rightChars="0"/>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70</w:t>
                  </w:r>
                  <w:r>
                    <w:rPr>
                      <w:rFonts w:hint="default"/>
                      <w:color w:val="000000" w:themeColor="text1"/>
                      <w:szCs w:val="21"/>
                      <w14:textFill>
                        <w14:solidFill>
                          <w14:schemeClr w14:val="tx1"/>
                        </w14:solidFill>
                      </w14:textFill>
                    </w:rPr>
                    <w:t>dB（A）</w:t>
                  </w:r>
                </w:p>
              </w:tc>
              <w:tc>
                <w:tcPr>
                  <w:tcW w:w="3220" w:type="dxa"/>
                  <w:noWrap w:val="0"/>
                  <w:vAlign w:val="center"/>
                </w:tcPr>
                <w:p w14:paraId="29BAA31D">
                  <w:pPr>
                    <w:keepNext w:val="0"/>
                    <w:keepLines w:val="0"/>
                    <w:suppressLineNumbers w:val="0"/>
                    <w:spacing w:before="0" w:beforeAutospacing="0" w:after="0" w:afterAutospacing="0"/>
                    <w:ind w:left="0" w:leftChars="0" w:right="0" w:rightChars="0"/>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55</w:t>
                  </w:r>
                  <w:r>
                    <w:rPr>
                      <w:rFonts w:hint="default"/>
                      <w:color w:val="000000" w:themeColor="text1"/>
                      <w:szCs w:val="21"/>
                      <w14:textFill>
                        <w14:solidFill>
                          <w14:schemeClr w14:val="tx1"/>
                        </w14:solidFill>
                      </w14:textFill>
                    </w:rPr>
                    <w:t>dB（A）</w:t>
                  </w:r>
                </w:p>
              </w:tc>
            </w:tr>
          </w:tbl>
          <w:p w14:paraId="5775118A">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color w:val="000000" w:themeColor="text1"/>
                <w:kern w:val="0"/>
                <w:sz w:val="24"/>
                <w14:textFill>
                  <w14:solidFill>
                    <w14:schemeClr w14:val="tx1"/>
                  </w14:solidFill>
                </w14:textFill>
              </w:rPr>
            </w:pPr>
            <w:r>
              <w:rPr>
                <w:rFonts w:hint="default"/>
                <w:color w:val="000000" w:themeColor="text1"/>
                <w:sz w:val="24"/>
                <w14:textFill>
                  <w14:solidFill>
                    <w14:schemeClr w14:val="tx1"/>
                  </w14:solidFill>
                </w14:textFill>
              </w:rPr>
              <w:t>变电站运行期执行《工业企业厂界环境噪声排放标准》（GB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12348-2008）</w:t>
            </w:r>
            <w:r>
              <w:rPr>
                <w:rFonts w:hint="default"/>
                <w:color w:val="000000" w:themeColor="text1"/>
                <w:kern w:val="0"/>
                <w:sz w:val="24"/>
                <w14:textFill>
                  <w14:solidFill>
                    <w14:schemeClr w14:val="tx1"/>
                  </w14:solidFill>
                </w14:textFill>
              </w:rPr>
              <w:t>中的</w:t>
            </w:r>
            <w:r>
              <w:rPr>
                <w:rFonts w:hint="eastAsia"/>
                <w:color w:val="000000" w:themeColor="text1"/>
                <w:kern w:val="0"/>
                <w:sz w:val="24"/>
                <w:lang w:val="en-US" w:eastAsia="zh-CN"/>
                <w14:textFill>
                  <w14:solidFill>
                    <w14:schemeClr w14:val="tx1"/>
                  </w14:solidFill>
                </w14:textFill>
              </w:rPr>
              <w:t>2</w:t>
            </w:r>
            <w:r>
              <w:rPr>
                <w:rFonts w:hint="default"/>
                <w:bCs/>
                <w:color w:val="000000" w:themeColor="text1"/>
                <w:sz w:val="24"/>
                <w14:textFill>
                  <w14:solidFill>
                    <w14:schemeClr w14:val="tx1"/>
                  </w14:solidFill>
                </w14:textFill>
              </w:rPr>
              <w:t>类</w:t>
            </w:r>
            <w:r>
              <w:rPr>
                <w:rFonts w:hint="default"/>
                <w:color w:val="000000" w:themeColor="text1"/>
                <w:kern w:val="0"/>
                <w:sz w:val="24"/>
                <w14:textFill>
                  <w14:solidFill>
                    <w14:schemeClr w14:val="tx1"/>
                  </w14:solidFill>
                </w14:textFill>
              </w:rPr>
              <w:t>标准，见</w:t>
            </w:r>
            <w:r>
              <w:rPr>
                <w:rFonts w:hint="eastAsia"/>
                <w:color w:val="000000" w:themeColor="text1"/>
                <w:kern w:val="0"/>
                <w:sz w:val="24"/>
                <w:lang w:val="en-US" w:eastAsia="zh-CN"/>
                <w14:textFill>
                  <w14:solidFill>
                    <w14:schemeClr w14:val="tx1"/>
                  </w14:solidFill>
                </w14:textFill>
              </w:rPr>
              <w:t>下表</w:t>
            </w:r>
            <w:r>
              <w:rPr>
                <w:rFonts w:hint="default"/>
                <w:color w:val="000000" w:themeColor="text1"/>
                <w:kern w:val="0"/>
                <w:sz w:val="24"/>
                <w14:textFill>
                  <w14:solidFill>
                    <w14:schemeClr w14:val="tx1"/>
                  </w14:solidFill>
                </w14:textFill>
              </w:rPr>
              <w:t>。</w:t>
            </w:r>
          </w:p>
          <w:p w14:paraId="357299F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color w:val="000000" w:themeColor="text1"/>
                <w:sz w:val="24"/>
                <w14:textFill>
                  <w14:solidFill>
                    <w14:schemeClr w14:val="tx1"/>
                  </w14:solidFill>
                </w14:textFill>
              </w:rPr>
            </w:pPr>
            <w:r>
              <w:rPr>
                <w:rFonts w:hint="eastAsia" w:ascii="Times New Roman" w:hAnsi="Times New Roman" w:eastAsia="宋体" w:cs="Times New Roman"/>
                <w:b/>
                <w:bCs/>
                <w:color w:val="000000" w:themeColor="text1"/>
                <w:sz w:val="24"/>
                <w14:textFill>
                  <w14:solidFill>
                    <w14:schemeClr w14:val="tx1"/>
                  </w14:solidFill>
                </w14:textFill>
              </w:rPr>
              <w:t>表</w:t>
            </w:r>
            <w:r>
              <w:rPr>
                <w:rFonts w:hint="eastAsia" w:cs="Times New Roman"/>
                <w:b/>
                <w:bCs/>
                <w:color w:val="000000" w:themeColor="text1"/>
                <w:sz w:val="24"/>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4"/>
                <w14:textFill>
                  <w14:solidFill>
                    <w14:schemeClr w14:val="tx1"/>
                  </w14:solidFill>
                </w14:textFill>
              </w:rPr>
              <w:t>3-</w:t>
            </w:r>
            <w:r>
              <w:rPr>
                <w:rFonts w:hint="eastAsia" w:cs="Times New Roman"/>
                <w:b/>
                <w:bCs/>
                <w:color w:val="000000" w:themeColor="text1"/>
                <w:sz w:val="24"/>
                <w:lang w:val="en-US" w:eastAsia="zh-CN"/>
                <w14:textFill>
                  <w14:solidFill>
                    <w14:schemeClr w14:val="tx1"/>
                  </w14:solidFill>
                </w14:textFill>
              </w:rPr>
              <w:t>13</w:t>
            </w:r>
            <w:r>
              <w:rPr>
                <w:rFonts w:hint="eastAsia" w:ascii="Times New Roman" w:hAnsi="Times New Roman" w:eastAsia="宋体" w:cs="Times New Roman"/>
                <w:b/>
                <w:bCs/>
                <w:color w:val="000000" w:themeColor="text1"/>
                <w:sz w:val="24"/>
                <w14:textFill>
                  <w14:solidFill>
                    <w14:schemeClr w14:val="tx1"/>
                  </w14:solidFill>
                </w14:textFill>
              </w:rPr>
              <w:t xml:space="preserve"> 《工业企业厂界环境噪声排放标准》（GB 12348-2008）</w:t>
            </w:r>
            <w:r>
              <w:rPr>
                <w:rFonts w:hint="eastAsia" w:cs="Times New Roman"/>
                <w:b/>
                <w:bCs/>
                <w:color w:val="000000" w:themeColor="text1"/>
                <w:sz w:val="24"/>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14:textFill>
                  <w14:solidFill>
                    <w14:schemeClr w14:val="tx1"/>
                  </w14:solidFill>
                </w14:textFill>
              </w:rPr>
              <w:t>类标准</w:t>
            </w:r>
          </w:p>
          <w:tbl>
            <w:tblPr>
              <w:tblStyle w:val="30"/>
              <w:tblW w:w="4999"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735"/>
              <w:gridCol w:w="3219"/>
              <w:gridCol w:w="3221"/>
            </w:tblGrid>
            <w:tr w14:paraId="571AE5D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490" w:type="pct"/>
                  <w:vMerge w:val="restart"/>
                  <w:noWrap w:val="0"/>
                  <w:vAlign w:val="center"/>
                </w:tcPr>
                <w:p w14:paraId="08B43007">
                  <w:pPr>
                    <w:pStyle w:val="8"/>
                    <w:keepNext w:val="0"/>
                    <w:keepLines w:val="0"/>
                    <w:suppressLineNumbers w:val="0"/>
                    <w:spacing w:before="0" w:beforeAutospacing="0" w:after="0" w:afterAutospacing="0" w:line="240" w:lineRule="auto"/>
                    <w:ind w:left="0" w:right="0" w:firstLine="0" w:firstLineChars="0"/>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声环境功能区类别</w:t>
                  </w:r>
                </w:p>
              </w:tc>
              <w:tc>
                <w:tcPr>
                  <w:tcW w:w="3509" w:type="pct"/>
                  <w:gridSpan w:val="2"/>
                  <w:noWrap w:val="0"/>
                  <w:vAlign w:val="center"/>
                </w:tcPr>
                <w:p w14:paraId="5BD7C80A">
                  <w:pPr>
                    <w:pStyle w:val="8"/>
                    <w:keepNext w:val="0"/>
                    <w:keepLines w:val="0"/>
                    <w:suppressLineNumbers w:val="0"/>
                    <w:spacing w:before="0" w:beforeAutospacing="0" w:after="0" w:afterAutospacing="0" w:line="240" w:lineRule="auto"/>
                    <w:ind w:left="0" w:right="0" w:firstLine="0" w:firstLineChars="0"/>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时段</w:t>
                  </w:r>
                </w:p>
              </w:tc>
            </w:tr>
            <w:tr w14:paraId="1EDE565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490" w:type="pct"/>
                  <w:vMerge w:val="continue"/>
                  <w:noWrap w:val="0"/>
                  <w:vAlign w:val="center"/>
                </w:tcPr>
                <w:p w14:paraId="4C420D46">
                  <w:pPr>
                    <w:pStyle w:val="8"/>
                    <w:keepNext w:val="0"/>
                    <w:keepLines w:val="0"/>
                    <w:suppressLineNumbers w:val="0"/>
                    <w:spacing w:before="0" w:beforeAutospacing="0" w:after="0" w:afterAutospacing="0" w:line="240" w:lineRule="auto"/>
                    <w:ind w:left="0" w:right="0" w:firstLine="0" w:firstLineChars="0"/>
                    <w:rPr>
                      <w:rFonts w:hint="eastAsia" w:ascii="Times New Roman" w:hAnsi="Times New Roman" w:eastAsia="宋体" w:cs="Times New Roman"/>
                      <w:color w:val="000000" w:themeColor="text1"/>
                      <w:sz w:val="21"/>
                      <w:szCs w:val="21"/>
                      <w14:textFill>
                        <w14:solidFill>
                          <w14:schemeClr w14:val="tx1"/>
                        </w14:solidFill>
                      </w14:textFill>
                    </w:rPr>
                  </w:pPr>
                </w:p>
              </w:tc>
              <w:tc>
                <w:tcPr>
                  <w:tcW w:w="1754" w:type="pct"/>
                  <w:noWrap w:val="0"/>
                  <w:vAlign w:val="center"/>
                </w:tcPr>
                <w:p w14:paraId="79C6D831">
                  <w:pPr>
                    <w:pStyle w:val="8"/>
                    <w:keepNext w:val="0"/>
                    <w:keepLines w:val="0"/>
                    <w:suppressLineNumbers w:val="0"/>
                    <w:spacing w:before="0" w:beforeAutospacing="0" w:after="0" w:afterAutospacing="0" w:line="240" w:lineRule="auto"/>
                    <w:ind w:left="0" w:right="0" w:firstLine="0" w:firstLineChars="0"/>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昼间</w:t>
                  </w:r>
                </w:p>
              </w:tc>
              <w:tc>
                <w:tcPr>
                  <w:tcW w:w="1755" w:type="pct"/>
                  <w:noWrap w:val="0"/>
                  <w:vAlign w:val="center"/>
                </w:tcPr>
                <w:p w14:paraId="6959B7A3">
                  <w:pPr>
                    <w:pStyle w:val="8"/>
                    <w:keepNext w:val="0"/>
                    <w:keepLines w:val="0"/>
                    <w:suppressLineNumbers w:val="0"/>
                    <w:spacing w:before="0" w:beforeAutospacing="0" w:after="0" w:afterAutospacing="0" w:line="240" w:lineRule="auto"/>
                    <w:ind w:left="0" w:right="0" w:firstLine="0" w:firstLineChars="0"/>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夜间</w:t>
                  </w:r>
                </w:p>
              </w:tc>
            </w:tr>
            <w:tr w14:paraId="73D2A57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490" w:type="pct"/>
                  <w:noWrap w:val="0"/>
                  <w:vAlign w:val="center"/>
                </w:tcPr>
                <w:p w14:paraId="0525896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w:t>
                  </w:r>
                  <w:r>
                    <w:rPr>
                      <w:rFonts w:hint="eastAsia"/>
                      <w:color w:val="000000" w:themeColor="text1"/>
                      <w:szCs w:val="21"/>
                      <w14:textFill>
                        <w14:solidFill>
                          <w14:schemeClr w14:val="tx1"/>
                        </w14:solidFill>
                      </w14:textFill>
                    </w:rPr>
                    <w:t>类</w:t>
                  </w:r>
                </w:p>
              </w:tc>
              <w:tc>
                <w:tcPr>
                  <w:tcW w:w="1754" w:type="pct"/>
                  <w:noWrap w:val="0"/>
                  <w:vAlign w:val="center"/>
                </w:tcPr>
                <w:p w14:paraId="0844E1AF">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60</w:t>
                  </w:r>
                  <w:r>
                    <w:rPr>
                      <w:rFonts w:hint="default"/>
                      <w:color w:val="000000" w:themeColor="text1"/>
                      <w:szCs w:val="21"/>
                      <w14:textFill>
                        <w14:solidFill>
                          <w14:schemeClr w14:val="tx1"/>
                        </w14:solidFill>
                      </w14:textFill>
                    </w:rPr>
                    <w:t>dB（A）</w:t>
                  </w:r>
                </w:p>
              </w:tc>
              <w:tc>
                <w:tcPr>
                  <w:tcW w:w="1755" w:type="pct"/>
                  <w:noWrap w:val="0"/>
                  <w:vAlign w:val="center"/>
                </w:tcPr>
                <w:p w14:paraId="062010FC">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r>
                    <w:rPr>
                      <w:rFonts w:hint="eastAsia"/>
                      <w:color w:val="000000" w:themeColor="text1"/>
                      <w:szCs w:val="21"/>
                      <w14:textFill>
                        <w14:solidFill>
                          <w14:schemeClr w14:val="tx1"/>
                        </w14:solidFill>
                      </w14:textFill>
                    </w:rPr>
                    <w:t>dB（A）</w:t>
                  </w:r>
                </w:p>
              </w:tc>
            </w:tr>
          </w:tbl>
          <w:p w14:paraId="4DD52F1D">
            <w:pPr>
              <w:pStyle w:val="74"/>
              <w:keepNext w:val="0"/>
              <w:keepLines w:val="0"/>
              <w:suppressLineNumbers w:val="0"/>
              <w:spacing w:before="0" w:beforeAutospacing="0" w:after="0" w:afterAutospacing="0"/>
              <w:ind w:left="0" w:right="0" w:firstLine="480"/>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14:textFill>
                  <w14:solidFill>
                    <w14:schemeClr w14:val="tx1"/>
                  </w14:solidFill>
                </w14:textFill>
              </w:rPr>
              <w:t>、固体废物</w:t>
            </w:r>
          </w:p>
          <w:p w14:paraId="1DAA4006">
            <w:pPr>
              <w:pStyle w:val="74"/>
              <w:keepNext w:val="0"/>
              <w:keepLines w:val="0"/>
              <w:suppressLineNumbers w:val="0"/>
              <w:spacing w:before="0" w:beforeAutospacing="0" w:after="0" w:afterAutospacing="0"/>
              <w:ind w:left="0" w:right="0" w:firstLine="480"/>
              <w:rPr>
                <w:rFonts w:hint="default" w:eastAsia="宋体"/>
                <w:color w:val="000000" w:themeColor="text1"/>
                <w:sz w:val="24"/>
                <w:lang w:val="en-US" w:eastAsia="zh-CN"/>
                <w14:textFill>
                  <w14:solidFill>
                    <w14:schemeClr w14:val="tx1"/>
                  </w14:solidFill>
                </w14:textFill>
              </w:rPr>
            </w:pPr>
            <w:r>
              <w:rPr>
                <w:rFonts w:hint="default"/>
                <w:color w:val="000000" w:themeColor="text1"/>
                <w:sz w:val="24"/>
                <w14:textFill>
                  <w14:solidFill>
                    <w14:schemeClr w14:val="tx1"/>
                  </w14:solidFill>
                </w14:textFill>
              </w:rPr>
              <w:t>危险废物存放设施设计、标识、运行管理、安全防护及监测工作按国家环保总局《危险废物污染防治技术政策》（环发</w:t>
            </w:r>
            <w:r>
              <w:rPr>
                <w:rFonts w:hint="default"/>
                <w:color w:val="000000" w:themeColor="text1"/>
                <w:kern w:val="0"/>
                <w:sz w:val="24"/>
                <w14:textFill>
                  <w14:solidFill>
                    <w14:schemeClr w14:val="tx1"/>
                  </w14:solidFill>
                </w14:textFill>
              </w:rPr>
              <w:t>〔20</w:t>
            </w:r>
            <w:r>
              <w:rPr>
                <w:rFonts w:hint="eastAsia"/>
                <w:color w:val="000000" w:themeColor="text1"/>
                <w:kern w:val="0"/>
                <w:sz w:val="24"/>
                <w:lang w:val="en-US" w:eastAsia="zh-CN"/>
                <w14:textFill>
                  <w14:solidFill>
                    <w14:schemeClr w14:val="tx1"/>
                  </w14:solidFill>
                </w14:textFill>
              </w:rPr>
              <w:t>0</w:t>
            </w:r>
            <w:r>
              <w:rPr>
                <w:rFonts w:hint="default"/>
                <w:color w:val="000000" w:themeColor="text1"/>
                <w:kern w:val="0"/>
                <w:sz w:val="24"/>
                <w14:textFill>
                  <w14:solidFill>
                    <w14:schemeClr w14:val="tx1"/>
                  </w14:solidFill>
                </w14:textFill>
              </w:rPr>
              <w:t>1〕</w:t>
            </w:r>
            <w:r>
              <w:rPr>
                <w:rFonts w:hint="default"/>
                <w:color w:val="000000" w:themeColor="text1"/>
                <w:sz w:val="24"/>
                <w14:textFill>
                  <w14:solidFill>
                    <w14:schemeClr w14:val="tx1"/>
                  </w14:solidFill>
                </w14:textFill>
              </w:rPr>
              <w:t>199号）、《危险废物贮存污染控制标准》（GB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18597-</w:t>
            </w:r>
            <w:r>
              <w:rPr>
                <w:rFonts w:hint="eastAsia"/>
                <w:color w:val="000000" w:themeColor="text1"/>
                <w:sz w:val="24"/>
                <w:lang w:val="en-US" w:eastAsia="zh-CN"/>
                <w14:textFill>
                  <w14:solidFill>
                    <w14:schemeClr w14:val="tx1"/>
                  </w14:solidFill>
                </w14:textFill>
              </w:rPr>
              <w:t>2023）</w:t>
            </w:r>
            <w:r>
              <w:rPr>
                <w:rFonts w:hint="default"/>
                <w:color w:val="000000" w:themeColor="text1"/>
                <w:sz w:val="24"/>
                <w14:textFill>
                  <w14:solidFill>
                    <w14:schemeClr w14:val="tx1"/>
                  </w14:solidFill>
                </w14:textFill>
              </w:rPr>
              <w:t>、《危险废物收集、贮存、运输技术规范》（HJ</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2025-2012）（2013</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3</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1实施）相关规定。</w:t>
            </w:r>
            <w:r>
              <w:rPr>
                <w:rFonts w:hint="eastAsia"/>
                <w:color w:val="000000" w:themeColor="text1"/>
                <w:sz w:val="24"/>
                <w:lang w:val="en-US" w:eastAsia="zh-CN"/>
                <w14:textFill>
                  <w14:solidFill>
                    <w14:schemeClr w14:val="tx1"/>
                  </w14:solidFill>
                </w14:textFill>
              </w:rPr>
              <w:t>本项目</w:t>
            </w:r>
            <w:r>
              <w:rPr>
                <w:rFonts w:hint="eastAsia"/>
                <w:color w:val="000000" w:themeColor="text1"/>
                <w:sz w:val="24"/>
                <w14:textFill>
                  <w14:solidFill>
                    <w14:schemeClr w14:val="tx1"/>
                  </w14:solidFill>
                </w14:textFill>
              </w:rPr>
              <w:t>线路工程无固体废物产生</w:t>
            </w:r>
            <w:r>
              <w:rPr>
                <w:rFonts w:hint="default"/>
                <w:color w:val="000000" w:themeColor="text1"/>
                <w:sz w:val="24"/>
                <w14:textFill>
                  <w14:solidFill>
                    <w14:schemeClr w14:val="tx1"/>
                  </w14:solidFill>
                </w14:textFill>
              </w:rPr>
              <w:t>。</w:t>
            </w:r>
          </w:p>
          <w:p w14:paraId="637B0283">
            <w:pPr>
              <w:pStyle w:val="74"/>
              <w:keepNext w:val="0"/>
              <w:keepLines w:val="0"/>
              <w:suppressLineNumbers w:val="0"/>
              <w:spacing w:before="0" w:beforeAutospacing="0" w:after="0" w:afterAutospacing="0"/>
              <w:ind w:left="0" w:right="0" w:firstLine="480"/>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lang w:val="en-US" w:eastAsia="zh-CN"/>
                <w14:textFill>
                  <w14:solidFill>
                    <w14:schemeClr w14:val="tx1"/>
                  </w14:solidFill>
                </w14:textFill>
              </w:rPr>
              <w:t>3、废气</w:t>
            </w:r>
          </w:p>
          <w:p w14:paraId="1AABCEC5">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施工期无组织废气执行《大气污染物综合排放标准》（GB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16297-1996）表2无组织排放标准限值，见</w:t>
            </w:r>
            <w:r>
              <w:rPr>
                <w:rFonts w:hint="eastAsia"/>
                <w:color w:val="000000" w:themeColor="text1"/>
                <w:sz w:val="24"/>
                <w:lang w:val="en-US" w:eastAsia="zh-CN"/>
                <w14:textFill>
                  <w14:solidFill>
                    <w14:schemeClr w14:val="tx1"/>
                  </w14:solidFill>
                </w14:textFill>
              </w:rPr>
              <w:t>下表</w:t>
            </w:r>
            <w:r>
              <w:rPr>
                <w:rFonts w:hint="default"/>
                <w:color w:val="000000" w:themeColor="text1"/>
                <w:sz w:val="24"/>
                <w14:textFill>
                  <w14:solidFill>
                    <w14:schemeClr w14:val="tx1"/>
                  </w14:solidFill>
                </w14:textFill>
              </w:rPr>
              <w:t>。</w:t>
            </w:r>
          </w:p>
          <w:p w14:paraId="0211F440">
            <w:pPr>
              <w:pStyle w:val="71"/>
              <w:keepNext w:val="0"/>
              <w:keepLines w:val="0"/>
              <w:suppressLineNumbers w:val="0"/>
              <w:spacing w:before="0" w:beforeLines="0" w:beforeAutospacing="0" w:after="0" w:afterAutospacing="0"/>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w:t>
            </w:r>
            <w:r>
              <w:rPr>
                <w:rFonts w:hint="eastAsia"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3-</w:t>
            </w:r>
            <w:r>
              <w:rPr>
                <w:rFonts w:hint="eastAsia" w:eastAsia="宋体" w:cs="Times New Roman"/>
                <w:b/>
                <w:bCs/>
                <w:color w:val="000000" w:themeColor="text1"/>
                <w:kern w:val="2"/>
                <w:sz w:val="24"/>
                <w:szCs w:val="24"/>
                <w:lang w:val="en-US" w:eastAsia="zh-CN" w:bidi="ar-SA"/>
                <w14:textFill>
                  <w14:solidFill>
                    <w14:schemeClr w14:val="tx1"/>
                  </w14:solidFill>
                </w14:textFill>
              </w:rPr>
              <w:t xml:space="preserve">14 </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《大气污染物综合排放标准》（GB 16297-1996）</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67"/>
              <w:gridCol w:w="2435"/>
              <w:gridCol w:w="3041"/>
              <w:gridCol w:w="2730"/>
            </w:tblGrid>
            <w:tr w14:paraId="4664A36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27" w:type="pct"/>
                  <w:vMerge w:val="restart"/>
                  <w:vAlign w:val="center"/>
                </w:tcPr>
                <w:p w14:paraId="31A9C76F">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序号</w:t>
                  </w:r>
                </w:p>
              </w:tc>
              <w:tc>
                <w:tcPr>
                  <w:tcW w:w="1327" w:type="pct"/>
                  <w:vMerge w:val="restart"/>
                  <w:vAlign w:val="center"/>
                </w:tcPr>
                <w:p w14:paraId="0AC59FAE">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污染物</w:t>
                  </w:r>
                </w:p>
              </w:tc>
              <w:tc>
                <w:tcPr>
                  <w:tcW w:w="3145" w:type="pct"/>
                  <w:gridSpan w:val="2"/>
                  <w:vAlign w:val="center"/>
                </w:tcPr>
                <w:p w14:paraId="67240E1A">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无组织排放监控浓度限值</w:t>
                  </w:r>
                </w:p>
              </w:tc>
            </w:tr>
            <w:tr w14:paraId="6622EEF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527" w:type="pct"/>
                  <w:vMerge w:val="continue"/>
                  <w:vAlign w:val="center"/>
                </w:tcPr>
                <w:p w14:paraId="53B8C4CB">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p>
              </w:tc>
              <w:tc>
                <w:tcPr>
                  <w:tcW w:w="1327" w:type="pct"/>
                  <w:vMerge w:val="continue"/>
                  <w:vAlign w:val="center"/>
                </w:tcPr>
                <w:p w14:paraId="1EAAA5E6">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p>
              </w:tc>
              <w:tc>
                <w:tcPr>
                  <w:tcW w:w="1657" w:type="pct"/>
                  <w:vAlign w:val="center"/>
                </w:tcPr>
                <w:p w14:paraId="6DC89712">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监控点</w:t>
                  </w:r>
                </w:p>
              </w:tc>
              <w:tc>
                <w:tcPr>
                  <w:tcW w:w="1488" w:type="pct"/>
                  <w:vAlign w:val="center"/>
                </w:tcPr>
                <w:p w14:paraId="44429EF4">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浓度（mg/m</w:t>
                  </w:r>
                  <w:r>
                    <w:rPr>
                      <w:rFonts w:hint="default" w:ascii="Times New Roman" w:hAnsi="Times New Roman"/>
                      <w:color w:val="000000" w:themeColor="text1"/>
                      <w:sz w:val="21"/>
                      <w:szCs w:val="21"/>
                      <w:vertAlign w:val="superscript"/>
                      <w14:textFill>
                        <w14:solidFill>
                          <w14:schemeClr w14:val="tx1"/>
                        </w14:solidFill>
                      </w14:textFill>
                    </w:rPr>
                    <w:t>3</w:t>
                  </w:r>
                  <w:r>
                    <w:rPr>
                      <w:rFonts w:hint="default" w:ascii="Times New Roman" w:hAnsi="Times New Roman"/>
                      <w:color w:val="000000" w:themeColor="text1"/>
                      <w:sz w:val="21"/>
                      <w:szCs w:val="21"/>
                      <w14:textFill>
                        <w14:solidFill>
                          <w14:schemeClr w14:val="tx1"/>
                        </w14:solidFill>
                      </w14:textFill>
                    </w:rPr>
                    <w:t>）</w:t>
                  </w:r>
                </w:p>
              </w:tc>
            </w:tr>
            <w:tr w14:paraId="23C0C8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527" w:type="pct"/>
                  <w:vAlign w:val="center"/>
                </w:tcPr>
                <w:p w14:paraId="66F7C3DB">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1</w:t>
                  </w:r>
                </w:p>
              </w:tc>
              <w:tc>
                <w:tcPr>
                  <w:tcW w:w="1327" w:type="pct"/>
                  <w:vAlign w:val="center"/>
                </w:tcPr>
                <w:p w14:paraId="41C1A788">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颗粒物（其他）</w:t>
                  </w:r>
                </w:p>
              </w:tc>
              <w:tc>
                <w:tcPr>
                  <w:tcW w:w="1657" w:type="pct"/>
                  <w:vAlign w:val="center"/>
                </w:tcPr>
                <w:p w14:paraId="2B4BA75F">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周界外浓度最高点</w:t>
                  </w:r>
                </w:p>
              </w:tc>
              <w:tc>
                <w:tcPr>
                  <w:tcW w:w="1488" w:type="pct"/>
                  <w:vAlign w:val="center"/>
                </w:tcPr>
                <w:p w14:paraId="77CE3487">
                  <w:pPr>
                    <w:pStyle w:val="16"/>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olor w:val="000000" w:themeColor="text1"/>
                      <w:sz w:val="21"/>
                      <w:szCs w:val="21"/>
                      <w14:textFill>
                        <w14:solidFill>
                          <w14:schemeClr w14:val="tx1"/>
                        </w14:solidFill>
                      </w14:textFill>
                    </w:rPr>
                  </w:pPr>
                  <w:r>
                    <w:rPr>
                      <w:rFonts w:hint="default" w:ascii="Times New Roman" w:hAnsi="Times New Roman"/>
                      <w:color w:val="000000" w:themeColor="text1"/>
                      <w:sz w:val="21"/>
                      <w:szCs w:val="21"/>
                      <w14:textFill>
                        <w14:solidFill>
                          <w14:schemeClr w14:val="tx1"/>
                        </w14:solidFill>
                      </w14:textFill>
                    </w:rPr>
                    <w:t>1.0</w:t>
                  </w:r>
                </w:p>
              </w:tc>
            </w:tr>
          </w:tbl>
          <w:p w14:paraId="2A4DD3C8">
            <w:pPr>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kern w:val="0"/>
                <w:sz w:val="24"/>
                <w14:textFill>
                  <w14:solidFill>
                    <w14:schemeClr w14:val="tx1"/>
                  </w14:solidFill>
                </w14:textFill>
              </w:rPr>
            </w:pPr>
          </w:p>
        </w:tc>
      </w:tr>
      <w:tr w14:paraId="36A5AC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6" w:hRule="atLeast"/>
          <w:jc w:val="center"/>
        </w:trPr>
        <w:tc>
          <w:tcPr>
            <w:tcW w:w="456" w:type="dxa"/>
            <w:vAlign w:val="center"/>
          </w:tcPr>
          <w:p w14:paraId="36304B58">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其他</w:t>
            </w:r>
          </w:p>
        </w:tc>
        <w:tc>
          <w:tcPr>
            <w:tcW w:w="9403" w:type="dxa"/>
            <w:vAlign w:val="center"/>
          </w:tcPr>
          <w:p w14:paraId="32B9F918">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无</w:t>
            </w:r>
          </w:p>
        </w:tc>
      </w:tr>
    </w:tbl>
    <w:p w14:paraId="4457B40E">
      <w:pPr>
        <w:pStyle w:val="25"/>
        <w:adjustRightInd w:val="0"/>
        <w:snapToGrid w:val="0"/>
        <w:spacing w:before="0" w:beforeAutospacing="0" w:after="0" w:afterAutospacing="0" w:line="14" w:lineRule="auto"/>
        <w:jc w:val="center"/>
        <w:rPr>
          <w:rFonts w:ascii="黑体" w:hAnsi="黑体" w:eastAsia="黑体"/>
          <w:snapToGrid w:val="0"/>
          <w:kern w:val="2"/>
        </w:rPr>
      </w:pPr>
    </w:p>
    <w:p w14:paraId="0C794528">
      <w:pPr>
        <w:pStyle w:val="25"/>
        <w:jc w:val="center"/>
        <w:outlineLvl w:val="0"/>
        <w:rPr>
          <w:rFonts w:ascii="黑体" w:hAnsi="黑体" w:eastAsia="黑体"/>
          <w:snapToGrid w:val="0"/>
        </w:rPr>
      </w:pPr>
      <w:r>
        <w:rPr>
          <w:rFonts w:ascii="黑体" w:hAnsi="黑体" w:eastAsia="黑体"/>
          <w:snapToGrid w:val="0"/>
          <w:kern w:val="2"/>
        </w:rPr>
        <w:br w:type="page"/>
      </w:r>
      <w:bookmarkStart w:id="13" w:name="_Toc7184"/>
      <w:bookmarkStart w:id="14" w:name="_Toc15343"/>
      <w:bookmarkStart w:id="15" w:name="_Toc9677"/>
      <w:r>
        <w:rPr>
          <w:rFonts w:hint="eastAsia" w:ascii="黑体" w:hAnsi="黑体" w:eastAsia="黑体"/>
          <w:snapToGrid w:val="0"/>
          <w:sz w:val="30"/>
          <w:szCs w:val="30"/>
        </w:rPr>
        <w:t>四、生态环境影响分析</w:t>
      </w:r>
      <w:bookmarkEnd w:id="13"/>
      <w:bookmarkEnd w:id="14"/>
      <w:bookmarkEnd w:id="15"/>
    </w:p>
    <w:tbl>
      <w:tblPr>
        <w:tblStyle w:val="30"/>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8554"/>
      </w:tblGrid>
      <w:tr w14:paraId="7AE946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085" w:type="dxa"/>
            <w:tcMar>
              <w:left w:w="28" w:type="dxa"/>
              <w:right w:w="28" w:type="dxa"/>
            </w:tcMar>
            <w:vAlign w:val="center"/>
          </w:tcPr>
          <w:p w14:paraId="3AEAF799">
            <w:pPr>
              <w:pStyle w:val="25"/>
              <w:keepNext w:val="0"/>
              <w:keepLines w:val="0"/>
              <w:suppressLineNumbers w:val="0"/>
              <w:adjustRightInd w:val="0"/>
              <w:snapToGrid w:val="0"/>
              <w:spacing w:before="0" w:beforeAutospacing="0" w:after="0" w:afterAutospacing="0"/>
              <w:ind w:left="0" w:right="0"/>
              <w:jc w:val="center"/>
              <w:rPr>
                <w:rFonts w:hint="default" w:cs="宋体"/>
                <w:bCs/>
                <w:color w:val="000000" w:themeColor="text1"/>
                <w:kern w:val="2"/>
                <w14:textFill>
                  <w14:solidFill>
                    <w14:schemeClr w14:val="tx1"/>
                  </w14:solidFill>
                </w14:textFill>
              </w:rPr>
            </w:pPr>
            <w:bookmarkStart w:id="16" w:name="_Hlk49796138"/>
            <w:r>
              <w:rPr>
                <w:rFonts w:hint="eastAsia" w:cs="宋体"/>
                <w:bCs/>
                <w:color w:val="000000" w:themeColor="text1"/>
                <w:spacing w:val="10"/>
                <w:kern w:val="2"/>
                <w14:textFill>
                  <w14:solidFill>
                    <w14:schemeClr w14:val="tx1"/>
                  </w14:solidFill>
                </w14:textFill>
              </w:rPr>
              <w:t>施工期生态环境影响分析</w:t>
            </w:r>
            <w:bookmarkEnd w:id="16"/>
          </w:p>
        </w:tc>
        <w:tc>
          <w:tcPr>
            <w:tcW w:w="8554" w:type="dxa"/>
          </w:tcPr>
          <w:p w14:paraId="0569C07B">
            <w:pPr>
              <w:pStyle w:val="74"/>
              <w:keepNext w:val="0"/>
              <w:keepLines w:val="0"/>
              <w:suppressLineNumbers w:val="0"/>
              <w:spacing w:before="0" w:beforeAutospacing="0" w:after="0" w:afterAutospacing="0"/>
              <w:ind w:left="0" w:right="0" w:firstLine="480"/>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输变电工程建设期土建施工、设备安装等过程中若不采取有效的防治措施可能产生施工扬尘、施工噪声、施工废污水以及固体废物等环境影响；运行期承担电能的输送，其产生的环境影响因子主要为工频电场、工频磁场强度以及电磁性噪声。</w:t>
            </w:r>
          </w:p>
          <w:p w14:paraId="0F37D4E0">
            <w:pPr>
              <w:pStyle w:val="74"/>
              <w:keepNext w:val="0"/>
              <w:keepLines w:val="0"/>
              <w:suppressLineNumbers w:val="0"/>
              <w:spacing w:before="0" w:beforeAutospacing="0" w:after="0" w:afterAutospacing="0"/>
              <w:ind w:left="0" w:right="0" w:firstLine="480"/>
              <w:rPr>
                <w:rFonts w:hint="default"/>
                <w:color w:val="000000" w:themeColor="text1"/>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本工程施工期的产污环节参</w:t>
            </w:r>
            <w:r>
              <w:rPr>
                <w:rFonts w:hint="eastAsia" w:ascii="Times New Roman" w:hAnsi="Times New Roman" w:eastAsia="宋体" w:cs="Times New Roman"/>
                <w:color w:val="000000" w:themeColor="text1"/>
                <w:sz w:val="24"/>
                <w:lang w:val="en-US" w:eastAsia="zh-CN"/>
                <w14:textFill>
                  <w14:solidFill>
                    <w14:schemeClr w14:val="tx1"/>
                  </w14:solidFill>
                </w14:textFill>
              </w:rPr>
              <w:t>考</w:t>
            </w:r>
            <w:r>
              <w:rPr>
                <w:rFonts w:hint="default" w:ascii="Times New Roman" w:hAnsi="Times New Roman" w:eastAsia="宋体" w:cs="Times New Roman"/>
                <w:color w:val="000000" w:themeColor="text1"/>
                <w:sz w:val="24"/>
                <w:lang w:val="en-US" w:eastAsia="zh-CN"/>
                <w14:textFill>
                  <w14:solidFill>
                    <w14:schemeClr w14:val="tx1"/>
                  </w14:solidFill>
                </w14:textFill>
              </w:rPr>
              <w:t>图</w:t>
            </w:r>
            <w:r>
              <w:rPr>
                <w:rFonts w:hint="eastAsia" w:ascii="Times New Roman" w:hAnsi="Times New Roman" w:eastAsia="宋体" w:cs="Times New Roman"/>
                <w:color w:val="000000" w:themeColor="text1"/>
                <w:sz w:val="24"/>
                <w:lang w:val="en-US" w:eastAsia="zh-CN"/>
                <w14:textFill>
                  <w14:solidFill>
                    <w14:schemeClr w14:val="tx1"/>
                  </w14:solidFill>
                </w14:textFill>
              </w:rPr>
              <w:t>4-1</w:t>
            </w:r>
            <w:r>
              <w:rPr>
                <w:rFonts w:hint="default" w:ascii="Times New Roman" w:hAnsi="Times New Roman" w:eastAsia="宋体" w:cs="Times New Roman"/>
                <w:color w:val="000000" w:themeColor="text1"/>
                <w:sz w:val="24"/>
                <w:lang w:val="en-US" w:eastAsia="zh-CN"/>
                <w14:textFill>
                  <w14:solidFill>
                    <w14:schemeClr w14:val="tx1"/>
                  </w14:solidFill>
                </w14:textFill>
              </w:rPr>
              <w:t>。</w:t>
            </w:r>
          </w:p>
          <w:p w14:paraId="022F629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000000" w:themeColor="text1"/>
                <w14:textFill>
                  <w14:solidFill>
                    <w14:schemeClr w14:val="tx1"/>
                  </w14:solidFill>
                </w14:textFill>
              </w:rPr>
            </w:pPr>
            <w:r>
              <w:rPr>
                <w:rFonts w:hint="eastAsia" w:ascii="Times New Roman" w:hAnsi="Times New Roman" w:cs="宋体"/>
                <w:b/>
                <w:bCs w:val="0"/>
                <w:i w:val="0"/>
                <w:color w:val="000000" w:themeColor="text1"/>
                <w:sz w:val="21"/>
                <w:szCs w:val="21"/>
                <w:lang w:val="en-US" w:eastAsia="zh-CN"/>
                <w14:textFill>
                  <w14:solidFill>
                    <w14:schemeClr w14:val="tx1"/>
                  </w14:solidFill>
                </w14:textFill>
              </w:rPr>
              <w:drawing>
                <wp:inline distT="0" distB="0" distL="114300" distR="114300">
                  <wp:extent cx="4166870" cy="1235075"/>
                  <wp:effectExtent l="0" t="0" r="5080" b="3175"/>
                  <wp:docPr id="1" name="图片 1" descr="35a41c5f2d09e1da73bd8d68dfef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5a41c5f2d09e1da73bd8d68dfef087"/>
                          <pic:cNvPicPr>
                            <a:picLocks noChangeAspect="1"/>
                          </pic:cNvPicPr>
                        </pic:nvPicPr>
                        <pic:blipFill>
                          <a:blip r:embed="rId27"/>
                          <a:stretch>
                            <a:fillRect/>
                          </a:stretch>
                        </pic:blipFill>
                        <pic:spPr>
                          <a:xfrm>
                            <a:off x="0" y="0"/>
                            <a:ext cx="4166870" cy="1235075"/>
                          </a:xfrm>
                          <a:prstGeom prst="rect">
                            <a:avLst/>
                          </a:prstGeom>
                          <a:noFill/>
                          <a:ln>
                            <a:noFill/>
                          </a:ln>
                        </pic:spPr>
                      </pic:pic>
                    </a:graphicData>
                  </a:graphic>
                </wp:inline>
              </w:drawing>
            </w:r>
          </w:p>
          <w:p w14:paraId="57C7F48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 4-1 输电线路施工期产污节点图</w:t>
            </w:r>
          </w:p>
          <w:p w14:paraId="6E338A61">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（一）</w:t>
            </w:r>
            <w:r>
              <w:rPr>
                <w:rFonts w:hint="default"/>
                <w:b/>
                <w:bCs/>
                <w:color w:val="000000" w:themeColor="text1"/>
                <w:sz w:val="24"/>
                <w14:textFill>
                  <w14:solidFill>
                    <w14:schemeClr w14:val="tx1"/>
                  </w14:solidFill>
                </w14:textFill>
              </w:rPr>
              <w:t>生态</w:t>
            </w:r>
            <w:r>
              <w:rPr>
                <w:rFonts w:hint="eastAsia"/>
                <w:b/>
                <w:bCs/>
                <w:color w:val="000000" w:themeColor="text1"/>
                <w:sz w:val="24"/>
                <w14:textFill>
                  <w14:solidFill>
                    <w14:schemeClr w14:val="tx1"/>
                  </w14:solidFill>
                </w14:textFill>
              </w:rPr>
              <w:t>环境</w:t>
            </w:r>
            <w:r>
              <w:rPr>
                <w:rFonts w:hint="default"/>
                <w:b/>
                <w:bCs/>
                <w:color w:val="000000" w:themeColor="text1"/>
                <w:sz w:val="24"/>
                <w14:textFill>
                  <w14:solidFill>
                    <w14:schemeClr w14:val="tx1"/>
                  </w14:solidFill>
                </w14:textFill>
              </w:rPr>
              <w:t>影响</w:t>
            </w:r>
            <w:r>
              <w:rPr>
                <w:rFonts w:hint="eastAsia"/>
                <w:b/>
                <w:bCs/>
                <w:color w:val="000000" w:themeColor="text1"/>
                <w:sz w:val="24"/>
                <w14:textFill>
                  <w14:solidFill>
                    <w14:schemeClr w14:val="tx1"/>
                  </w14:solidFill>
                </w14:textFill>
              </w:rPr>
              <w:t>分析</w:t>
            </w:r>
          </w:p>
          <w:p w14:paraId="5324826A">
            <w:pPr>
              <w:pStyle w:val="74"/>
              <w:keepNext w:val="0"/>
              <w:keepLines w:val="0"/>
              <w:suppressLineNumbers w:val="0"/>
              <w:spacing w:before="0" w:beforeAutospacing="0" w:after="0" w:afterAutospacing="0"/>
              <w:ind w:left="0" w:right="0" w:firstLine="482"/>
              <w:rPr>
                <w:rFonts w:hint="default"/>
                <w:bCs/>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1、</w:t>
            </w:r>
            <w:r>
              <w:rPr>
                <w:rFonts w:hint="eastAsia"/>
                <w:b/>
                <w:color w:val="000000" w:themeColor="text1"/>
                <w:sz w:val="24"/>
                <w14:textFill>
                  <w14:solidFill>
                    <w14:schemeClr w14:val="tx1"/>
                  </w14:solidFill>
                </w14:textFill>
              </w:rPr>
              <w:t>污染源分析</w:t>
            </w:r>
          </w:p>
          <w:p w14:paraId="4D0EEFA8">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default"/>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1</w:t>
            </w:r>
            <w:r>
              <w:rPr>
                <w:rFonts w:hint="default"/>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变电站</w:t>
            </w:r>
            <w:r>
              <w:rPr>
                <w:rFonts w:hint="default"/>
                <w:bCs/>
                <w:color w:val="000000" w:themeColor="text1"/>
                <w:sz w:val="24"/>
                <w14:textFill>
                  <w14:solidFill>
                    <w14:schemeClr w14:val="tx1"/>
                  </w14:solidFill>
                </w14:textFill>
              </w:rPr>
              <w:t>工程</w:t>
            </w:r>
          </w:p>
          <w:p w14:paraId="2FDFFADF">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本项目恒山变对应扩建2个220kV出线间隔，突破西北侧围墙，新征占地5625.70m</w:t>
            </w:r>
            <w:r>
              <w:rPr>
                <w:rFonts w:hint="eastAsia"/>
                <w:color w:val="000000" w:themeColor="text1"/>
                <w:sz w:val="24"/>
                <w:vertAlign w:val="superscript"/>
                <w:lang w:val="en-US" w:eastAsia="zh-CN"/>
                <w14:textFill>
                  <w14:solidFill>
                    <w14:schemeClr w14:val="tx1"/>
                  </w14:solidFill>
                </w14:textFill>
              </w:rPr>
              <w:t>2</w:t>
            </w:r>
            <w:r>
              <w:rPr>
                <w:rFonts w:hint="eastAsia"/>
                <w:bCs/>
                <w:color w:val="000000" w:themeColor="text1"/>
                <w:sz w:val="24"/>
                <w14:textFill>
                  <w14:solidFill>
                    <w14:schemeClr w14:val="tx1"/>
                  </w14:solidFill>
                </w14:textFill>
              </w:rPr>
              <w:t>。施工期间对于基础开挖、土方临时堆放等应采取相应的防护和管理措施：</w:t>
            </w:r>
          </w:p>
          <w:p w14:paraId="612D4E4E">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①</w:t>
            </w:r>
            <w:r>
              <w:rPr>
                <w:rFonts w:hint="eastAsia"/>
                <w:bCs/>
                <w:color w:val="000000" w:themeColor="text1"/>
                <w:sz w:val="24"/>
                <w14:textFill>
                  <w14:solidFill>
                    <w14:schemeClr w14:val="tx1"/>
                  </w14:solidFill>
                </w14:textFill>
              </w:rPr>
              <w:t>工程施工根据图纸合理安排施工顺序，尽量分片开挖、铺设、及时回填，减少施工对土地的扰动，减少弃渣的临时堆放。</w:t>
            </w:r>
          </w:p>
          <w:p w14:paraId="5AB1913E">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②</w:t>
            </w:r>
            <w:r>
              <w:rPr>
                <w:rFonts w:hint="eastAsia"/>
                <w:bCs/>
                <w:color w:val="000000" w:themeColor="text1"/>
                <w:sz w:val="24"/>
                <w14:textFill>
                  <w14:solidFill>
                    <w14:schemeClr w14:val="tx1"/>
                  </w14:solidFill>
                </w14:textFill>
              </w:rPr>
              <w:t>施工单位动土工程尽量安排避开雨天，工程建设过程中的开挖土方在回填之前，作好临时防护措施，集中堆放，并注意堆放坡度，作好施工区内的排水工作。</w:t>
            </w:r>
          </w:p>
          <w:p w14:paraId="6208DB7C">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③</w:t>
            </w:r>
            <w:r>
              <w:rPr>
                <w:rFonts w:hint="eastAsia"/>
                <w:bCs/>
                <w:color w:val="000000" w:themeColor="text1"/>
                <w:sz w:val="24"/>
                <w14:textFill>
                  <w14:solidFill>
                    <w14:schemeClr w14:val="tx1"/>
                  </w14:solidFill>
                </w14:textFill>
              </w:rPr>
              <w:t>工程砂土料要集中堆放，同时在其表面加盖塑料薄膜或在其周边用装土麻袋进行防护。</w:t>
            </w:r>
          </w:p>
          <w:p w14:paraId="6DEE6FBD">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④</w:t>
            </w:r>
            <w:r>
              <w:rPr>
                <w:rFonts w:hint="eastAsia"/>
                <w:bCs/>
                <w:color w:val="000000" w:themeColor="text1"/>
                <w:sz w:val="24"/>
                <w14:textFill>
                  <w14:solidFill>
                    <w14:schemeClr w14:val="tx1"/>
                  </w14:solidFill>
                </w14:textFill>
              </w:rPr>
              <w:t>设置围栏，限制施工场地边界。</w:t>
            </w:r>
          </w:p>
          <w:p w14:paraId="2DDAFD88">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default"/>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2</w:t>
            </w:r>
            <w:r>
              <w:rPr>
                <w:rFonts w:hint="default"/>
                <w:bCs/>
                <w:color w:val="000000" w:themeColor="text1"/>
                <w:sz w:val="24"/>
                <w14:textFill>
                  <w14:solidFill>
                    <w14:schemeClr w14:val="tx1"/>
                  </w14:solidFill>
                </w14:textFill>
              </w:rPr>
              <w:t>）线路工程</w:t>
            </w:r>
          </w:p>
          <w:p w14:paraId="78191685">
            <w:pPr>
              <w:pStyle w:val="74"/>
              <w:keepNext w:val="0"/>
              <w:keepLines w:val="0"/>
              <w:suppressLineNumbers w:val="0"/>
              <w:spacing w:before="0" w:beforeAutospacing="0" w:after="0" w:afterAutospacing="0"/>
              <w:ind w:left="0" w:right="0" w:firstLine="480"/>
              <w:rPr>
                <w:rFonts w:hint="default"/>
                <w:color w:val="auto"/>
                <w:sz w:val="24"/>
              </w:rPr>
            </w:pPr>
            <w:r>
              <w:rPr>
                <w:rFonts w:hint="default"/>
                <w:bCs/>
                <w:color w:val="auto"/>
                <w:sz w:val="24"/>
              </w:rPr>
              <w:t>输电线路塔基施工将扰动原地貌、占压土地，并有土石方开挖，这些活动将对工程区域产生生态影响，土方开挖形成临时堆土，若不采取行之有效的措施，一遇雨天</w:t>
            </w:r>
            <w:r>
              <w:rPr>
                <w:rFonts w:hint="eastAsia"/>
                <w:bCs/>
                <w:color w:val="auto"/>
                <w:sz w:val="24"/>
              </w:rPr>
              <w:t>松散地堆积</w:t>
            </w:r>
            <w:r>
              <w:rPr>
                <w:rFonts w:hint="default"/>
                <w:bCs/>
                <w:color w:val="auto"/>
                <w:sz w:val="24"/>
              </w:rPr>
              <w:t>积土极易形成水土流失，易产生扬尘污染</w:t>
            </w:r>
            <w:r>
              <w:rPr>
                <w:rFonts w:hint="eastAsia"/>
                <w:bCs/>
                <w:color w:val="auto"/>
                <w:sz w:val="24"/>
              </w:rPr>
              <w:t>，会</w:t>
            </w:r>
            <w:r>
              <w:rPr>
                <w:rFonts w:hint="default"/>
                <w:color w:val="auto"/>
                <w:sz w:val="24"/>
              </w:rPr>
              <w:t>对沿线的生态环境造成一定影响。</w:t>
            </w:r>
          </w:p>
          <w:p w14:paraId="50D6B513">
            <w:pPr>
              <w:pStyle w:val="74"/>
              <w:keepNext w:val="0"/>
              <w:keepLines w:val="0"/>
              <w:suppressLineNumbers w:val="0"/>
              <w:spacing w:before="0" w:beforeAutospacing="0" w:after="0" w:afterAutospacing="0"/>
              <w:ind w:left="0" w:right="0" w:firstLine="480"/>
              <w:rPr>
                <w:rFonts w:hint="default"/>
                <w:bCs/>
                <w:color w:val="000000" w:themeColor="text1"/>
                <w:sz w:val="24"/>
                <w:lang w:val="en-US" w:eastAsia="zh-CN"/>
                <w14:textFill>
                  <w14:solidFill>
                    <w14:schemeClr w14:val="tx1"/>
                  </w14:solidFill>
                </w14:textFill>
              </w:rPr>
            </w:pPr>
            <w:r>
              <w:rPr>
                <w:rFonts w:hint="default"/>
                <w:color w:val="auto"/>
                <w:sz w:val="24"/>
                <w:highlight w:val="none"/>
              </w:rPr>
              <w:t>本项目输电线路施工建设会产生永久占地和临时占地，涉及塔基基础开挖以及施工人员踩踏，上述行为会对工程区域原有地表植被产生破坏并造成水土流失。线路施工时施工道路尽量采用已有道路，少开辟新的道路。塔基未占用基本农田，塔基定位合理。线路施工期间对塔基处所剥离的表层土进行了统一堆放保留，塔基基础浇筑完成后，将剥离的表</w:t>
            </w:r>
            <w:r>
              <w:rPr>
                <w:rFonts w:hint="eastAsia"/>
                <w:color w:val="auto"/>
                <w:sz w:val="24"/>
                <w:highlight w:val="none"/>
                <w:lang w:val="en-US" w:eastAsia="zh-CN"/>
              </w:rPr>
              <w:t>土</w:t>
            </w:r>
            <w:r>
              <w:rPr>
                <w:rFonts w:hint="default"/>
                <w:color w:val="auto"/>
                <w:sz w:val="24"/>
                <w:highlight w:val="none"/>
              </w:rPr>
              <w:t>回用于塔基处植被恢复。施工结束后及时加强对临时占地及周边生态环境恢复。</w:t>
            </w:r>
          </w:p>
          <w:p w14:paraId="243D85BE">
            <w:pPr>
              <w:pStyle w:val="74"/>
              <w:keepNext w:val="0"/>
              <w:keepLines w:val="0"/>
              <w:suppressLineNumbers w:val="0"/>
              <w:spacing w:before="0" w:beforeAutospacing="0" w:after="0" w:afterAutospacing="0"/>
              <w:ind w:left="0" w:right="0" w:firstLine="482"/>
              <w:rPr>
                <w:rFonts w:hint="default"/>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2、</w:t>
            </w:r>
            <w:r>
              <w:rPr>
                <w:rFonts w:hint="eastAsia"/>
                <w:b/>
                <w:color w:val="000000" w:themeColor="text1"/>
                <w:sz w:val="24"/>
                <w14:textFill>
                  <w14:solidFill>
                    <w14:schemeClr w14:val="tx1"/>
                  </w14:solidFill>
                </w14:textFill>
              </w:rPr>
              <w:t>影响分析</w:t>
            </w:r>
          </w:p>
          <w:p w14:paraId="261E36D5">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default"/>
                <w:bCs/>
                <w:color w:val="000000" w:themeColor="text1"/>
                <w:sz w:val="24"/>
                <w14:textFill>
                  <w14:solidFill>
                    <w14:schemeClr w14:val="tx1"/>
                  </w14:solidFill>
                </w14:textFill>
              </w:rPr>
              <w:t>本期工程的主要工程内容为</w:t>
            </w:r>
            <w:r>
              <w:rPr>
                <w:rFonts w:hint="eastAsia"/>
                <w:color w:val="000000" w:themeColor="text1"/>
                <w:sz w:val="24"/>
                <w:lang w:val="en-US" w:eastAsia="zh-CN"/>
                <w14:textFill>
                  <w14:solidFill>
                    <w14:schemeClr w14:val="tx1"/>
                  </w14:solidFill>
                </w14:textFill>
              </w:rPr>
              <w:t>恒山</w:t>
            </w:r>
            <w:r>
              <w:rPr>
                <w:rFonts w:hint="eastAsia"/>
                <w:color w:val="000000" w:themeColor="text1"/>
                <w:sz w:val="24"/>
                <w:lang w:eastAsia="zh-CN"/>
                <w14:textFill>
                  <w14:solidFill>
                    <w14:schemeClr w14:val="tx1"/>
                  </w14:solidFill>
                </w14:textFill>
              </w:rPr>
              <w:t>变电站</w:t>
            </w:r>
            <w:r>
              <w:rPr>
                <w:rFonts w:hint="eastAsia"/>
                <w:color w:val="000000" w:themeColor="text1"/>
                <w:sz w:val="24"/>
                <w:lang w:val="en-US" w:eastAsia="zh-CN"/>
                <w14:textFill>
                  <w14:solidFill>
                    <w14:schemeClr w14:val="tx1"/>
                  </w14:solidFill>
                </w14:textFill>
              </w:rPr>
              <w:t>间隔扩建工程</w:t>
            </w:r>
            <w:r>
              <w:rPr>
                <w:rFonts w:hint="eastAsia"/>
                <w:bCs/>
                <w:color w:val="000000" w:themeColor="text1"/>
                <w:sz w:val="24"/>
                <w:lang w:val="en-US" w:eastAsia="zh-CN"/>
                <w14:textFill>
                  <w14:solidFill>
                    <w14:schemeClr w14:val="tx1"/>
                  </w14:solidFill>
                </w14:textFill>
              </w:rPr>
              <w:t>、</w:t>
            </w:r>
            <w:r>
              <w:rPr>
                <w:rFonts w:hint="default"/>
                <w:bCs/>
                <w:color w:val="000000" w:themeColor="text1"/>
                <w:sz w:val="24"/>
                <w14:textFill>
                  <w14:solidFill>
                    <w14:schemeClr w14:val="tx1"/>
                  </w14:solidFill>
                </w14:textFill>
              </w:rPr>
              <w:t>新建输电线路</w:t>
            </w:r>
            <w:r>
              <w:rPr>
                <w:rFonts w:hint="eastAsia"/>
                <w:bCs/>
                <w:color w:val="000000" w:themeColor="text1"/>
                <w:sz w:val="24"/>
                <w:lang w:val="en-US" w:eastAsia="zh-CN"/>
                <w14:textFill>
                  <w14:solidFill>
                    <w14:schemeClr w14:val="tx1"/>
                  </w14:solidFill>
                </w14:textFill>
              </w:rPr>
              <w:t>及改造线路</w:t>
            </w:r>
            <w:r>
              <w:rPr>
                <w:rFonts w:hint="default"/>
                <w:bCs/>
                <w:color w:val="000000" w:themeColor="text1"/>
                <w:sz w:val="24"/>
                <w14:textFill>
                  <w14:solidFill>
                    <w14:schemeClr w14:val="tx1"/>
                  </w14:solidFill>
                </w14:textFill>
              </w:rPr>
              <w:t>。</w:t>
            </w:r>
            <w:r>
              <w:rPr>
                <w:rFonts w:hint="eastAsia"/>
                <w:bCs/>
                <w:color w:val="auto"/>
                <w:sz w:val="24"/>
                <w:lang w:val="en-US" w:eastAsia="zh-CN"/>
              </w:rPr>
              <w:t>本工程</w:t>
            </w:r>
            <w:r>
              <w:rPr>
                <w:rFonts w:hint="default"/>
                <w:bCs/>
                <w:color w:val="auto"/>
                <w:sz w:val="24"/>
              </w:rPr>
              <w:t>建设会产生永久占地和临时占地，涉及土石方开挖，以及施工人员踩踏，对原有生态环境将造成一定的影响，项目的建设基础开挖对周围植被的破坏</w:t>
            </w:r>
            <w:r>
              <w:rPr>
                <w:rFonts w:hint="eastAsia"/>
                <w:bCs/>
                <w:color w:val="auto"/>
                <w:sz w:val="24"/>
                <w:lang w:eastAsia="zh-CN"/>
              </w:rPr>
              <w:t>，以及</w:t>
            </w:r>
            <w:r>
              <w:rPr>
                <w:rFonts w:hint="default"/>
                <w:bCs/>
                <w:color w:val="auto"/>
                <w:sz w:val="24"/>
              </w:rPr>
              <w:t>水土流失</w:t>
            </w:r>
            <w:r>
              <w:rPr>
                <w:rFonts w:hint="eastAsia"/>
                <w:bCs/>
                <w:color w:val="auto"/>
                <w:sz w:val="24"/>
                <w:lang w:eastAsia="zh-CN"/>
              </w:rPr>
              <w:t>。</w:t>
            </w:r>
            <w:r>
              <w:rPr>
                <w:rFonts w:hint="default"/>
                <w:bCs/>
                <w:color w:val="auto"/>
                <w:sz w:val="24"/>
                <w:lang w:val="en-US" w:eastAsia="zh-CN"/>
              </w:rPr>
              <w:t>本项目对生态</w:t>
            </w:r>
            <w:r>
              <w:rPr>
                <w:rFonts w:hint="eastAsia"/>
                <w:bCs/>
                <w:color w:val="auto"/>
                <w:sz w:val="24"/>
                <w:lang w:val="en-US" w:eastAsia="zh-CN"/>
              </w:rPr>
              <w:t>环境</w:t>
            </w:r>
            <w:r>
              <w:rPr>
                <w:rFonts w:hint="default"/>
                <w:bCs/>
                <w:color w:val="auto"/>
                <w:sz w:val="24"/>
                <w:lang w:val="en-US" w:eastAsia="zh-CN"/>
              </w:rPr>
              <w:t>的影响主要体现在工程施工期，主要有以下影响</w:t>
            </w:r>
            <w:r>
              <w:rPr>
                <w:rFonts w:hint="eastAsia"/>
                <w:bCs/>
                <w:color w:val="auto"/>
                <w:sz w:val="24"/>
                <w:lang w:eastAsia="zh-CN"/>
              </w:rPr>
              <w:t>：</w:t>
            </w:r>
          </w:p>
          <w:p w14:paraId="2FFE7B66">
            <w:pPr>
              <w:pStyle w:val="74"/>
              <w:keepNext w:val="0"/>
              <w:keepLines w:val="0"/>
              <w:suppressLineNumbers w:val="0"/>
              <w:spacing w:before="0" w:beforeAutospacing="0" w:after="0" w:afterAutospacing="0"/>
              <w:ind w:left="0" w:right="0" w:firstLine="480"/>
              <w:rPr>
                <w:rFonts w:hint="default"/>
                <w:bCs/>
                <w:color w:val="FF0000"/>
                <w:sz w:val="24"/>
              </w:rPr>
            </w:pPr>
            <w:r>
              <w:rPr>
                <w:rFonts w:hint="eastAsia"/>
                <w:bCs/>
                <w:color w:val="FF0000"/>
                <w:sz w:val="24"/>
              </w:rPr>
              <w:t>（1）</w:t>
            </w:r>
            <w:r>
              <w:rPr>
                <w:rFonts w:hint="default"/>
                <w:bCs/>
                <w:color w:val="FF0000"/>
                <w:sz w:val="24"/>
              </w:rPr>
              <w:t>土地占用的影响</w:t>
            </w:r>
          </w:p>
          <w:p w14:paraId="2A8943D1">
            <w:pPr>
              <w:pStyle w:val="74"/>
              <w:keepNext w:val="0"/>
              <w:keepLines w:val="0"/>
              <w:suppressLineNumbers w:val="0"/>
              <w:spacing w:before="0" w:beforeAutospacing="0" w:after="0" w:afterAutospacing="0"/>
              <w:ind w:left="0" w:right="0" w:firstLine="480"/>
              <w:rPr>
                <w:rFonts w:hint="default"/>
                <w:bCs/>
                <w:color w:val="FF0000"/>
                <w:sz w:val="24"/>
              </w:rPr>
            </w:pPr>
            <w:r>
              <w:rPr>
                <w:rFonts w:hint="default" w:ascii="Times New Roman" w:hAnsi="Times New Roman" w:eastAsia="宋体" w:cs="Times New Roman"/>
                <w:color w:val="FF0000"/>
                <w:kern w:val="0"/>
                <w:sz w:val="24"/>
                <w:highlight w:val="none"/>
                <w:lang w:bidi="ar"/>
              </w:rPr>
              <w:t>本工程总</w:t>
            </w:r>
            <w:r>
              <w:rPr>
                <w:rFonts w:hint="default" w:ascii="Times New Roman" w:hAnsi="Times New Roman" w:eastAsia="宋体" w:cs="Times New Roman"/>
                <w:color w:val="FF0000"/>
                <w:sz w:val="24"/>
                <w:szCs w:val="32"/>
                <w:lang w:val="en-US" w:eastAsia="zh-CN"/>
              </w:rPr>
              <w:t>占地面积</w:t>
            </w:r>
            <w:r>
              <w:rPr>
                <w:rFonts w:hint="eastAsia" w:cs="Times New Roman"/>
                <w:color w:val="FF0000"/>
                <w:sz w:val="24"/>
                <w:szCs w:val="32"/>
                <w:lang w:val="en-US" w:eastAsia="zh-CN"/>
              </w:rPr>
              <w:t>85.86</w:t>
            </w:r>
            <w:r>
              <w:rPr>
                <w:rFonts w:hint="default" w:ascii="Times New Roman" w:hAnsi="Times New Roman" w:eastAsia="宋体" w:cs="Times New Roman"/>
                <w:color w:val="FF0000"/>
                <w:sz w:val="24"/>
                <w:szCs w:val="32"/>
                <w:lang w:val="en-US" w:eastAsia="zh-CN"/>
              </w:rPr>
              <w:t>hm</w:t>
            </w:r>
            <w:r>
              <w:rPr>
                <w:rFonts w:hint="default" w:ascii="Times New Roman" w:hAnsi="Times New Roman" w:eastAsia="宋体" w:cs="Times New Roman"/>
                <w:color w:val="FF0000"/>
                <w:sz w:val="24"/>
                <w:szCs w:val="32"/>
                <w:vertAlign w:val="superscript"/>
                <w:lang w:val="en-US" w:eastAsia="zh-CN"/>
              </w:rPr>
              <w:t>2</w:t>
            </w:r>
            <w:r>
              <w:rPr>
                <w:rFonts w:hint="default" w:ascii="Times New Roman" w:hAnsi="Times New Roman" w:eastAsia="宋体" w:cs="Times New Roman"/>
                <w:color w:val="FF0000"/>
                <w:sz w:val="24"/>
                <w:szCs w:val="32"/>
                <w:lang w:val="en-US" w:eastAsia="zh-CN"/>
              </w:rPr>
              <w:t>，其中永久占地</w:t>
            </w:r>
            <w:r>
              <w:rPr>
                <w:rFonts w:hint="eastAsia" w:cs="Times New Roman"/>
                <w:color w:val="FF0000"/>
                <w:sz w:val="24"/>
                <w:szCs w:val="32"/>
                <w:lang w:val="en-US" w:eastAsia="zh-CN"/>
              </w:rPr>
              <w:t>5.32</w:t>
            </w:r>
            <w:r>
              <w:rPr>
                <w:rFonts w:hint="default" w:ascii="Times New Roman" w:hAnsi="Times New Roman" w:eastAsia="宋体" w:cs="Times New Roman"/>
                <w:color w:val="FF0000"/>
                <w:sz w:val="24"/>
                <w:szCs w:val="32"/>
                <w:lang w:val="en-US" w:eastAsia="zh-CN"/>
              </w:rPr>
              <w:t>hm</w:t>
            </w:r>
            <w:r>
              <w:rPr>
                <w:rFonts w:hint="default" w:ascii="Times New Roman" w:hAnsi="Times New Roman" w:eastAsia="宋体" w:cs="Times New Roman"/>
                <w:color w:val="FF0000"/>
                <w:sz w:val="24"/>
                <w:szCs w:val="32"/>
                <w:vertAlign w:val="superscript"/>
                <w:lang w:val="en-US" w:eastAsia="zh-CN"/>
              </w:rPr>
              <w:t>2</w:t>
            </w:r>
            <w:r>
              <w:rPr>
                <w:rFonts w:hint="default" w:ascii="Times New Roman" w:hAnsi="Times New Roman" w:eastAsia="宋体" w:cs="Times New Roman"/>
                <w:color w:val="FF0000"/>
                <w:sz w:val="24"/>
                <w:szCs w:val="32"/>
                <w:lang w:val="en-US" w:eastAsia="zh-CN"/>
              </w:rPr>
              <w:t>，临时占地</w:t>
            </w:r>
            <w:r>
              <w:rPr>
                <w:rFonts w:hint="eastAsia" w:cs="Times New Roman"/>
                <w:color w:val="FF0000"/>
                <w:sz w:val="24"/>
                <w:szCs w:val="32"/>
                <w:lang w:val="en-US" w:eastAsia="zh-CN"/>
              </w:rPr>
              <w:t>80.54</w:t>
            </w:r>
            <w:r>
              <w:rPr>
                <w:rFonts w:hint="default" w:ascii="Times New Roman" w:hAnsi="Times New Roman" w:eastAsia="宋体" w:cs="Times New Roman"/>
                <w:color w:val="FF0000"/>
                <w:sz w:val="24"/>
                <w:szCs w:val="32"/>
                <w:lang w:val="en-US" w:eastAsia="zh-CN"/>
              </w:rPr>
              <w:t>hm</w:t>
            </w:r>
            <w:r>
              <w:rPr>
                <w:rFonts w:hint="default" w:ascii="Times New Roman" w:hAnsi="Times New Roman" w:eastAsia="宋体" w:cs="Times New Roman"/>
                <w:color w:val="FF0000"/>
                <w:sz w:val="24"/>
                <w:szCs w:val="32"/>
                <w:vertAlign w:val="superscript"/>
                <w:lang w:val="en-US" w:eastAsia="zh-CN"/>
              </w:rPr>
              <w:t>2</w:t>
            </w:r>
            <w:r>
              <w:rPr>
                <w:rFonts w:hint="default" w:ascii="Times New Roman" w:hAnsi="Times New Roman" w:eastAsia="宋体" w:cs="Times New Roman"/>
                <w:color w:val="FF0000"/>
                <w:sz w:val="24"/>
                <w:szCs w:val="32"/>
                <w:lang w:val="en-US" w:eastAsia="zh-CN"/>
              </w:rPr>
              <w:t>。</w:t>
            </w:r>
            <w:r>
              <w:rPr>
                <w:rFonts w:hint="eastAsia" w:cs="Times New Roman"/>
                <w:color w:val="FF0000"/>
                <w:kern w:val="0"/>
                <w:sz w:val="24"/>
                <w:lang w:val="en-US" w:eastAsia="zh-CN" w:bidi="ar"/>
              </w:rPr>
              <w:t>本项目永久占地主要为输电线路塔基占地及恒山变电站扩建间隔位置</w:t>
            </w:r>
            <w:r>
              <w:rPr>
                <w:rFonts w:hint="eastAsia" w:cs="Times New Roman"/>
                <w:color w:val="FF0000"/>
                <w:kern w:val="2"/>
                <w:sz w:val="24"/>
                <w:szCs w:val="24"/>
                <w:lang w:val="en-US" w:eastAsia="zh-CN" w:bidi="ar-SA"/>
              </w:rPr>
              <w:t>占地，这部分土地一经占用，其原有使用功能将部分或全部丧失，占地内的植被遭受破坏。临时占地包括塔基施工场地、牵张场等，其环境影响主要集中于建设期改变土地的使用功能，破坏地表土壤结构及植被，但所占用的土地在工程施工结束后还给地方继续使用，在采取适当措施后可以恢复其功能。</w:t>
            </w:r>
          </w:p>
          <w:p w14:paraId="63A5AA79">
            <w:pPr>
              <w:pStyle w:val="74"/>
              <w:keepNext w:val="0"/>
              <w:keepLines w:val="0"/>
              <w:suppressLineNumbers w:val="0"/>
              <w:spacing w:before="0" w:beforeAutospacing="0" w:after="0" w:afterAutospacing="0"/>
              <w:ind w:left="0" w:right="0"/>
              <w:rPr>
                <w:rFonts w:hint="default" w:eastAsia="宋体"/>
                <w:bCs/>
                <w:color w:val="FF0000"/>
                <w:sz w:val="24"/>
                <w:lang w:val="en-US" w:eastAsia="zh-CN"/>
              </w:rPr>
            </w:pPr>
            <w:r>
              <w:rPr>
                <w:rFonts w:hint="eastAsia"/>
                <w:bCs/>
                <w:color w:val="FF0000"/>
                <w:sz w:val="24"/>
                <w:lang w:val="en-US" w:eastAsia="zh-CN"/>
              </w:rPr>
              <w:t>本项目永久占地部分</w:t>
            </w:r>
            <w:r>
              <w:rPr>
                <w:rFonts w:hint="eastAsia"/>
                <w:bCs/>
                <w:color w:val="FF0000"/>
                <w:sz w:val="24"/>
                <w:lang w:eastAsia="zh-CN"/>
              </w:rPr>
              <w:t>在施工结束后</w:t>
            </w:r>
            <w:r>
              <w:rPr>
                <w:rFonts w:hint="eastAsia"/>
                <w:bCs/>
                <w:color w:val="FF0000"/>
                <w:sz w:val="24"/>
                <w:lang w:val="en-US" w:eastAsia="zh-CN"/>
              </w:rPr>
              <w:t>进行挖方回填、土地平整、撒播种草等生态恢复措施，减少生态影响。根据</w:t>
            </w:r>
            <w:r>
              <w:rPr>
                <w:rFonts w:hint="default" w:cs="Times New Roman"/>
                <w:color w:val="FF0000"/>
                <w:kern w:val="2"/>
                <w:sz w:val="24"/>
                <w:szCs w:val="24"/>
                <w:lang w:val="en-US" w:eastAsia="zh-CN" w:bidi="ar-SA"/>
              </w:rPr>
              <w:t>按照《黑龙江省自然资源厅 黑龙江省发展和改革委员会关于简化用地管理加快电网建设的通知》（黑自然资函〔2018〕46号）和《黑龙江省进一步推动电网高质量发展工作方案》（黑政办发〔2023〕41号），本工程所占耕地经与当地农村经济组织及农民协商达成协议后，通过土地流转、协议补偿等方式直接使用，在工程使用期结束后恢复原地类</w:t>
            </w:r>
            <w:r>
              <w:rPr>
                <w:rFonts w:hint="eastAsia"/>
                <w:bCs/>
                <w:color w:val="FF0000"/>
                <w:sz w:val="24"/>
                <w:lang w:val="en-US" w:eastAsia="zh-CN"/>
              </w:rPr>
              <w:t>。永久占地原塔基拆除后原有土地利用类型不变。</w:t>
            </w:r>
          </w:p>
          <w:p w14:paraId="23BD1205">
            <w:pPr>
              <w:pStyle w:val="74"/>
              <w:keepNext w:val="0"/>
              <w:keepLines w:val="0"/>
              <w:suppressLineNumbers w:val="0"/>
              <w:spacing w:before="0" w:beforeAutospacing="0" w:after="0" w:afterAutospacing="0"/>
              <w:ind w:left="0" w:right="0" w:firstLine="480"/>
              <w:rPr>
                <w:rFonts w:hint="eastAsia"/>
                <w:bCs/>
                <w:color w:val="000000" w:themeColor="text1"/>
                <w:sz w:val="24"/>
                <w:lang w:eastAsia="zh-CN"/>
                <w14:textFill>
                  <w14:solidFill>
                    <w14:schemeClr w14:val="tx1"/>
                  </w14:solidFill>
                </w14:textFill>
              </w:rPr>
            </w:pPr>
            <w:r>
              <w:rPr>
                <w:rFonts w:hint="eastAsia"/>
                <w:bCs/>
                <w:color w:val="000000" w:themeColor="text1"/>
                <w:sz w:val="24"/>
                <w:lang w:eastAsia="zh-CN"/>
                <w14:textFill>
                  <w14:solidFill>
                    <w14:schemeClr w14:val="tx1"/>
                  </w14:solidFill>
                </w14:textFill>
              </w:rPr>
              <w:t>本项目临时占地部分在施工结束后及时进行生态恢复。施工过程中将表土单独存放，并采取苫盖等措施防止土壤养分流失，施工结束后将表土及时回填，对临时占地部分进行生态恢复，从而恢复其原有土地使用功能。</w:t>
            </w:r>
          </w:p>
          <w:p w14:paraId="2F5BF76E">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lang w:eastAsia="zh-CN"/>
                <w14:textFill>
                  <w14:solidFill>
                    <w14:schemeClr w14:val="tx1"/>
                  </w14:solidFill>
                </w14:textFill>
              </w:rPr>
              <w:t>因此，本项目的建设占地对当地的土地资源利用结构与功能的影响较小。</w:t>
            </w:r>
          </w:p>
          <w:p w14:paraId="57109FF8">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（2）</w:t>
            </w:r>
            <w:r>
              <w:rPr>
                <w:rFonts w:hint="default"/>
                <w:bCs/>
                <w:color w:val="000000" w:themeColor="text1"/>
                <w:sz w:val="24"/>
                <w14:textFill>
                  <w14:solidFill>
                    <w14:schemeClr w14:val="tx1"/>
                  </w14:solidFill>
                </w14:textFill>
              </w:rPr>
              <w:t>对农田的影响</w:t>
            </w:r>
          </w:p>
          <w:p w14:paraId="68CA42CB">
            <w:pPr>
              <w:pStyle w:val="74"/>
              <w:keepNext w:val="0"/>
              <w:keepLines w:val="0"/>
              <w:suppressLineNumbers w:val="0"/>
              <w:spacing w:before="0" w:beforeAutospacing="0" w:after="0" w:afterAutospacing="0"/>
              <w:ind w:left="0" w:right="0" w:firstLine="480"/>
              <w:rPr>
                <w:rFonts w:hint="eastAsia"/>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1）基本农田</w:t>
            </w:r>
          </w:p>
          <w:p w14:paraId="3154B3BA">
            <w:pPr>
              <w:pStyle w:val="74"/>
              <w:keepNext w:val="0"/>
              <w:keepLines w:val="0"/>
              <w:suppressLineNumbers w:val="0"/>
              <w:spacing w:before="0" w:beforeAutospacing="0" w:after="0" w:afterAutospacing="0"/>
              <w:ind w:left="0" w:right="0" w:firstLine="480"/>
              <w:rPr>
                <w:rFonts w:hint="eastAsia"/>
                <w:bCs/>
                <w:color w:val="FF0000"/>
                <w:sz w:val="24"/>
                <w:lang w:val="en-US" w:eastAsia="zh-CN"/>
              </w:rPr>
            </w:pPr>
            <w:r>
              <w:rPr>
                <w:rFonts w:hint="eastAsia"/>
                <w:bCs/>
                <w:color w:val="FF0000"/>
                <w:sz w:val="24"/>
                <w:lang w:val="en-US" w:eastAsia="zh-CN"/>
              </w:rPr>
              <w:t>本项目线路占用基本农田12.41hm</w:t>
            </w:r>
            <w:r>
              <w:rPr>
                <w:rFonts w:hint="eastAsia"/>
                <w:bCs/>
                <w:color w:val="FF0000"/>
                <w:sz w:val="24"/>
                <w:vertAlign w:val="superscript"/>
                <w:lang w:val="en-US" w:eastAsia="zh-CN"/>
              </w:rPr>
              <w:t>2</w:t>
            </w:r>
            <w:r>
              <w:rPr>
                <w:rFonts w:hint="eastAsia"/>
                <w:bCs/>
                <w:color w:val="FF0000"/>
                <w:sz w:val="24"/>
                <w:lang w:val="en-US" w:eastAsia="zh-CN"/>
              </w:rPr>
              <w:t>。根据黑龙江省人民政府常务纪要（第十六次）（2018年10月30日）第四条中提出的“对于与电网建设输变电工程线路塔基类似的建设用地，如确需占用少量永久基本农田，又因未列入国家项目而无法办理项目用地预审、核准及后续用地审批的，可以享受同等简化用地管理政策，经与当地农村经济组织及农民协商达成协议后，通过土地流转、协议补偿等方式直接使用，在工程项目使用”。又以《黑龙江省自然资源厅 黑龙江省发展和改革委员会 关于简化用地管理加快电网建设的通知》（黑自然资函〔2018〕46号）（2018年11月28日）中第四条“电网线路（通信等）塔基、线杆用地，要通过优化调整线路布局，尽量少占或者不占耕地，经与当地农村经济组织及农民协商达成协议后，通过土地流转、协议补偿等方式直接使用，在工程使用期结束后恢复原地类。”</w:t>
            </w:r>
          </w:p>
          <w:p w14:paraId="5D1E5C48">
            <w:pPr>
              <w:pStyle w:val="74"/>
              <w:keepNext w:val="0"/>
              <w:keepLines w:val="0"/>
              <w:suppressLineNumbers w:val="0"/>
              <w:spacing w:before="0" w:beforeAutospacing="0" w:after="0" w:afterAutospacing="0"/>
              <w:ind w:left="0" w:right="0" w:firstLine="480"/>
              <w:rPr>
                <w:rFonts w:hint="eastAsia"/>
                <w:bCs/>
                <w:color w:val="000000" w:themeColor="text1"/>
                <w:sz w:val="24"/>
                <w:lang w:val="en-US" w:eastAsia="zh-CN"/>
                <w14:textFill>
                  <w14:solidFill>
                    <w14:schemeClr w14:val="tx1"/>
                  </w14:solidFill>
                </w14:textFill>
              </w:rPr>
            </w:pPr>
            <w:r>
              <w:rPr>
                <w:rFonts w:hint="eastAsia"/>
                <w:bCs/>
                <w:color w:val="FF0000"/>
                <w:sz w:val="24"/>
                <w:lang w:val="en-US" w:eastAsia="zh-CN"/>
              </w:rPr>
              <w:t>占用基本农田部分，由建设单位及施工单位与当地农村经济组织及农民协商达成协议后，通过协议补偿方式直接使用，施工结束后，即时进行土地回填、平整，临时占地占用耕地的部分，及时复耕，恢复原有土地生态功能，做好农田的复耕及种草工作。不减少基本农田总量，不触及基本农田红线。</w:t>
            </w:r>
          </w:p>
          <w:p w14:paraId="7C36E9ED">
            <w:pPr>
              <w:pStyle w:val="74"/>
              <w:keepNext w:val="0"/>
              <w:keepLines w:val="0"/>
              <w:suppressLineNumbers w:val="0"/>
              <w:spacing w:before="0" w:beforeAutospacing="0" w:after="0" w:afterAutospacing="0"/>
              <w:ind w:left="0" w:right="0" w:firstLine="480"/>
              <w:rPr>
                <w:rFonts w:hint="eastAsia"/>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2）一般农田</w:t>
            </w:r>
          </w:p>
          <w:p w14:paraId="3C0A5647">
            <w:pPr>
              <w:pStyle w:val="74"/>
              <w:keepNext w:val="0"/>
              <w:keepLines w:val="0"/>
              <w:suppressLineNumbers w:val="0"/>
              <w:spacing w:before="0" w:beforeAutospacing="0" w:after="0" w:afterAutospacing="0"/>
              <w:ind w:left="0" w:right="0" w:firstLine="480"/>
              <w:rPr>
                <w:rFonts w:hint="eastAsia"/>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项目单位在开工建设前按照国家相关规定办理用地手续，并拟通过委托补偿的方式与本项目永久占地范围内的各乡镇农户或村集体签订补偿协议，协议中应规定建设方面要按照省政府规定的标准按时缴纳耕地开垦费，将对被征地农民的影响降至最低。</w:t>
            </w:r>
          </w:p>
          <w:p w14:paraId="2189EB37">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本项目</w:t>
            </w:r>
            <w:r>
              <w:rPr>
                <w:rFonts w:hint="default"/>
                <w:bCs/>
                <w:color w:val="000000" w:themeColor="text1"/>
                <w:sz w:val="24"/>
                <w14:textFill>
                  <w14:solidFill>
                    <w14:schemeClr w14:val="tx1"/>
                  </w14:solidFill>
                </w14:textFill>
              </w:rPr>
              <w:t>施工临时占地只发生在施工过程中，临时占地如发生在作物生长期，则可能造成部分农作物毁坏，对农业造成一定损失，也会使其他自然植被遭到破坏，随着项目施工期结束，施工临时占地的建筑与堆物立即拆除和清理，并及时回填、地面平整，受到影响的农业用地会逐渐恢复其生态功能。</w:t>
            </w:r>
          </w:p>
          <w:p w14:paraId="287787D6">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（3）</w:t>
            </w:r>
            <w:r>
              <w:rPr>
                <w:rFonts w:hint="default"/>
                <w:bCs/>
                <w:color w:val="000000" w:themeColor="text1"/>
                <w:sz w:val="24"/>
                <w14:textFill>
                  <w14:solidFill>
                    <w14:schemeClr w14:val="tx1"/>
                  </w14:solidFill>
                </w14:textFill>
              </w:rPr>
              <w:t>对植被的影响</w:t>
            </w:r>
          </w:p>
          <w:p w14:paraId="7FA2D80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FF0000"/>
                <w:kern w:val="0"/>
                <w:sz w:val="24"/>
                <w:lang w:val="en-US" w:eastAsia="zh-CN" w:bidi="ar"/>
              </w:rPr>
            </w:pPr>
            <w:r>
              <w:rPr>
                <w:rFonts w:hint="default"/>
                <w:bCs/>
                <w:color w:val="FF0000"/>
                <w:sz w:val="24"/>
              </w:rPr>
              <w:t>本项目</w:t>
            </w:r>
            <w:r>
              <w:rPr>
                <w:rFonts w:hint="eastAsia"/>
                <w:bCs/>
                <w:color w:val="FF0000"/>
                <w:sz w:val="24"/>
                <w:lang w:val="en-US" w:eastAsia="zh-CN"/>
              </w:rPr>
              <w:t>输电</w:t>
            </w:r>
            <w:r>
              <w:rPr>
                <w:rFonts w:hint="default"/>
                <w:bCs/>
                <w:color w:val="FF0000"/>
                <w:sz w:val="24"/>
              </w:rPr>
              <w:t>线路塔基的占地类型为</w:t>
            </w:r>
            <w:r>
              <w:rPr>
                <w:rFonts w:hint="eastAsia"/>
                <w:bCs/>
                <w:color w:val="FF0000"/>
                <w:sz w:val="24"/>
                <w:lang w:val="en-US" w:eastAsia="zh-CN"/>
              </w:rPr>
              <w:t>耕地、林地、草地</w:t>
            </w:r>
            <w:r>
              <w:rPr>
                <w:rFonts w:hint="default"/>
                <w:bCs/>
                <w:color w:val="FF0000"/>
                <w:sz w:val="24"/>
              </w:rPr>
              <w:t>，</w:t>
            </w:r>
            <w:r>
              <w:rPr>
                <w:rFonts w:hint="eastAsia"/>
                <w:bCs/>
                <w:color w:val="FF0000"/>
                <w:sz w:val="24"/>
                <w:lang w:val="en-US" w:eastAsia="zh-CN"/>
              </w:rPr>
              <w:t>项目所在地植被主要为农作物、田间杂草和</w:t>
            </w:r>
            <w:r>
              <w:rPr>
                <w:rFonts w:hint="default" w:ascii="Times New Roman" w:hAnsi="Times New Roman" w:eastAsia="宋体" w:cs="Times New Roman"/>
                <w:color w:val="FF0000"/>
                <w:kern w:val="0"/>
                <w:sz w:val="24"/>
                <w:lang w:val="en-US" w:eastAsia="zh-CN" w:bidi="ar"/>
              </w:rPr>
              <w:t>杨树等为常见种。塔基永久占地将对自然植被造成破坏性的影响，具有不可逆性和不可恢复性，对该区段植物资源有一定的不利影响，但是塔基永久占地面积较小，而且呈不连续点状分布，对植被多样性影响不大。</w:t>
            </w:r>
          </w:p>
          <w:p w14:paraId="7D300EA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FF0000"/>
                <w:kern w:val="0"/>
                <w:sz w:val="24"/>
                <w:lang w:val="en-US" w:eastAsia="zh-CN" w:bidi="ar"/>
              </w:rPr>
            </w:pPr>
            <w:r>
              <w:rPr>
                <w:rFonts w:hint="default" w:ascii="Times New Roman" w:hAnsi="Times New Roman" w:eastAsia="宋体" w:cs="Times New Roman"/>
                <w:color w:val="FF0000"/>
                <w:kern w:val="0"/>
                <w:sz w:val="24"/>
                <w:lang w:val="en-US" w:eastAsia="zh-CN" w:bidi="ar"/>
              </w:rPr>
              <w:t>本工程对农业生产的影响主要为塔基基础开挖时对农作物的清除，使农作物产量减少；另外，材料堆放、人员践踏、施工机具碾压也会损害部分农作物，影响其正常生长。农田生态系统是人类活动干预下形成的人工生态系统，可调控性能力强，生态功能单一、明确，农作物受到破坏时，可人为干预达到原有功能目标的恢复性强。同时，由于单塔占地面积相对较小，两塔间的距离较长，对区域内农作物的影响有限。</w:t>
            </w:r>
            <w:r>
              <w:rPr>
                <w:rFonts w:hint="eastAsia" w:eastAsia="宋体" w:cs="Times New Roman"/>
                <w:color w:val="FF0000"/>
                <w:kern w:val="0"/>
                <w:sz w:val="24"/>
                <w:lang w:val="en-US" w:eastAsia="zh-CN" w:bidi="ar"/>
              </w:rPr>
              <w:t>本项目</w:t>
            </w:r>
            <w:r>
              <w:rPr>
                <w:rFonts w:hint="default" w:ascii="Times New Roman" w:hAnsi="Times New Roman" w:eastAsia="宋体" w:cstheme="minorBidi"/>
                <w:color w:val="FF0000"/>
                <w:kern w:val="2"/>
                <w:sz w:val="24"/>
                <w:szCs w:val="24"/>
                <w:highlight w:val="none"/>
                <w:lang w:val="en-US" w:eastAsia="zh-CN" w:bidi="ar-SA"/>
              </w:rPr>
              <w:t>已尽量避开</w:t>
            </w:r>
            <w:r>
              <w:rPr>
                <w:rFonts w:hint="eastAsia" w:ascii="Times New Roman" w:cstheme="minorBidi"/>
                <w:color w:val="FF0000"/>
                <w:kern w:val="2"/>
                <w:sz w:val="24"/>
                <w:szCs w:val="24"/>
                <w:highlight w:val="none"/>
                <w:lang w:val="en-US" w:eastAsia="zh-CN" w:bidi="ar-SA"/>
              </w:rPr>
              <w:t>永久基本农田</w:t>
            </w:r>
            <w:r>
              <w:rPr>
                <w:rFonts w:hint="default" w:ascii="Times New Roman" w:hAnsi="Times New Roman" w:eastAsia="宋体" w:cstheme="minorBidi"/>
                <w:color w:val="FF0000"/>
                <w:kern w:val="2"/>
                <w:sz w:val="24"/>
                <w:szCs w:val="24"/>
                <w:highlight w:val="none"/>
                <w:lang w:val="en-US" w:eastAsia="zh-CN" w:bidi="ar-SA"/>
              </w:rPr>
              <w:t>，节约、集约使用黑土地。永久占地表土耕作层</w:t>
            </w:r>
            <w:r>
              <w:rPr>
                <w:rFonts w:hint="eastAsia" w:ascii="Times New Roman" w:hAnsi="Times New Roman" w:eastAsia="宋体" w:cstheme="minorBidi"/>
                <w:color w:val="FF0000"/>
                <w:kern w:val="2"/>
                <w:sz w:val="24"/>
                <w:szCs w:val="24"/>
                <w:highlight w:val="none"/>
                <w:lang w:val="en-US" w:eastAsia="zh-CN" w:bidi="ar-SA"/>
              </w:rPr>
              <w:t>余土</w:t>
            </w:r>
            <w:r>
              <w:rPr>
                <w:rFonts w:hint="default" w:ascii="Times New Roman" w:hAnsi="Times New Roman" w:eastAsia="宋体" w:cstheme="minorBidi"/>
                <w:color w:val="FF0000"/>
                <w:kern w:val="2"/>
                <w:sz w:val="24"/>
                <w:szCs w:val="24"/>
                <w:highlight w:val="none"/>
                <w:lang w:val="en-US" w:eastAsia="zh-CN" w:bidi="ar-SA"/>
              </w:rPr>
              <w:t>单独收集</w:t>
            </w:r>
            <w:r>
              <w:rPr>
                <w:rFonts w:hint="eastAsia" w:ascii="Times New Roman" w:hAnsi="Times New Roman" w:eastAsia="宋体" w:cstheme="minorBidi"/>
                <w:color w:val="FF0000"/>
                <w:kern w:val="2"/>
                <w:sz w:val="24"/>
                <w:szCs w:val="24"/>
                <w:highlight w:val="none"/>
                <w:lang w:val="en-US" w:eastAsia="zh-CN" w:bidi="ar-SA"/>
              </w:rPr>
              <w:t>根据项目表土剥离报告与</w:t>
            </w:r>
            <w:r>
              <w:rPr>
                <w:rFonts w:hint="default" w:ascii="Times New Roman" w:hAnsi="Times New Roman" w:eastAsia="宋体" w:cstheme="minorBidi"/>
                <w:color w:val="FF0000"/>
                <w:kern w:val="2"/>
                <w:sz w:val="24"/>
                <w:szCs w:val="24"/>
                <w:highlight w:val="none"/>
                <w:lang w:val="en-US" w:eastAsia="zh-CN" w:bidi="ar-SA"/>
              </w:rPr>
              <w:t>自然资源部门沟通审批指定地点利用，并对工程临时占地表土剥离保存、集中收集、合理堆放、恢复利用等，堆存场地设置临时围挡、苫盖、截排水沟等防治措施，施工结束后对临时占地覆土恢复地表植被，最大限度保护黑土地。</w:t>
            </w:r>
          </w:p>
          <w:p w14:paraId="79E714DE">
            <w:pPr>
              <w:keepNext w:val="0"/>
              <w:keepLines w:val="0"/>
              <w:suppressLineNumbers w:val="0"/>
              <w:spacing w:before="0" w:beforeAutospacing="0" w:after="0" w:afterAutospacing="0" w:line="360" w:lineRule="auto"/>
              <w:ind w:left="0" w:right="0" w:firstLine="480" w:firstLineChars="200"/>
              <w:rPr>
                <w:rFonts w:hint="default"/>
                <w:bCs/>
                <w:color w:val="FF0000"/>
                <w:sz w:val="24"/>
              </w:rPr>
            </w:pPr>
            <w:r>
              <w:rPr>
                <w:rFonts w:hint="default" w:ascii="Times New Roman" w:hAnsi="Times New Roman" w:eastAsia="宋体" w:cs="Times New Roman"/>
                <w:color w:val="FF0000"/>
                <w:kern w:val="0"/>
                <w:sz w:val="24"/>
                <w:lang w:val="en-US" w:eastAsia="zh-CN" w:bidi="ar"/>
              </w:rPr>
              <w:t>成片林及防风林带树木按跨越设计，沿线零星行道树及个别超高树木按砍伐考虑（本工程砍伐行道树约</w:t>
            </w:r>
            <w:r>
              <w:rPr>
                <w:rFonts w:hint="eastAsia" w:cs="Times New Roman"/>
                <w:color w:val="FF0000"/>
                <w:kern w:val="0"/>
                <w:sz w:val="24"/>
                <w:highlight w:val="none"/>
                <w:lang w:val="en-US" w:eastAsia="zh-CN" w:bidi="ar"/>
              </w:rPr>
              <w:t>1000</w:t>
            </w:r>
            <w:r>
              <w:rPr>
                <w:rFonts w:hint="default" w:ascii="Times New Roman" w:hAnsi="Times New Roman" w:eastAsia="宋体" w:cs="Times New Roman"/>
                <w:color w:val="FF0000"/>
                <w:kern w:val="0"/>
                <w:sz w:val="24"/>
                <w:highlight w:val="none"/>
                <w:lang w:val="en-US" w:eastAsia="zh-CN" w:bidi="ar"/>
              </w:rPr>
              <w:t>棵，</w:t>
            </w:r>
            <w:r>
              <w:rPr>
                <w:rFonts w:hint="default" w:ascii="Times New Roman" w:hAnsi="Times New Roman" w:eastAsia="宋体" w:cs="Times New Roman"/>
                <w:color w:val="FF0000"/>
                <w:kern w:val="0"/>
                <w:sz w:val="24"/>
                <w:lang w:val="en-US" w:eastAsia="zh-CN" w:bidi="ar"/>
              </w:rPr>
              <w:t>主要为松树和杨树）；原则上尽量避免林木砍伐，节约林业和土地资源，降低环境影响。对于临时占地造成的植被破坏，通过自然恢复和人工种植，可逐步得到恢复。</w:t>
            </w:r>
            <w:r>
              <w:rPr>
                <w:rFonts w:hint="eastAsia" w:ascii="Times New Roman" w:hAnsi="Times New Roman" w:eastAsia="宋体" w:cs="Times New Roman"/>
                <w:color w:val="FF0000"/>
                <w:kern w:val="0"/>
                <w:sz w:val="24"/>
                <w:lang w:bidi="ar"/>
              </w:rPr>
              <w:t>当林地植被不可避免被影响时，可尽量选择面积较大的一般林种、并尽量利用林窗、林隙、林缘做为牵张场、临时材料堆放地和临时工地，尽可能减少对</w:t>
            </w:r>
            <w:r>
              <w:rPr>
                <w:rFonts w:hint="eastAsia" w:ascii="Times New Roman" w:hAnsi="Times New Roman" w:eastAsia="宋体" w:cs="Times New Roman"/>
                <w:color w:val="FF0000"/>
                <w:kern w:val="0"/>
                <w:sz w:val="24"/>
                <w:lang w:val="en-US" w:eastAsia="zh-CN" w:bidi="ar"/>
              </w:rPr>
              <w:t>植被</w:t>
            </w:r>
            <w:r>
              <w:rPr>
                <w:rFonts w:hint="eastAsia" w:ascii="Times New Roman" w:hAnsi="Times New Roman" w:eastAsia="宋体" w:cs="Times New Roman"/>
                <w:color w:val="FF0000"/>
                <w:kern w:val="0"/>
                <w:sz w:val="24"/>
                <w:lang w:bidi="ar"/>
              </w:rPr>
              <w:t>的破坏，尽可能保持生态系统的完整性、稳定性</w:t>
            </w:r>
            <w:r>
              <w:rPr>
                <w:rFonts w:hint="eastAsia"/>
                <w:bCs/>
                <w:color w:val="FF0000"/>
                <w:sz w:val="24"/>
                <w:lang w:eastAsia="zh-CN"/>
              </w:rPr>
              <w:t>。</w:t>
            </w:r>
            <w:r>
              <w:rPr>
                <w:rFonts w:hint="eastAsia"/>
                <w:bCs/>
                <w:color w:val="FF0000"/>
                <w:sz w:val="24"/>
                <w:lang w:val="en-US" w:eastAsia="zh-CN"/>
              </w:rPr>
              <w:t>由于</w:t>
            </w:r>
            <w:r>
              <w:rPr>
                <w:rFonts w:hint="default"/>
                <w:bCs/>
                <w:color w:val="FF0000"/>
                <w:sz w:val="24"/>
              </w:rPr>
              <w:t>输电线路与线下树木垂直距离小于4.5米时</w:t>
            </w:r>
            <w:r>
              <w:rPr>
                <w:rFonts w:hint="eastAsia"/>
                <w:bCs/>
                <w:color w:val="FF0000"/>
                <w:sz w:val="24"/>
                <w:lang w:eastAsia="zh-CN"/>
              </w:rPr>
              <w:t>，不能满足架空送电线路设计技术规程导线与树木间净空要求的较高树木进行去顶砍伐</w:t>
            </w:r>
            <w:r>
              <w:rPr>
                <w:rFonts w:hint="default"/>
                <w:bCs/>
                <w:color w:val="FF0000"/>
                <w:sz w:val="24"/>
              </w:rPr>
              <w:t>，使林草植被遭到一定程度的破坏。对于砍伐的树木，施工人员</w:t>
            </w:r>
            <w:r>
              <w:rPr>
                <w:rFonts w:hint="eastAsia"/>
                <w:bCs/>
                <w:color w:val="FF0000"/>
                <w:sz w:val="24"/>
                <w:lang w:val="en-US" w:eastAsia="zh-CN"/>
              </w:rPr>
              <w:t>应</w:t>
            </w:r>
            <w:r>
              <w:rPr>
                <w:rFonts w:hint="default"/>
                <w:bCs/>
                <w:color w:val="FF0000"/>
                <w:sz w:val="24"/>
              </w:rPr>
              <w:t>在当地有关负责人或林木的所有者的认可下，采取树木移植或砍伐，执行国家相关赔偿政策。</w:t>
            </w:r>
          </w:p>
          <w:p w14:paraId="7B1B2975">
            <w:pPr>
              <w:pStyle w:val="74"/>
              <w:keepNext w:val="0"/>
              <w:keepLines w:val="0"/>
              <w:numPr>
                <w:ilvl w:val="0"/>
                <w:numId w:val="1"/>
              </w:numPr>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default"/>
                <w:bCs/>
                <w:color w:val="000000" w:themeColor="text1"/>
                <w:sz w:val="24"/>
                <w14:textFill>
                  <w14:solidFill>
                    <w14:schemeClr w14:val="tx1"/>
                  </w14:solidFill>
                </w14:textFill>
              </w:rPr>
              <w:t>对动物的影响</w:t>
            </w:r>
          </w:p>
          <w:p w14:paraId="28194EC3">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本</w:t>
            </w:r>
            <w:r>
              <w:rPr>
                <w:rFonts w:hint="default"/>
                <w:bCs/>
                <w:color w:val="000000" w:themeColor="text1"/>
                <w:sz w:val="24"/>
                <w14:textFill>
                  <w14:solidFill>
                    <w14:schemeClr w14:val="tx1"/>
                  </w14:solidFill>
                </w14:textFill>
              </w:rPr>
              <w:t>项目所在地动物出现较少，未发现大型野生动物，野生动物种类较少，仅存一些鸟类、蛇类、鼠类、蛙类及昆虫类等。本项目线路施工对小型动物影响表现为塔基开挖和施工人员活动增加等干扰因素。施工避开小型野生动物主要活动场所，且线路施工时间短、点分散，对附近野生动物的影响较小。</w:t>
            </w:r>
          </w:p>
          <w:p w14:paraId="778700F8">
            <w:pPr>
              <w:pStyle w:val="74"/>
              <w:keepNext w:val="0"/>
              <w:keepLines w:val="0"/>
              <w:numPr>
                <w:ilvl w:val="0"/>
                <w:numId w:val="1"/>
              </w:numPr>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对</w:t>
            </w:r>
            <w:r>
              <w:rPr>
                <w:rFonts w:hint="default"/>
                <w:bCs/>
                <w:color w:val="000000" w:themeColor="text1"/>
                <w:sz w:val="24"/>
                <w14:textFill>
                  <w14:solidFill>
                    <w14:schemeClr w14:val="tx1"/>
                  </w14:solidFill>
                </w14:textFill>
              </w:rPr>
              <w:t>水土流失的影响</w:t>
            </w:r>
          </w:p>
          <w:p w14:paraId="1FB3E098">
            <w:pPr>
              <w:pStyle w:val="74"/>
              <w:keepNext w:val="0"/>
              <w:keepLines w:val="0"/>
              <w:numPr>
                <w:ilvl w:val="0"/>
                <w:numId w:val="0"/>
              </w:numPr>
              <w:suppressLineNumbers w:val="0"/>
              <w:spacing w:before="0" w:beforeAutospacing="0" w:after="0" w:afterAutospacing="0"/>
              <w:ind w:left="0" w:right="0" w:firstLine="480" w:firstLineChars="200"/>
              <w:rPr>
                <w:rFonts w:hint="default"/>
                <w:bCs/>
                <w:color w:val="000000" w:themeColor="text1"/>
                <w:sz w:val="24"/>
                <w14:textFill>
                  <w14:solidFill>
                    <w14:schemeClr w14:val="tx1"/>
                  </w14:solidFill>
                </w14:textFill>
              </w:rPr>
            </w:pPr>
            <w:r>
              <w:rPr>
                <w:rFonts w:hint="default"/>
                <w:bCs/>
                <w:color w:val="000000" w:themeColor="text1"/>
                <w:sz w:val="24"/>
                <w14:textFill>
                  <w14:solidFill>
                    <w14:schemeClr w14:val="tx1"/>
                  </w14:solidFill>
                </w14:textFill>
              </w:rPr>
              <w:t>一般情况下，只要存在一定的坡度，就不可避免地造成水土流失的发生。工程施工期间，产生的弃土、弃渣和地表开挖，使地表植被破坏，原地面坡度、坡长改变；施工导致土壤松散和裸露，造成原地表植被水土保持功能降低，在雨季受雨滴溅击和地表径流冲刷，而以面蚀和沟蚀的方式产生明显的水土流失。其可能造成的危害如下：</w:t>
            </w:r>
          </w:p>
          <w:p w14:paraId="0835F4D3">
            <w:pPr>
              <w:pStyle w:val="74"/>
              <w:keepNext w:val="0"/>
              <w:keepLines w:val="0"/>
              <w:numPr>
                <w:ilvl w:val="0"/>
                <w:numId w:val="2"/>
              </w:numPr>
              <w:suppressLineNumbers w:val="0"/>
              <w:spacing w:before="0" w:beforeAutospacing="0" w:after="0" w:afterAutospacing="0"/>
              <w:ind w:left="0" w:right="0" w:firstLine="480" w:firstLineChars="200"/>
              <w:rPr>
                <w:rFonts w:hint="default"/>
                <w:bCs/>
                <w:color w:val="000000" w:themeColor="text1"/>
                <w:sz w:val="24"/>
                <w14:textFill>
                  <w14:solidFill>
                    <w14:schemeClr w14:val="tx1"/>
                  </w14:solidFill>
                </w14:textFill>
              </w:rPr>
            </w:pPr>
            <w:r>
              <w:rPr>
                <w:rFonts w:hint="default"/>
                <w:bCs/>
                <w:color w:val="000000" w:themeColor="text1"/>
                <w:sz w:val="24"/>
                <w14:textFill>
                  <w14:solidFill>
                    <w14:schemeClr w14:val="tx1"/>
                  </w14:solidFill>
                </w14:textFill>
              </w:rPr>
              <w:t>增加水体的泥沙淤积：水土流失发生时，流失的泥沙将随地表径流进入附近水体，造成水体淤积。</w:t>
            </w:r>
          </w:p>
          <w:p w14:paraId="5CA00A70">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2）</w:t>
            </w:r>
            <w:r>
              <w:rPr>
                <w:rFonts w:hint="default"/>
                <w:bCs/>
                <w:color w:val="000000" w:themeColor="text1"/>
                <w:sz w:val="24"/>
                <w14:textFill>
                  <w14:solidFill>
                    <w14:schemeClr w14:val="tx1"/>
                  </w14:solidFill>
                </w14:textFill>
              </w:rPr>
              <w:t>影响土地生产力：施工设施占用一定的土地，扰动</w:t>
            </w:r>
            <w:r>
              <w:rPr>
                <w:rFonts w:hint="eastAsia"/>
                <w:bCs/>
                <w:color w:val="000000" w:themeColor="text1"/>
                <w:sz w:val="24"/>
                <w:lang w:eastAsia="zh-CN"/>
                <w14:textFill>
                  <w14:solidFill>
                    <w14:schemeClr w14:val="tx1"/>
                  </w14:solidFill>
                </w14:textFill>
              </w:rPr>
              <w:t>原地</w:t>
            </w:r>
            <w:r>
              <w:rPr>
                <w:rFonts w:hint="default"/>
                <w:bCs/>
                <w:color w:val="000000" w:themeColor="text1"/>
                <w:sz w:val="24"/>
                <w14:textFill>
                  <w14:solidFill>
                    <w14:schemeClr w14:val="tx1"/>
                  </w14:solidFill>
                </w14:textFill>
              </w:rPr>
              <w:t>地貌，损坏原有表层土壤结构和地表植被，使地表失去良好保护层，拦截地表径流能力下降。降雨直接打在土壤表面，使土壤中氮、磷等有机物及无机盐含量迅速下降，土壤动植物、微生物及其繁衍资源减少，造成土地生产力的下降。</w:t>
            </w:r>
          </w:p>
          <w:p w14:paraId="094F4FBE">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（6）</w:t>
            </w:r>
            <w:r>
              <w:rPr>
                <w:rFonts w:hint="default"/>
                <w:bCs/>
                <w:color w:val="000000" w:themeColor="text1"/>
                <w:sz w:val="24"/>
                <w14:textFill>
                  <w14:solidFill>
                    <w14:schemeClr w14:val="tx1"/>
                  </w14:solidFill>
                </w14:textFill>
              </w:rPr>
              <w:t>对景观风貌的影响</w:t>
            </w:r>
          </w:p>
          <w:p w14:paraId="2D548413">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本项目施工过程会造成地表植被的破坏</w:t>
            </w:r>
            <w:r>
              <w:rPr>
                <w:rFonts w:hint="default"/>
                <w:bCs/>
                <w:color w:val="000000" w:themeColor="text1"/>
                <w:sz w:val="24"/>
                <w14:textFill>
                  <w14:solidFill>
                    <w14:schemeClr w14:val="tx1"/>
                  </w14:solidFill>
                </w14:textFill>
              </w:rPr>
              <w:t>，将会对地表地貌的景观风貌造成一定</w:t>
            </w:r>
            <w:r>
              <w:rPr>
                <w:rFonts w:hint="eastAsia"/>
                <w:bCs/>
                <w:color w:val="000000" w:themeColor="text1"/>
                <w:sz w:val="24"/>
                <w14:textFill>
                  <w14:solidFill>
                    <w14:schemeClr w14:val="tx1"/>
                  </w14:solidFill>
                </w14:textFill>
              </w:rPr>
              <w:t>程度</w:t>
            </w:r>
            <w:r>
              <w:rPr>
                <w:rFonts w:hint="default"/>
                <w:bCs/>
                <w:color w:val="000000" w:themeColor="text1"/>
                <w:sz w:val="24"/>
                <w14:textFill>
                  <w14:solidFill>
                    <w14:schemeClr w14:val="tx1"/>
                  </w14:solidFill>
                </w14:textFill>
              </w:rPr>
              <w:t>的影响</w:t>
            </w:r>
            <w:r>
              <w:rPr>
                <w:rFonts w:hint="eastAsia"/>
                <w:bCs/>
                <w:color w:val="000000" w:themeColor="text1"/>
                <w:sz w:val="24"/>
                <w14:textFill>
                  <w14:solidFill>
                    <w14:schemeClr w14:val="tx1"/>
                  </w14:solidFill>
                </w14:textFill>
              </w:rPr>
              <w:t>，</w:t>
            </w:r>
            <w:r>
              <w:rPr>
                <w:rFonts w:hint="default"/>
                <w:bCs/>
                <w:color w:val="000000" w:themeColor="text1"/>
                <w:sz w:val="24"/>
                <w14:textFill>
                  <w14:solidFill>
                    <w14:schemeClr w14:val="tx1"/>
                  </w14:solidFill>
                </w14:textFill>
              </w:rPr>
              <w:t>随着项目施工期结束，</w:t>
            </w:r>
            <w:r>
              <w:rPr>
                <w:rFonts w:hint="eastAsia"/>
                <w:bCs/>
                <w:color w:val="000000" w:themeColor="text1"/>
                <w:sz w:val="24"/>
                <w14:textFill>
                  <w14:solidFill>
                    <w14:schemeClr w14:val="tx1"/>
                  </w14:solidFill>
                </w14:textFill>
              </w:rPr>
              <w:t>及时进行生态恢复，</w:t>
            </w:r>
            <w:r>
              <w:rPr>
                <w:rFonts w:hint="eastAsia"/>
                <w:bCs/>
                <w:color w:val="000000" w:themeColor="text1"/>
                <w:sz w:val="24"/>
                <w:lang w:eastAsia="zh-CN"/>
                <w14:textFill>
                  <w14:solidFill>
                    <w14:schemeClr w14:val="tx1"/>
                  </w14:solidFill>
                </w14:textFill>
              </w:rPr>
              <w:t>受到影响</w:t>
            </w:r>
            <w:r>
              <w:rPr>
                <w:rFonts w:hint="eastAsia"/>
                <w:bCs/>
                <w:color w:val="000000" w:themeColor="text1"/>
                <w:sz w:val="24"/>
                <w14:textFill>
                  <w14:solidFill>
                    <w14:schemeClr w14:val="tx1"/>
                  </w14:solidFill>
                </w14:textFill>
              </w:rPr>
              <w:t>的地表风貌将会逐渐恢复</w:t>
            </w:r>
            <w:r>
              <w:rPr>
                <w:rFonts w:hint="default"/>
                <w:bCs/>
                <w:color w:val="000000" w:themeColor="text1"/>
                <w:sz w:val="24"/>
                <w14:textFill>
                  <w14:solidFill>
                    <w14:schemeClr w14:val="tx1"/>
                  </w14:solidFill>
                </w14:textFill>
              </w:rPr>
              <w:t>。</w:t>
            </w:r>
          </w:p>
          <w:p w14:paraId="027C6D3A">
            <w:pPr>
              <w:pStyle w:val="74"/>
              <w:keepNext w:val="0"/>
              <w:keepLines w:val="0"/>
              <w:suppressLineNumbers w:val="0"/>
              <w:spacing w:before="0" w:beforeAutospacing="0" w:after="0" w:afterAutospacing="0"/>
              <w:ind w:left="0" w:right="0" w:firstLine="480"/>
              <w:rPr>
                <w:rFonts w:hint="default"/>
                <w:b/>
                <w:bCs/>
                <w:color w:val="000000" w:themeColor="text1"/>
                <w:sz w:val="24"/>
                <w14:textFill>
                  <w14:solidFill>
                    <w14:schemeClr w14:val="tx1"/>
                  </w14:solidFill>
                </w14:textFill>
              </w:rPr>
            </w:pPr>
            <w:r>
              <w:rPr>
                <w:rFonts w:hint="default"/>
                <w:bCs/>
                <w:color w:val="000000" w:themeColor="text1"/>
                <w:sz w:val="24"/>
                <w14:textFill>
                  <w14:solidFill>
                    <w14:schemeClr w14:val="tx1"/>
                  </w14:solidFill>
                </w14:textFill>
              </w:rPr>
              <w:t>综上所述，本工程在施工期的环境影响是短暂的、可逆的，</w:t>
            </w:r>
            <w:r>
              <w:rPr>
                <w:rFonts w:hint="eastAsia"/>
                <w:bCs/>
                <w:color w:val="000000" w:themeColor="text1"/>
                <w:sz w:val="24"/>
                <w14:textFill>
                  <w14:solidFill>
                    <w14:schemeClr w14:val="tx1"/>
                  </w14:solidFill>
                </w14:textFill>
              </w:rPr>
              <w:t>将</w:t>
            </w:r>
            <w:r>
              <w:rPr>
                <w:rFonts w:hint="default"/>
                <w:bCs/>
                <w:color w:val="000000" w:themeColor="text1"/>
                <w:sz w:val="24"/>
                <w14:textFill>
                  <w14:solidFill>
                    <w14:schemeClr w14:val="tx1"/>
                  </w14:solidFill>
                </w14:textFill>
              </w:rPr>
              <w:t>随着施工期的结束而消失。本工程施工期应加强对施工现场的管理，在采取有效的防护措施后，可最大限度地降低</w:t>
            </w:r>
            <w:r>
              <w:rPr>
                <w:rFonts w:hint="eastAsia"/>
                <w:bCs/>
                <w:color w:val="000000" w:themeColor="text1"/>
                <w:sz w:val="24"/>
                <w14:textFill>
                  <w14:solidFill>
                    <w14:schemeClr w14:val="tx1"/>
                  </w14:solidFill>
                </w14:textFill>
              </w:rPr>
              <w:t>在</w:t>
            </w:r>
            <w:r>
              <w:rPr>
                <w:rFonts w:hint="default"/>
                <w:bCs/>
                <w:color w:val="000000" w:themeColor="text1"/>
                <w:sz w:val="24"/>
                <w14:textFill>
                  <w14:solidFill>
                    <w14:schemeClr w14:val="tx1"/>
                  </w14:solidFill>
                </w14:textFill>
              </w:rPr>
              <w:t>施工期间对周围环境</w:t>
            </w:r>
            <w:r>
              <w:rPr>
                <w:rFonts w:hint="eastAsia"/>
                <w:bCs/>
                <w:color w:val="000000" w:themeColor="text1"/>
                <w:sz w:val="24"/>
                <w14:textFill>
                  <w14:solidFill>
                    <w14:schemeClr w14:val="tx1"/>
                  </w14:solidFill>
                </w14:textFill>
              </w:rPr>
              <w:t>造成</w:t>
            </w:r>
            <w:r>
              <w:rPr>
                <w:rFonts w:hint="default"/>
                <w:bCs/>
                <w:color w:val="000000" w:themeColor="text1"/>
                <w:sz w:val="24"/>
                <w14:textFill>
                  <w14:solidFill>
                    <w14:schemeClr w14:val="tx1"/>
                  </w14:solidFill>
                </w14:textFill>
              </w:rPr>
              <w:t>的影响。</w:t>
            </w:r>
          </w:p>
          <w:p w14:paraId="4F5C1162">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（二）</w:t>
            </w:r>
            <w:r>
              <w:rPr>
                <w:rFonts w:hint="eastAsia"/>
                <w:b/>
                <w:bCs/>
                <w:color w:val="000000" w:themeColor="text1"/>
                <w:sz w:val="24"/>
                <w14:textFill>
                  <w14:solidFill>
                    <w14:schemeClr w14:val="tx1"/>
                  </w14:solidFill>
                </w14:textFill>
              </w:rPr>
              <w:t>环境空气影响分析</w:t>
            </w:r>
          </w:p>
          <w:p w14:paraId="0E3F9F82">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w:t>
            </w:r>
            <w:r>
              <w:rPr>
                <w:rFonts w:hint="default"/>
                <w:b/>
                <w:bCs/>
                <w:color w:val="000000" w:themeColor="text1"/>
                <w:sz w:val="24"/>
                <w14:textFill>
                  <w14:solidFill>
                    <w14:schemeClr w14:val="tx1"/>
                  </w14:solidFill>
                </w14:textFill>
              </w:rPr>
              <w:t>污染源分析</w:t>
            </w:r>
          </w:p>
          <w:p w14:paraId="455CF606">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施工期主要大气污染物是施工扬尘</w:t>
            </w:r>
            <w:r>
              <w:rPr>
                <w:rFonts w:hint="eastAsia"/>
                <w:color w:val="000000" w:themeColor="text1"/>
                <w:sz w:val="24"/>
                <w:lang w:val="en-US" w:eastAsia="zh-CN"/>
                <w14:textFill>
                  <w14:solidFill>
                    <w14:schemeClr w14:val="tx1"/>
                  </w14:solidFill>
                </w14:textFill>
              </w:rPr>
              <w:t>和施工废气</w:t>
            </w:r>
            <w:r>
              <w:rPr>
                <w:rFonts w:hint="default"/>
                <w:color w:val="000000" w:themeColor="text1"/>
                <w:sz w:val="24"/>
                <w14:textFill>
                  <w14:solidFill>
                    <w14:schemeClr w14:val="tx1"/>
                  </w14:solidFill>
                </w14:textFill>
              </w:rPr>
              <w:t>，施工扬尘主要来自挖掘扬尘</w:t>
            </w:r>
            <w:r>
              <w:rPr>
                <w:rFonts w:hint="eastAsia"/>
                <w:color w:val="000000" w:themeColor="text1"/>
                <w:sz w:val="24"/>
                <w14:textFill>
                  <w14:solidFill>
                    <w14:schemeClr w14:val="tx1"/>
                  </w14:solidFill>
                </w14:textFill>
              </w:rPr>
              <w:t>、建筑材料（白灰、水泥、砂子、石子、砖等）的现场搬运及堆放扬尘、施工垃圾的清理及堆放扬尘和</w:t>
            </w:r>
            <w:r>
              <w:rPr>
                <w:rFonts w:hint="default"/>
                <w:color w:val="000000" w:themeColor="text1"/>
                <w:sz w:val="24"/>
                <w14:textFill>
                  <w14:solidFill>
                    <w14:schemeClr w14:val="tx1"/>
                  </w14:solidFill>
                </w14:textFill>
              </w:rPr>
              <w:t>运输车辆造成的现场道路扬尘。</w:t>
            </w:r>
          </w:p>
          <w:p w14:paraId="2411CC4F">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由于施工扬尘量的大小与施工现场条件</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管理水平</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机械化程度及施工季节</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土质及天气等诸多因素有关，是一个复杂、较难定量的问题。施工扬尘主要发生在施工现场及运输扬尘，此种扬尘对施工区环境空气影响较突出，为控制及治理扬尘污染，最大程度减少扬尘对周围大气环境的影响，需采取污染防治措施。</w:t>
            </w:r>
          </w:p>
          <w:p w14:paraId="39DC39C9">
            <w:pPr>
              <w:pStyle w:val="74"/>
              <w:keepNext w:val="0"/>
              <w:keepLines w:val="0"/>
              <w:suppressLineNumbers w:val="0"/>
              <w:spacing w:before="0" w:beforeAutospacing="0" w:after="0" w:afterAutospacing="0"/>
              <w:ind w:left="0" w:right="0" w:firstLine="480"/>
              <w:rPr>
                <w:rFonts w:hint="default"/>
                <w:color w:val="000000" w:themeColor="text1"/>
                <w:sz w:val="24"/>
                <w:lang w:val="en-US" w:eastAsia="zh-CN"/>
                <w14:textFill>
                  <w14:solidFill>
                    <w14:schemeClr w14:val="tx1"/>
                  </w14:solidFill>
                </w14:textFill>
              </w:rPr>
            </w:pPr>
            <w:r>
              <w:rPr>
                <w:rFonts w:hint="default"/>
                <w:color w:val="000000" w:themeColor="text1"/>
                <w:sz w:val="24"/>
                <w:lang w:val="en-US" w:eastAsia="zh-CN"/>
                <w14:textFill>
                  <w14:solidFill>
                    <w14:schemeClr w14:val="tx1"/>
                  </w14:solidFill>
                </w14:textFill>
              </w:rPr>
              <w:t>施工废气主要为运输车队、施工机械（推土机、吊车等）等机动车辆运行时排放的尾气。废气中主要污染因子为NO</w:t>
            </w:r>
            <w:r>
              <w:rPr>
                <w:rFonts w:hint="default"/>
                <w:color w:val="000000" w:themeColor="text1"/>
                <w:sz w:val="24"/>
                <w:vertAlign w:val="subscript"/>
                <w:lang w:val="en-US" w:eastAsia="zh-CN"/>
                <w14:textFill>
                  <w14:solidFill>
                    <w14:schemeClr w14:val="tx1"/>
                  </w14:solidFill>
                </w14:textFill>
              </w:rPr>
              <w:t>X</w:t>
            </w:r>
            <w:r>
              <w:rPr>
                <w:rFonts w:hint="default"/>
                <w:color w:val="000000" w:themeColor="text1"/>
                <w:sz w:val="24"/>
                <w:lang w:val="en-US" w:eastAsia="zh-CN"/>
                <w14:textFill>
                  <w14:solidFill>
                    <w14:schemeClr w14:val="tx1"/>
                  </w14:solidFill>
                </w14:textFill>
              </w:rPr>
              <w:t>、CO等；运输车辆的废气是沿交通路线沿程排放，施工机械的废气基本是以点源形成排放。</w:t>
            </w:r>
          </w:p>
          <w:p w14:paraId="3DE53762">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rFonts w:hint="default"/>
                <w:b/>
                <w:bCs/>
                <w:color w:val="000000" w:themeColor="text1"/>
                <w:sz w:val="24"/>
                <w14:textFill>
                  <w14:solidFill>
                    <w14:schemeClr w14:val="tx1"/>
                  </w14:solidFill>
                </w14:textFill>
              </w:rPr>
              <w:t>影响分析</w:t>
            </w:r>
          </w:p>
          <w:p w14:paraId="558EB826">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施工扬尘产生量较小，且施工期较短，采取定期洒水，覆网防尘</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车辆冲洗</w:t>
            </w:r>
            <w:r>
              <w:rPr>
                <w:rFonts w:hint="default"/>
                <w:color w:val="000000" w:themeColor="text1"/>
                <w:sz w:val="24"/>
                <w14:textFill>
                  <w14:solidFill>
                    <w14:schemeClr w14:val="tx1"/>
                  </w14:solidFill>
                </w14:textFill>
              </w:rPr>
              <w:t>等环保措施，施工期扬尘可控制在合理范围内，对当地大气环境产生不利影响较小。</w:t>
            </w:r>
          </w:p>
          <w:p w14:paraId="1E9C0BFE">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施工废气</w:t>
            </w:r>
            <w:r>
              <w:rPr>
                <w:rFonts w:hint="default"/>
                <w:color w:val="000000" w:themeColor="text1"/>
                <w:sz w:val="24"/>
                <w:lang w:val="en-US" w:eastAsia="zh-CN"/>
                <w14:textFill>
                  <w14:solidFill>
                    <w14:schemeClr w14:val="tx1"/>
                  </w14:solidFill>
                </w14:textFill>
              </w:rPr>
              <w:t>由于项目施工区域地形开阔，空气流通性好，排放废气中的各项污染物能够很快扩散，不会引起局部大气环境质量的恶化，加之废气排放的不连续性和工程施工期有限，排放的废气对区域的环境空气质量影响较小。</w:t>
            </w:r>
          </w:p>
          <w:p w14:paraId="56E79CB6">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施工</w:t>
            </w:r>
            <w:r>
              <w:rPr>
                <w:rFonts w:hint="eastAsia"/>
                <w:color w:val="000000" w:themeColor="text1"/>
                <w:sz w:val="24"/>
                <w14:textFill>
                  <w14:solidFill>
                    <w14:schemeClr w14:val="tx1"/>
                  </w14:solidFill>
                </w14:textFill>
              </w:rPr>
              <w:t>单</w:t>
            </w:r>
            <w:r>
              <w:rPr>
                <w:rFonts w:hint="default"/>
                <w:color w:val="000000" w:themeColor="text1"/>
                <w:sz w:val="24"/>
                <w14:textFill>
                  <w14:solidFill>
                    <w14:schemeClr w14:val="tx1"/>
                  </w14:solidFill>
                </w14:textFill>
              </w:rPr>
              <w:t>位施工时，在认真落实上述扬尘污染防治措施的基础上，扬尘量可减少50~70%，施工扬尘满足《大气污染物综合排放标准》（GB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16297-1996）</w:t>
            </w:r>
            <w:r>
              <w:rPr>
                <w:rFonts w:hint="eastAsia"/>
                <w:color w:val="000000" w:themeColor="text1"/>
                <w:sz w:val="24"/>
                <w14:textFill>
                  <w14:solidFill>
                    <w14:schemeClr w14:val="tx1"/>
                  </w14:solidFill>
                </w14:textFill>
              </w:rPr>
              <w:t>中</w:t>
            </w:r>
            <w:r>
              <w:rPr>
                <w:rFonts w:hint="default"/>
                <w:color w:val="000000" w:themeColor="text1"/>
                <w:sz w:val="24"/>
                <w14:textFill>
                  <w14:solidFill>
                    <w14:schemeClr w14:val="tx1"/>
                  </w14:solidFill>
                </w14:textFill>
              </w:rPr>
              <w:t>无组织排放标准</w:t>
            </w:r>
            <w:r>
              <w:rPr>
                <w:rFonts w:hint="eastAsia"/>
                <w:color w:val="000000" w:themeColor="text1"/>
                <w:sz w:val="24"/>
                <w14:textFill>
                  <w14:solidFill>
                    <w14:schemeClr w14:val="tx1"/>
                  </w14:solidFill>
                </w14:textFill>
              </w:rPr>
              <w:t>限值要求</w:t>
            </w:r>
            <w:r>
              <w:rPr>
                <w:rFonts w:hint="default"/>
                <w:color w:val="000000" w:themeColor="text1"/>
                <w:sz w:val="24"/>
                <w14:textFill>
                  <w14:solidFill>
                    <w14:schemeClr w14:val="tx1"/>
                  </w14:solidFill>
                </w14:textFill>
              </w:rPr>
              <w:t>。施工扬尘对局部环境空气质量产生影响较为明显，但随施工期结束自行消失，不会造成长期影响。</w:t>
            </w:r>
          </w:p>
          <w:p w14:paraId="75E3DF95">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（三）</w:t>
            </w:r>
            <w:r>
              <w:rPr>
                <w:rFonts w:hint="default"/>
                <w:b/>
                <w:bCs/>
                <w:color w:val="000000" w:themeColor="text1"/>
                <w:sz w:val="24"/>
                <w14:textFill>
                  <w14:solidFill>
                    <w14:schemeClr w14:val="tx1"/>
                  </w14:solidFill>
                </w14:textFill>
              </w:rPr>
              <w:t>水</w:t>
            </w:r>
            <w:r>
              <w:rPr>
                <w:rFonts w:hint="eastAsia"/>
                <w:b/>
                <w:bCs/>
                <w:color w:val="000000" w:themeColor="text1"/>
                <w:sz w:val="24"/>
                <w14:textFill>
                  <w14:solidFill>
                    <w14:schemeClr w14:val="tx1"/>
                  </w14:solidFill>
                </w14:textFill>
              </w:rPr>
              <w:t>环境影响分析</w:t>
            </w:r>
          </w:p>
          <w:p w14:paraId="2B5472E6">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本期工程施工期生产废水主要为施工过程中车辆清洗废水。施工场地附近拟采取措施</w:t>
            </w:r>
            <w:r>
              <w:rPr>
                <w:rFonts w:hint="eastAsia"/>
                <w:color w:val="000000" w:themeColor="text1"/>
                <w:sz w:val="24"/>
                <w:lang w:eastAsia="zh-CN"/>
                <w14:textFill>
                  <w14:solidFill>
                    <w14:schemeClr w14:val="tx1"/>
                  </w14:solidFill>
                </w14:textFill>
              </w:rPr>
              <w:t>建设</w:t>
            </w:r>
            <w:r>
              <w:rPr>
                <w:rFonts w:hint="default"/>
                <w:color w:val="000000" w:themeColor="text1"/>
                <w:sz w:val="24"/>
                <w14:textFill>
                  <w14:solidFill>
                    <w14:schemeClr w14:val="tx1"/>
                  </w14:solidFill>
                </w14:textFill>
              </w:rPr>
              <w:t>沉淀池，将清洗废水收集后，经过沉淀处理后回用，不外排。</w:t>
            </w:r>
            <w:r>
              <w:rPr>
                <w:rFonts w:hint="eastAsia"/>
                <w:color w:val="000000" w:themeColor="text1"/>
                <w:sz w:val="24"/>
                <w:lang w:val="en-US" w:eastAsia="zh-CN"/>
                <w14:textFill>
                  <w14:solidFill>
                    <w14:schemeClr w14:val="tx1"/>
                  </w14:solidFill>
                </w14:textFill>
              </w:rPr>
              <w:t>此外，混凝土浇筑后，为使混凝土有良好硬化条件，进行混凝土养护措施，</w:t>
            </w:r>
            <w:r>
              <w:rPr>
                <w:rFonts w:hint="default"/>
                <w:color w:val="000000" w:themeColor="text1"/>
                <w:sz w:val="24"/>
                <w14:textFill>
                  <w14:solidFill>
                    <w14:schemeClr w14:val="tx1"/>
                  </w14:solidFill>
                </w14:textFill>
              </w:rPr>
              <w:t>混凝土养护废水在建筑物表面及附近硬化场地自然挥发。</w:t>
            </w:r>
          </w:p>
          <w:p w14:paraId="1A55525F">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施工期</w:t>
            </w:r>
            <w:r>
              <w:rPr>
                <w:rFonts w:hint="default"/>
                <w:color w:val="000000" w:themeColor="text1"/>
                <w:sz w:val="24"/>
                <w14:textFill>
                  <w14:solidFill>
                    <w14:schemeClr w14:val="tx1"/>
                  </w14:solidFill>
                </w14:textFill>
              </w:rPr>
              <w:t>生活污水</w:t>
            </w:r>
            <w:r>
              <w:rPr>
                <w:rFonts w:hint="eastAsia"/>
                <w:color w:val="000000" w:themeColor="text1"/>
                <w:sz w:val="24"/>
                <w:lang w:val="en-US" w:eastAsia="zh-CN"/>
                <w14:textFill>
                  <w14:solidFill>
                    <w14:schemeClr w14:val="tx1"/>
                  </w14:solidFill>
                </w14:textFill>
              </w:rPr>
              <w:t>主要来自施工工人生活，线路工程施工可</w:t>
            </w:r>
            <w:r>
              <w:rPr>
                <w:rFonts w:hint="eastAsia"/>
                <w:color w:val="000000" w:themeColor="text1"/>
                <w:sz w:val="24"/>
                <w14:textFill>
                  <w14:solidFill>
                    <w14:schemeClr w14:val="tx1"/>
                  </w14:solidFill>
                </w14:textFill>
              </w:rPr>
              <w:t>依托周边村庄</w:t>
            </w:r>
            <w:r>
              <w:rPr>
                <w:rFonts w:hint="eastAsia"/>
                <w:color w:val="000000" w:themeColor="text1"/>
                <w:sz w:val="24"/>
                <w:lang w:val="en-US" w:eastAsia="zh-CN"/>
                <w14:textFill>
                  <w14:solidFill>
                    <w14:schemeClr w14:val="tx1"/>
                  </w14:solidFill>
                </w14:textFill>
              </w:rPr>
              <w:t>现有旱厕，变电站工程施工可依托现有防渗化粪池</w:t>
            </w:r>
            <w:r>
              <w:rPr>
                <w:rFonts w:hint="default"/>
                <w:color w:val="000000" w:themeColor="text1"/>
                <w:sz w:val="24"/>
                <w14:textFill>
                  <w14:solidFill>
                    <w14:schemeClr w14:val="tx1"/>
                  </w14:solidFill>
                </w14:textFill>
              </w:rPr>
              <w:t>。因此，本期工程施工期产生的废水对周围环境造成的影响较小。</w:t>
            </w:r>
          </w:p>
          <w:p w14:paraId="59D3E35B">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（四）</w:t>
            </w:r>
            <w:r>
              <w:rPr>
                <w:rFonts w:hint="eastAsia"/>
                <w:b/>
                <w:bCs/>
                <w:color w:val="000000" w:themeColor="text1"/>
                <w:sz w:val="24"/>
                <w14:textFill>
                  <w14:solidFill>
                    <w14:schemeClr w14:val="tx1"/>
                  </w14:solidFill>
                </w14:textFill>
              </w:rPr>
              <w:t>声环境影响分析</w:t>
            </w:r>
          </w:p>
          <w:p w14:paraId="58B60433">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14:textFill>
                  <w14:solidFill>
                    <w14:schemeClr w14:val="tx1"/>
                  </w14:solidFill>
                </w14:textFill>
              </w:rPr>
              <w:t>污染源分析</w:t>
            </w:r>
          </w:p>
          <w:p w14:paraId="190490EB">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施工噪声主要为施工机械噪声</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挖土机、推土机、吊装机、打桩机、电焊机</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和交通噪声。</w:t>
            </w:r>
          </w:p>
          <w:p w14:paraId="5ACCDC96">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根据类比调查得知，在施工中施工阶段单一机械声源强度及不同距离噪声源见表</w:t>
            </w:r>
            <w:r>
              <w:rPr>
                <w:rFonts w:hint="eastAsia"/>
                <w:color w:val="000000" w:themeColor="text1"/>
                <w:sz w:val="24"/>
                <w14:textFill>
                  <w14:solidFill>
                    <w14:schemeClr w14:val="tx1"/>
                  </w14:solidFill>
                </w14:textFill>
              </w:rPr>
              <w:t>4</w:t>
            </w:r>
            <w:r>
              <w:rPr>
                <w:rFonts w:hint="default"/>
                <w:color w:val="000000" w:themeColor="text1"/>
                <w:sz w:val="24"/>
                <w14:textFill>
                  <w14:solidFill>
                    <w14:schemeClr w14:val="tx1"/>
                  </w14:solidFill>
                </w14:textFill>
              </w:rPr>
              <w:t>-1。</w:t>
            </w:r>
          </w:p>
          <w:p w14:paraId="45CDDD99">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4-1 施工阶段单一机械声源强度及不同距离声级</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324"/>
              <w:gridCol w:w="1177"/>
              <w:gridCol w:w="828"/>
              <w:gridCol w:w="928"/>
              <w:gridCol w:w="943"/>
              <w:gridCol w:w="903"/>
              <w:gridCol w:w="951"/>
            </w:tblGrid>
            <w:tr w14:paraId="0826B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764" w:type="pct"/>
                  <w:vMerge w:val="restart"/>
                  <w:vAlign w:val="center"/>
                </w:tcPr>
                <w:p w14:paraId="7576BE4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声源名称</w:t>
                  </w:r>
                </w:p>
              </w:tc>
              <w:tc>
                <w:tcPr>
                  <w:tcW w:w="795" w:type="pct"/>
                  <w:vAlign w:val="center"/>
                </w:tcPr>
                <w:p w14:paraId="225CA35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噪声强度dB</w:t>
                  </w:r>
                  <w:r>
                    <w:rPr>
                      <w:rFonts w:hint="eastAsia"/>
                      <w:color w:val="000000" w:themeColor="text1"/>
                      <w:szCs w:val="21"/>
                      <w14:textFill>
                        <w14:solidFill>
                          <w14:schemeClr w14:val="tx1"/>
                        </w14:solidFill>
                      </w14:textFill>
                    </w:rPr>
                    <w:t>（</w:t>
                  </w:r>
                  <w:r>
                    <w:rPr>
                      <w:rFonts w:hint="default"/>
                      <w:color w:val="000000" w:themeColor="text1"/>
                      <w:szCs w:val="21"/>
                      <w14:textFill>
                        <w14:solidFill>
                          <w14:schemeClr w14:val="tx1"/>
                        </w14:solidFill>
                      </w14:textFill>
                    </w:rPr>
                    <w:t>A</w:t>
                  </w:r>
                  <w:r>
                    <w:rPr>
                      <w:rFonts w:hint="eastAsia"/>
                      <w:color w:val="000000" w:themeColor="text1"/>
                      <w:szCs w:val="21"/>
                      <w14:textFill>
                        <w14:solidFill>
                          <w14:schemeClr w14:val="tx1"/>
                        </w14:solidFill>
                      </w14:textFill>
                    </w:rPr>
                    <w:t>）</w:t>
                  </w:r>
                </w:p>
              </w:tc>
              <w:tc>
                <w:tcPr>
                  <w:tcW w:w="3440" w:type="pct"/>
                  <w:gridSpan w:val="6"/>
                  <w:vAlign w:val="center"/>
                </w:tcPr>
                <w:p w14:paraId="1639B94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噪声级dB</w:t>
                  </w:r>
                  <w:r>
                    <w:rPr>
                      <w:rFonts w:hint="eastAsia"/>
                      <w:color w:val="000000" w:themeColor="text1"/>
                      <w:szCs w:val="21"/>
                      <w14:textFill>
                        <w14:solidFill>
                          <w14:schemeClr w14:val="tx1"/>
                        </w14:solidFill>
                      </w14:textFill>
                    </w:rPr>
                    <w:t>（</w:t>
                  </w:r>
                  <w:r>
                    <w:rPr>
                      <w:rFonts w:hint="default"/>
                      <w:color w:val="000000" w:themeColor="text1"/>
                      <w:szCs w:val="21"/>
                      <w14:textFill>
                        <w14:solidFill>
                          <w14:schemeClr w14:val="tx1"/>
                        </w14:solidFill>
                      </w14:textFill>
                    </w:rPr>
                    <w:t>A</w:t>
                  </w:r>
                  <w:r>
                    <w:rPr>
                      <w:rFonts w:hint="eastAsia"/>
                      <w:color w:val="000000" w:themeColor="text1"/>
                      <w:szCs w:val="21"/>
                      <w14:textFill>
                        <w14:solidFill>
                          <w14:schemeClr w14:val="tx1"/>
                        </w14:solidFill>
                      </w14:textFill>
                    </w:rPr>
                    <w:t>）</w:t>
                  </w:r>
                </w:p>
              </w:tc>
            </w:tr>
            <w:tr w14:paraId="0FA25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 w:hRule="atLeast"/>
                <w:jc w:val="center"/>
              </w:trPr>
              <w:tc>
                <w:tcPr>
                  <w:tcW w:w="764" w:type="pct"/>
                  <w:vMerge w:val="continue"/>
                  <w:vAlign w:val="center"/>
                </w:tcPr>
                <w:p w14:paraId="7E1CA1F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795" w:type="pct"/>
                  <w:vAlign w:val="center"/>
                </w:tcPr>
                <w:p w14:paraId="095843C8">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1m</w:t>
                  </w:r>
                </w:p>
              </w:tc>
              <w:tc>
                <w:tcPr>
                  <w:tcW w:w="707" w:type="pct"/>
                  <w:vAlign w:val="center"/>
                </w:tcPr>
                <w:p w14:paraId="55E1FD5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rFonts w:hint="default"/>
                      <w:color w:val="000000" w:themeColor="text1"/>
                      <w:szCs w:val="21"/>
                      <w14:textFill>
                        <w14:solidFill>
                          <w14:schemeClr w14:val="tx1"/>
                        </w14:solidFill>
                      </w14:textFill>
                    </w:rPr>
                    <w:t>0m</w:t>
                  </w:r>
                </w:p>
              </w:tc>
              <w:tc>
                <w:tcPr>
                  <w:tcW w:w="497" w:type="pct"/>
                  <w:vAlign w:val="center"/>
                </w:tcPr>
                <w:p w14:paraId="44133A2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20m</w:t>
                  </w:r>
                </w:p>
              </w:tc>
              <w:tc>
                <w:tcPr>
                  <w:tcW w:w="557" w:type="pct"/>
                  <w:vAlign w:val="center"/>
                </w:tcPr>
                <w:p w14:paraId="741044D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40m</w:t>
                  </w:r>
                </w:p>
              </w:tc>
              <w:tc>
                <w:tcPr>
                  <w:tcW w:w="566" w:type="pct"/>
                  <w:vAlign w:val="center"/>
                </w:tcPr>
                <w:p w14:paraId="63C1BF3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60m</w:t>
                  </w:r>
                </w:p>
              </w:tc>
              <w:tc>
                <w:tcPr>
                  <w:tcW w:w="542" w:type="pct"/>
                  <w:vAlign w:val="center"/>
                </w:tcPr>
                <w:p w14:paraId="2515C07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80m</w:t>
                  </w:r>
                </w:p>
              </w:tc>
              <w:tc>
                <w:tcPr>
                  <w:tcW w:w="568" w:type="pct"/>
                  <w:vAlign w:val="center"/>
                </w:tcPr>
                <w:p w14:paraId="6A830CF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100m</w:t>
                  </w:r>
                </w:p>
              </w:tc>
            </w:tr>
            <w:tr w14:paraId="7C9DF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764" w:type="pct"/>
                  <w:vAlign w:val="center"/>
                </w:tcPr>
                <w:p w14:paraId="6A139993">
                  <w:pPr>
                    <w:keepNext w:val="0"/>
                    <w:keepLines w:val="0"/>
                    <w:suppressLineNumbers w:val="0"/>
                    <w:spacing w:before="0" w:beforeAutospacing="0" w:after="0" w:afterAutospacing="0"/>
                    <w:ind w:left="0" w:right="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挖土机</w:t>
                  </w:r>
                </w:p>
              </w:tc>
              <w:tc>
                <w:tcPr>
                  <w:tcW w:w="795" w:type="pct"/>
                  <w:vAlign w:val="center"/>
                </w:tcPr>
                <w:p w14:paraId="7510E73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90</w:t>
                  </w:r>
                </w:p>
              </w:tc>
              <w:tc>
                <w:tcPr>
                  <w:tcW w:w="707" w:type="pct"/>
                  <w:vAlign w:val="center"/>
                </w:tcPr>
                <w:p w14:paraId="18FC7039">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70</w:t>
                  </w:r>
                </w:p>
              </w:tc>
              <w:tc>
                <w:tcPr>
                  <w:tcW w:w="497" w:type="pct"/>
                  <w:vAlign w:val="center"/>
                </w:tcPr>
                <w:p w14:paraId="5F62E66C">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64</w:t>
                  </w:r>
                </w:p>
              </w:tc>
              <w:tc>
                <w:tcPr>
                  <w:tcW w:w="557" w:type="pct"/>
                  <w:vAlign w:val="center"/>
                </w:tcPr>
                <w:p w14:paraId="270EFA2A">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58</w:t>
                  </w:r>
                </w:p>
              </w:tc>
              <w:tc>
                <w:tcPr>
                  <w:tcW w:w="566" w:type="pct"/>
                  <w:vAlign w:val="center"/>
                </w:tcPr>
                <w:p w14:paraId="30FA9BD2">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54</w:t>
                  </w:r>
                </w:p>
              </w:tc>
              <w:tc>
                <w:tcPr>
                  <w:tcW w:w="542" w:type="pct"/>
                  <w:vAlign w:val="center"/>
                </w:tcPr>
                <w:p w14:paraId="5B38EE48">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52</w:t>
                  </w:r>
                </w:p>
              </w:tc>
              <w:tc>
                <w:tcPr>
                  <w:tcW w:w="568" w:type="pct"/>
                  <w:vAlign w:val="center"/>
                </w:tcPr>
                <w:p w14:paraId="6449B69B">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r>
            <w:tr w14:paraId="229F5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764" w:type="pct"/>
                  <w:vAlign w:val="center"/>
                </w:tcPr>
                <w:p w14:paraId="6E6317D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推</w:t>
                  </w:r>
                  <w:r>
                    <w:rPr>
                      <w:rFonts w:hint="eastAsia"/>
                      <w:color w:val="000000" w:themeColor="text1"/>
                      <w:szCs w:val="21"/>
                      <w14:textFill>
                        <w14:solidFill>
                          <w14:schemeClr w14:val="tx1"/>
                        </w14:solidFill>
                      </w14:textFill>
                    </w:rPr>
                    <w:t>土</w:t>
                  </w:r>
                  <w:r>
                    <w:rPr>
                      <w:rFonts w:hint="default"/>
                      <w:color w:val="000000" w:themeColor="text1"/>
                      <w:szCs w:val="21"/>
                      <w14:textFill>
                        <w14:solidFill>
                          <w14:schemeClr w14:val="tx1"/>
                        </w14:solidFill>
                      </w14:textFill>
                    </w:rPr>
                    <w:cr/>
                  </w:r>
                  <w:r>
                    <w:rPr>
                      <w:rFonts w:hint="default"/>
                      <w:color w:val="000000" w:themeColor="text1"/>
                      <w:szCs w:val="21"/>
                      <w14:textFill>
                        <w14:solidFill>
                          <w14:schemeClr w14:val="tx1"/>
                        </w14:solidFill>
                      </w14:textFill>
                    </w:rPr>
                    <w:t>机</w:t>
                  </w:r>
                </w:p>
              </w:tc>
              <w:tc>
                <w:tcPr>
                  <w:tcW w:w="795" w:type="pct"/>
                  <w:vAlign w:val="center"/>
                </w:tcPr>
                <w:p w14:paraId="6FFCA6D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85</w:t>
                  </w:r>
                </w:p>
              </w:tc>
              <w:tc>
                <w:tcPr>
                  <w:tcW w:w="707" w:type="pct"/>
                  <w:vAlign w:val="center"/>
                </w:tcPr>
                <w:p w14:paraId="6B79A77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65</w:t>
                  </w:r>
                </w:p>
              </w:tc>
              <w:tc>
                <w:tcPr>
                  <w:tcW w:w="497" w:type="pct"/>
                  <w:vAlign w:val="center"/>
                </w:tcPr>
                <w:p w14:paraId="609F7A7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59</w:t>
                  </w:r>
                </w:p>
              </w:tc>
              <w:tc>
                <w:tcPr>
                  <w:tcW w:w="557" w:type="pct"/>
                  <w:vAlign w:val="center"/>
                </w:tcPr>
                <w:p w14:paraId="1755FEB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53</w:t>
                  </w:r>
                </w:p>
              </w:tc>
              <w:tc>
                <w:tcPr>
                  <w:tcW w:w="566" w:type="pct"/>
                  <w:vAlign w:val="center"/>
                </w:tcPr>
                <w:p w14:paraId="432F69D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49</w:t>
                  </w:r>
                </w:p>
              </w:tc>
              <w:tc>
                <w:tcPr>
                  <w:tcW w:w="542" w:type="pct"/>
                  <w:vAlign w:val="center"/>
                </w:tcPr>
                <w:p w14:paraId="7160E65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47</w:t>
                  </w:r>
                </w:p>
              </w:tc>
              <w:tc>
                <w:tcPr>
                  <w:tcW w:w="568" w:type="pct"/>
                  <w:vAlign w:val="center"/>
                </w:tcPr>
                <w:p w14:paraId="3CC5F5C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45</w:t>
                  </w:r>
                </w:p>
              </w:tc>
            </w:tr>
            <w:tr w14:paraId="32589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764" w:type="pct"/>
                  <w:vAlign w:val="center"/>
                </w:tcPr>
                <w:p w14:paraId="221BFBCD">
                  <w:pPr>
                    <w:keepNext w:val="0"/>
                    <w:keepLines w:val="0"/>
                    <w:suppressLineNumbers w:val="0"/>
                    <w:spacing w:before="0" w:beforeAutospacing="0" w:after="0" w:afterAutospacing="0"/>
                    <w:ind w:left="0" w:right="0"/>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吊装机</w:t>
                  </w:r>
                </w:p>
              </w:tc>
              <w:tc>
                <w:tcPr>
                  <w:tcW w:w="795" w:type="pct"/>
                  <w:vAlign w:val="center"/>
                </w:tcPr>
                <w:p w14:paraId="3B5B215E">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85</w:t>
                  </w:r>
                </w:p>
              </w:tc>
              <w:tc>
                <w:tcPr>
                  <w:tcW w:w="707" w:type="pct"/>
                  <w:vAlign w:val="center"/>
                </w:tcPr>
                <w:p w14:paraId="3C229366">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65</w:t>
                  </w:r>
                </w:p>
              </w:tc>
              <w:tc>
                <w:tcPr>
                  <w:tcW w:w="497" w:type="pct"/>
                  <w:vAlign w:val="center"/>
                </w:tcPr>
                <w:p w14:paraId="7B32A2FE">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59</w:t>
                  </w:r>
                </w:p>
              </w:tc>
              <w:tc>
                <w:tcPr>
                  <w:tcW w:w="557" w:type="pct"/>
                  <w:vAlign w:val="center"/>
                </w:tcPr>
                <w:p w14:paraId="6449B13F">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53</w:t>
                  </w:r>
                </w:p>
              </w:tc>
              <w:tc>
                <w:tcPr>
                  <w:tcW w:w="566" w:type="pct"/>
                  <w:vAlign w:val="center"/>
                </w:tcPr>
                <w:p w14:paraId="39981EAE">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49</w:t>
                  </w:r>
                </w:p>
              </w:tc>
              <w:tc>
                <w:tcPr>
                  <w:tcW w:w="542" w:type="pct"/>
                  <w:vAlign w:val="center"/>
                </w:tcPr>
                <w:p w14:paraId="002BC0D1">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47</w:t>
                  </w:r>
                </w:p>
              </w:tc>
              <w:tc>
                <w:tcPr>
                  <w:tcW w:w="568" w:type="pct"/>
                  <w:vAlign w:val="center"/>
                </w:tcPr>
                <w:p w14:paraId="37DA7254">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45</w:t>
                  </w:r>
                </w:p>
              </w:tc>
            </w:tr>
            <w:tr w14:paraId="793EC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764" w:type="pct"/>
                  <w:vAlign w:val="center"/>
                </w:tcPr>
                <w:p w14:paraId="2E5B54D6">
                  <w:pPr>
                    <w:keepNext w:val="0"/>
                    <w:keepLines w:val="0"/>
                    <w:suppressLineNumbers w:val="0"/>
                    <w:spacing w:before="0" w:beforeAutospacing="0" w:after="0" w:afterAutospacing="0"/>
                    <w:ind w:left="0" w:right="0"/>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打桩机</w:t>
                  </w:r>
                </w:p>
              </w:tc>
              <w:tc>
                <w:tcPr>
                  <w:tcW w:w="795" w:type="pct"/>
                  <w:vAlign w:val="center"/>
                </w:tcPr>
                <w:p w14:paraId="04914199">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90</w:t>
                  </w:r>
                </w:p>
              </w:tc>
              <w:tc>
                <w:tcPr>
                  <w:tcW w:w="707" w:type="pct"/>
                  <w:vAlign w:val="center"/>
                </w:tcPr>
                <w:p w14:paraId="7DADC9E2">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70</w:t>
                  </w:r>
                </w:p>
              </w:tc>
              <w:tc>
                <w:tcPr>
                  <w:tcW w:w="497" w:type="pct"/>
                  <w:vAlign w:val="center"/>
                </w:tcPr>
                <w:p w14:paraId="7FDA1E61">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64</w:t>
                  </w:r>
                </w:p>
              </w:tc>
              <w:tc>
                <w:tcPr>
                  <w:tcW w:w="557" w:type="pct"/>
                  <w:vAlign w:val="center"/>
                </w:tcPr>
                <w:p w14:paraId="211873D1">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58</w:t>
                  </w:r>
                </w:p>
              </w:tc>
              <w:tc>
                <w:tcPr>
                  <w:tcW w:w="566" w:type="pct"/>
                  <w:vAlign w:val="center"/>
                </w:tcPr>
                <w:p w14:paraId="220F5EBD">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54</w:t>
                  </w:r>
                </w:p>
              </w:tc>
              <w:tc>
                <w:tcPr>
                  <w:tcW w:w="542" w:type="pct"/>
                  <w:vAlign w:val="center"/>
                </w:tcPr>
                <w:p w14:paraId="6B1FA962">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52</w:t>
                  </w:r>
                </w:p>
              </w:tc>
              <w:tc>
                <w:tcPr>
                  <w:tcW w:w="568" w:type="pct"/>
                  <w:vAlign w:val="center"/>
                </w:tcPr>
                <w:p w14:paraId="494D4C8B">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r>
            <w:tr w14:paraId="76E71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764" w:type="pct"/>
                  <w:vAlign w:val="center"/>
                </w:tcPr>
                <w:p w14:paraId="1078B291">
                  <w:pPr>
                    <w:keepNext w:val="0"/>
                    <w:keepLines w:val="0"/>
                    <w:suppressLineNumbers w:val="0"/>
                    <w:spacing w:before="0" w:beforeAutospacing="0" w:after="0" w:afterAutospacing="0"/>
                    <w:ind w:left="0" w:right="0"/>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电焊机</w:t>
                  </w:r>
                </w:p>
              </w:tc>
              <w:tc>
                <w:tcPr>
                  <w:tcW w:w="795" w:type="pct"/>
                  <w:vAlign w:val="center"/>
                </w:tcPr>
                <w:p w14:paraId="217B5BFE">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90</w:t>
                  </w:r>
                </w:p>
              </w:tc>
              <w:tc>
                <w:tcPr>
                  <w:tcW w:w="707" w:type="pct"/>
                  <w:vAlign w:val="center"/>
                </w:tcPr>
                <w:p w14:paraId="4D929460">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70</w:t>
                  </w:r>
                </w:p>
              </w:tc>
              <w:tc>
                <w:tcPr>
                  <w:tcW w:w="497" w:type="pct"/>
                  <w:vAlign w:val="center"/>
                </w:tcPr>
                <w:p w14:paraId="10014B20">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64</w:t>
                  </w:r>
                </w:p>
              </w:tc>
              <w:tc>
                <w:tcPr>
                  <w:tcW w:w="557" w:type="pct"/>
                  <w:vAlign w:val="center"/>
                </w:tcPr>
                <w:p w14:paraId="78066D87">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58</w:t>
                  </w:r>
                </w:p>
              </w:tc>
              <w:tc>
                <w:tcPr>
                  <w:tcW w:w="566" w:type="pct"/>
                  <w:vAlign w:val="center"/>
                </w:tcPr>
                <w:p w14:paraId="093FC0DB">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54</w:t>
                  </w:r>
                </w:p>
              </w:tc>
              <w:tc>
                <w:tcPr>
                  <w:tcW w:w="542" w:type="pct"/>
                  <w:vAlign w:val="center"/>
                </w:tcPr>
                <w:p w14:paraId="1DC6DE09">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52</w:t>
                  </w:r>
                </w:p>
              </w:tc>
              <w:tc>
                <w:tcPr>
                  <w:tcW w:w="568" w:type="pct"/>
                  <w:vAlign w:val="center"/>
                </w:tcPr>
                <w:p w14:paraId="75CE6280">
                  <w:pPr>
                    <w:keepNext w:val="0"/>
                    <w:keepLines w:val="0"/>
                    <w:suppressLineNumbers w:val="0"/>
                    <w:spacing w:before="0" w:beforeAutospacing="0" w:after="0" w:afterAutospacing="0"/>
                    <w:ind w:left="0" w:right="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r>
          </w:tbl>
          <w:p w14:paraId="429C5410">
            <w:pPr>
              <w:pStyle w:val="74"/>
              <w:keepNext w:val="0"/>
              <w:keepLines w:val="0"/>
              <w:suppressLineNumbers w:val="0"/>
              <w:spacing w:before="0" w:beforeAutospacing="0" w:after="0" w:afterAutospacing="0"/>
              <w:ind w:left="0" w:right="0" w:firstLine="480"/>
              <w:jc w:val="both"/>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根据上表可知，单台施工机械昼间达标距离为10m，夜间达标距离为40m以外；多台施工机械昼间达标距离为20m以外，夜间达标距离为100m以外。变电站厂址周围声环境敏感目标离最近厂界距离为</w:t>
            </w:r>
            <w:r>
              <w:rPr>
                <w:rFonts w:hint="eastAsia"/>
                <w:color w:val="000000" w:themeColor="text1"/>
                <w:sz w:val="24"/>
                <w:lang w:val="en-US" w:eastAsia="zh-CN"/>
                <w14:textFill>
                  <w14:solidFill>
                    <w14:schemeClr w14:val="tx1"/>
                  </w14:solidFill>
                </w14:textFill>
              </w:rPr>
              <w:t>23</w:t>
            </w:r>
            <w:r>
              <w:rPr>
                <w:rFonts w:hint="default"/>
                <w:color w:val="000000" w:themeColor="text1"/>
                <w:sz w:val="24"/>
                <w14:textFill>
                  <w14:solidFill>
                    <w14:schemeClr w14:val="tx1"/>
                  </w14:solidFill>
                </w14:textFill>
              </w:rPr>
              <w:t>m，由于夜间禁止施工，因此，本项目施工时变电站施工场界噪声满足《建筑施工场界环境噪声排放标准》（GB 12523-2011）标准中规定的标准限值要求（昼间70dB（A）、夜间55dB（A））。</w:t>
            </w:r>
          </w:p>
          <w:p w14:paraId="5AAB5495">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14:textFill>
                  <w14:solidFill>
                    <w14:schemeClr w14:val="tx1"/>
                  </w14:solidFill>
                </w14:textFill>
              </w:rPr>
              <w:t>影响分析</w:t>
            </w:r>
          </w:p>
          <w:p w14:paraId="1E97EE21">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本工程中变电站及线路建设所在地也较为开阔，且夜间不施工。因此本项目施工期产生的噪声满足《建筑施工场界环境噪声排放标准》（GB 12523-2011）中限值要求，预计施工期不会对周围声环境产生明显不利影响。同时，施工活动是短暂的，施工噪声的影响将随着施工的结束而消失。</w:t>
            </w:r>
          </w:p>
          <w:p w14:paraId="53EEC0A9">
            <w:pPr>
              <w:pStyle w:val="74"/>
              <w:keepNext w:val="0"/>
              <w:keepLines w:val="0"/>
              <w:suppressLineNumbers w:val="0"/>
              <w:spacing w:before="0" w:beforeAutospacing="0" w:after="0" w:afterAutospacing="0"/>
              <w:ind w:left="0" w:right="0" w:firstLine="482"/>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（五）</w:t>
            </w:r>
            <w:r>
              <w:rPr>
                <w:rFonts w:hint="eastAsia"/>
                <w:b/>
                <w:bCs/>
                <w:color w:val="000000" w:themeColor="text1"/>
                <w:sz w:val="24"/>
                <w14:textFill>
                  <w14:solidFill>
                    <w14:schemeClr w14:val="tx1"/>
                  </w14:solidFill>
                </w14:textFill>
              </w:rPr>
              <w:t>固体废物环境影响分析</w:t>
            </w:r>
          </w:p>
          <w:p w14:paraId="5258D079">
            <w:pPr>
              <w:pStyle w:val="74"/>
              <w:keepNext w:val="0"/>
              <w:keepLines w:val="0"/>
              <w:suppressLineNumbers w:val="0"/>
              <w:spacing w:before="0" w:beforeAutospacing="0" w:after="0" w:afterAutospacing="0"/>
              <w:ind w:left="0" w:right="0" w:firstLine="482"/>
              <w:rPr>
                <w:rFonts w:hint="default"/>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1、</w:t>
            </w:r>
            <w:r>
              <w:rPr>
                <w:rFonts w:hint="eastAsia"/>
                <w:b/>
                <w:color w:val="000000" w:themeColor="text1"/>
                <w:sz w:val="24"/>
                <w14:textFill>
                  <w14:solidFill>
                    <w14:schemeClr w14:val="tx1"/>
                  </w14:solidFill>
                </w14:textFill>
              </w:rPr>
              <w:t>污染源分析</w:t>
            </w:r>
          </w:p>
          <w:p w14:paraId="0090C8D2">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施工期的固体废物主要包括施工中产生的建筑垃圾和施工人员产生的生活垃圾。</w:t>
            </w:r>
          </w:p>
          <w:p w14:paraId="45437C65">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建筑垃圾来自变电站工程建筑物和</w:t>
            </w:r>
            <w:r>
              <w:rPr>
                <w:rFonts w:hint="eastAsia"/>
                <w:color w:val="000000" w:themeColor="text1"/>
                <w:sz w:val="24"/>
                <w:lang w:val="en-US" w:eastAsia="zh-CN"/>
                <w14:textFill>
                  <w14:solidFill>
                    <w14:schemeClr w14:val="tx1"/>
                  </w14:solidFill>
                </w14:textFill>
              </w:rPr>
              <w:t>拆除</w:t>
            </w:r>
            <w:r>
              <w:rPr>
                <w:rFonts w:hint="default"/>
                <w:color w:val="000000" w:themeColor="text1"/>
                <w:sz w:val="24"/>
                <w14:textFill>
                  <w14:solidFill>
                    <w14:schemeClr w14:val="tx1"/>
                  </w14:solidFill>
                </w14:textFill>
              </w:rPr>
              <w:t>塔基</w:t>
            </w:r>
            <w:r>
              <w:rPr>
                <w:rFonts w:hint="eastAsia"/>
                <w:color w:val="000000" w:themeColor="text1"/>
                <w:sz w:val="24"/>
                <w:lang w:val="en-US" w:eastAsia="zh-CN"/>
                <w14:textFill>
                  <w14:solidFill>
                    <w14:schemeClr w14:val="tx1"/>
                  </w14:solidFill>
                </w14:textFill>
              </w:rPr>
              <w:t>废料</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新建塔基</w:t>
            </w:r>
            <w:r>
              <w:rPr>
                <w:rFonts w:hint="default"/>
                <w:color w:val="000000" w:themeColor="text1"/>
                <w:sz w:val="24"/>
                <w14:textFill>
                  <w14:solidFill>
                    <w14:schemeClr w14:val="tx1"/>
                  </w14:solidFill>
                </w14:textFill>
              </w:rPr>
              <w:t>施工时产生的施工废料，以及电气设备安装的包装材料；变电站和输电线路施工中地势较为平坦，施工期涉及基坑开挖，本项目中开挖后的</w:t>
            </w:r>
            <w:r>
              <w:rPr>
                <w:rFonts w:hint="eastAsia"/>
                <w:color w:val="000000" w:themeColor="text1"/>
                <w:sz w:val="24"/>
                <w:lang w:val="en-US" w:eastAsia="zh-CN"/>
                <w14:textFill>
                  <w14:solidFill>
                    <w14:schemeClr w14:val="tx1"/>
                  </w14:solidFill>
                </w14:textFill>
              </w:rPr>
              <w:t>土方基本用于回填，无弃土</w:t>
            </w:r>
            <w:r>
              <w:rPr>
                <w:rFonts w:hint="default"/>
                <w:color w:val="000000" w:themeColor="text1"/>
                <w:sz w:val="24"/>
                <w14:textFill>
                  <w14:solidFill>
                    <w14:schemeClr w14:val="tx1"/>
                  </w14:solidFill>
                </w14:textFill>
              </w:rPr>
              <w:t>。</w:t>
            </w:r>
          </w:p>
          <w:p w14:paraId="3D504E4D">
            <w:pPr>
              <w:pStyle w:val="74"/>
              <w:keepNext w:val="0"/>
              <w:keepLines w:val="0"/>
              <w:suppressLineNumbers w:val="0"/>
              <w:spacing w:before="0" w:beforeAutospacing="0" w:after="0" w:afterAutospacing="0"/>
              <w:ind w:left="0" w:right="0" w:firstLine="482"/>
              <w:rPr>
                <w:rFonts w:hint="default"/>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2、</w:t>
            </w:r>
            <w:r>
              <w:rPr>
                <w:rFonts w:hint="eastAsia"/>
                <w:b/>
                <w:color w:val="000000" w:themeColor="text1"/>
                <w:sz w:val="24"/>
                <w14:textFill>
                  <w14:solidFill>
                    <w14:schemeClr w14:val="tx1"/>
                  </w14:solidFill>
                </w14:textFill>
              </w:rPr>
              <w:t>影响分析</w:t>
            </w:r>
          </w:p>
          <w:p w14:paraId="23479973">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ascii="Times New Roman" w:hAnsi="Times New Roman" w:eastAsia="宋体" w:cs="Times New Roman"/>
                <w:bCs/>
                <w:color w:val="000000" w:themeColor="text1"/>
                <w:sz w:val="24"/>
                <w14:textFill>
                  <w14:solidFill>
                    <w14:schemeClr w14:val="tx1"/>
                  </w14:solidFill>
                </w14:textFill>
              </w:rPr>
              <w:t>本项目建筑垃圾集中收集，可回收物品由建设单位统一分类回收，不可回收物品集中后统一运至市政指定地点处理；生活垃圾集中收集后</w:t>
            </w:r>
            <w:r>
              <w:rPr>
                <w:rFonts w:hint="eastAsia" w:ascii="Times New Roman" w:hAnsi="Times New Roman" w:eastAsia="宋体" w:cs="Times New Roman"/>
                <w:bCs/>
                <w:color w:val="000000" w:themeColor="text1"/>
                <w:sz w:val="24"/>
                <w:lang w:val="en-US" w:eastAsia="zh-CN"/>
                <w14:textFill>
                  <w14:solidFill>
                    <w14:schemeClr w14:val="tx1"/>
                  </w14:solidFill>
                </w14:textFill>
              </w:rPr>
              <w:t>委托环卫部门定期清运</w:t>
            </w:r>
            <w:r>
              <w:rPr>
                <w:rFonts w:hint="eastAsia" w:ascii="Times New Roman" w:hAnsi="Times New Roman" w:eastAsia="宋体" w:cs="Times New Roman"/>
                <w:bCs/>
                <w:color w:val="000000" w:themeColor="text1"/>
                <w:sz w:val="24"/>
                <w14:textFill>
                  <w14:solidFill>
                    <w14:schemeClr w14:val="tx1"/>
                  </w14:solidFill>
                </w14:textFill>
              </w:rPr>
              <w:t>，因此固体废弃物在采取上述措施后</w:t>
            </w:r>
            <w:r>
              <w:rPr>
                <w:rFonts w:hint="default" w:ascii="Times New Roman" w:hAnsi="Times New Roman" w:eastAsia="宋体" w:cs="Times New Roman"/>
                <w:bCs/>
                <w:color w:val="000000" w:themeColor="text1"/>
                <w:sz w:val="24"/>
                <w14:textFill>
                  <w14:solidFill>
                    <w14:schemeClr w14:val="tx1"/>
                  </w14:solidFill>
                </w14:textFill>
              </w:rPr>
              <w:t>对</w:t>
            </w:r>
            <w:r>
              <w:rPr>
                <w:rFonts w:hint="eastAsia" w:ascii="Times New Roman" w:hAnsi="Times New Roman" w:eastAsia="宋体" w:cs="Times New Roman"/>
                <w:bCs/>
                <w:color w:val="000000" w:themeColor="text1"/>
                <w:sz w:val="24"/>
                <w14:textFill>
                  <w14:solidFill>
                    <w14:schemeClr w14:val="tx1"/>
                  </w14:solidFill>
                </w14:textFill>
              </w:rPr>
              <w:t>周围</w:t>
            </w:r>
            <w:r>
              <w:rPr>
                <w:rFonts w:hint="default" w:ascii="Times New Roman" w:hAnsi="Times New Roman" w:eastAsia="宋体" w:cs="Times New Roman"/>
                <w:bCs/>
                <w:color w:val="000000" w:themeColor="text1"/>
                <w:sz w:val="24"/>
                <w14:textFill>
                  <w14:solidFill>
                    <w14:schemeClr w14:val="tx1"/>
                  </w14:solidFill>
                </w14:textFill>
              </w:rPr>
              <w:t>环境影响不大。</w:t>
            </w:r>
          </w:p>
        </w:tc>
      </w:tr>
      <w:tr w14:paraId="2D0170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1085" w:type="dxa"/>
            <w:tcMar>
              <w:left w:w="28" w:type="dxa"/>
              <w:right w:w="28" w:type="dxa"/>
            </w:tcMar>
            <w:vAlign w:val="center"/>
          </w:tcPr>
          <w:p w14:paraId="02B66F41">
            <w:pPr>
              <w:pStyle w:val="25"/>
              <w:keepNext w:val="0"/>
              <w:keepLines w:val="0"/>
              <w:suppressLineNumbers w:val="0"/>
              <w:adjustRightInd w:val="0"/>
              <w:snapToGrid w:val="0"/>
              <w:spacing w:before="0" w:beforeAutospacing="0" w:after="0" w:afterAutospacing="0"/>
              <w:ind w:left="0" w:right="0"/>
              <w:jc w:val="center"/>
              <w:rPr>
                <w:rFonts w:hint="default" w:cs="宋体"/>
                <w:bCs/>
                <w:color w:val="000000" w:themeColor="text1"/>
                <w:kern w:val="2"/>
                <w14:textFill>
                  <w14:solidFill>
                    <w14:schemeClr w14:val="tx1"/>
                  </w14:solidFill>
                </w14:textFill>
              </w:rPr>
            </w:pPr>
            <w:r>
              <w:rPr>
                <w:rFonts w:hint="eastAsia" w:cs="宋体"/>
                <w:bCs/>
                <w:color w:val="000000" w:themeColor="text1"/>
                <w:spacing w:val="10"/>
                <w:kern w:val="2"/>
                <w14:textFill>
                  <w14:solidFill>
                    <w14:schemeClr w14:val="tx1"/>
                  </w14:solidFill>
                </w14:textFill>
              </w:rPr>
              <w:t>运营期生态环境影响分析</w:t>
            </w:r>
          </w:p>
        </w:tc>
        <w:tc>
          <w:tcPr>
            <w:tcW w:w="8554" w:type="dxa"/>
          </w:tcPr>
          <w:p w14:paraId="360D114A">
            <w:pPr>
              <w:pStyle w:val="74"/>
              <w:keepNext w:val="0"/>
              <w:keepLines w:val="0"/>
              <w:suppressLineNumbers w:val="0"/>
              <w:spacing w:before="0" w:beforeAutospacing="0" w:after="0" w:afterAutospacing="0"/>
              <w:ind w:left="0" w:right="0" w:firstLine="482"/>
              <w:rPr>
                <w:rFonts w:hint="default"/>
                <w:color w:val="000000" w:themeColor="text1"/>
                <w14:textFill>
                  <w14:solidFill>
                    <w14:schemeClr w14:val="tx1"/>
                  </w14:solidFill>
                </w14:textFill>
              </w:rPr>
            </w:pPr>
            <w:r>
              <w:rPr>
                <w:rFonts w:hint="eastAsia"/>
                <w:b/>
                <w:bCs/>
                <w:color w:val="000000" w:themeColor="text1"/>
                <w:sz w:val="24"/>
                <w:lang w:val="en-US" w:eastAsia="zh-CN"/>
                <w14:textFill>
                  <w14:solidFill>
                    <w14:schemeClr w14:val="tx1"/>
                  </w14:solidFill>
                </w14:textFill>
              </w:rPr>
              <w:t>1、</w:t>
            </w:r>
            <w:r>
              <w:rPr>
                <w:rFonts w:hint="default"/>
                <w:b/>
                <w:bCs/>
                <w:color w:val="000000" w:themeColor="text1"/>
                <w:sz w:val="24"/>
                <w14:textFill>
                  <w14:solidFill>
                    <w14:schemeClr w14:val="tx1"/>
                  </w14:solidFill>
                </w14:textFill>
              </w:rPr>
              <w:t>电磁环境影响分析</w:t>
            </w:r>
          </w:p>
          <w:p w14:paraId="5F24416E">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1.1</w:t>
            </w:r>
            <w:r>
              <w:rPr>
                <w:rFonts w:hint="default"/>
                <w:b/>
                <w:bCs/>
                <w:color w:val="000000" w:themeColor="text1"/>
                <w:sz w:val="24"/>
                <w:highlight w:val="none"/>
                <w14:textFill>
                  <w14:solidFill>
                    <w14:schemeClr w14:val="tx1"/>
                  </w14:solidFill>
                </w14:textFill>
              </w:rPr>
              <w:t xml:space="preserve"> </w:t>
            </w:r>
            <w:r>
              <w:rPr>
                <w:rFonts w:hint="eastAsia"/>
                <w:b/>
                <w:bCs/>
                <w:color w:val="000000" w:themeColor="text1"/>
                <w:sz w:val="24"/>
                <w:highlight w:val="none"/>
                <w:lang w:val="en-US" w:eastAsia="zh-CN"/>
                <w14:textFill>
                  <w14:solidFill>
                    <w14:schemeClr w14:val="tx1"/>
                  </w14:solidFill>
                </w14:textFill>
              </w:rPr>
              <w:t>变电站</w:t>
            </w:r>
            <w:r>
              <w:rPr>
                <w:rFonts w:hint="default"/>
                <w:b/>
                <w:bCs/>
                <w:color w:val="000000" w:themeColor="text1"/>
                <w:sz w:val="24"/>
                <w:highlight w:val="none"/>
                <w14:textFill>
                  <w14:solidFill>
                    <w14:schemeClr w14:val="tx1"/>
                  </w14:solidFill>
                </w14:textFill>
              </w:rPr>
              <w:t>电磁环境影响分析</w:t>
            </w:r>
          </w:p>
          <w:p w14:paraId="7EF2F530">
            <w:pPr>
              <w:pStyle w:val="65"/>
              <w:keepNext w:val="0"/>
              <w:keepLines w:val="0"/>
              <w:suppressLineNumbers w:val="0"/>
              <w:tabs>
                <w:tab w:val="right" w:leader="dot" w:pos="8296"/>
              </w:tabs>
              <w:adjustRightInd w:val="0"/>
              <w:snapToGrid w:val="0"/>
              <w:spacing w:before="0" w:beforeAutospacing="0" w:after="0" w:afterAutospacing="0"/>
              <w:ind w:left="0" w:leftChars="0" w:right="0" w:firstLine="480"/>
              <w:rPr>
                <w:rFonts w:hint="default" w:ascii="Times New Roman" w:hAnsi="Times New Roman" w:eastAsia="宋体" w:cs="Times New Roman"/>
                <w:b w:val="0"/>
                <w:bCs/>
                <w:color w:val="000000" w:themeColor="text1"/>
                <w:highlight w:val="none"/>
                <w14:textFill>
                  <w14:solidFill>
                    <w14:schemeClr w14:val="tx1"/>
                  </w14:solidFill>
                </w14:textFill>
              </w:rPr>
            </w:pPr>
            <w:r>
              <w:rPr>
                <w:rFonts w:hint="eastAsia" w:ascii="Times New Roman" w:hAnsi="Times New Roman" w:eastAsia="宋体" w:cs="Times New Roman"/>
                <w:b w:val="0"/>
                <w:bCs/>
                <w:color w:val="000000" w:themeColor="text1"/>
                <w:highlight w:val="none"/>
                <w14:textFill>
                  <w14:solidFill>
                    <w14:schemeClr w14:val="tx1"/>
                  </w14:solidFill>
                </w14:textFill>
              </w:rPr>
              <w:t>本项目</w:t>
            </w:r>
            <w:r>
              <w:rPr>
                <w:rFonts w:hint="default" w:ascii="Times New Roman" w:hAnsi="Times New Roman" w:eastAsia="宋体" w:cs="Times New Roman"/>
                <w:b w:val="0"/>
                <w:bCs/>
                <w:color w:val="000000" w:themeColor="text1"/>
                <w:highlight w:val="none"/>
                <w14:textFill>
                  <w14:solidFill>
                    <w14:schemeClr w14:val="tx1"/>
                  </w14:solidFill>
                </w14:textFill>
              </w:rPr>
              <w:t>运营期</w:t>
            </w:r>
            <w:r>
              <w:rPr>
                <w:rFonts w:hint="eastAsia" w:cs="Times New Roman"/>
                <w:b w:val="0"/>
                <w:bCs/>
                <w:color w:val="000000" w:themeColor="text1"/>
                <w:highlight w:val="none"/>
                <w:lang w:val="en-US" w:eastAsia="zh-CN"/>
                <w14:textFill>
                  <w14:solidFill>
                    <w14:schemeClr w14:val="tx1"/>
                  </w14:solidFill>
                </w14:textFill>
              </w:rPr>
              <w:t>变电站</w:t>
            </w:r>
            <w:r>
              <w:rPr>
                <w:rFonts w:hint="default" w:ascii="Times New Roman" w:hAnsi="Times New Roman" w:eastAsia="宋体" w:cs="Times New Roman"/>
                <w:b w:val="0"/>
                <w:bCs/>
                <w:color w:val="000000" w:themeColor="text1"/>
                <w:highlight w:val="none"/>
                <w14:textFill>
                  <w14:solidFill>
                    <w14:schemeClr w14:val="tx1"/>
                  </w14:solidFill>
                </w14:textFill>
              </w:rPr>
              <w:t>电磁环境采用类比的方法进行分析，本期工程类比</w:t>
            </w:r>
            <w:r>
              <w:rPr>
                <w:rFonts w:hint="eastAsia" w:ascii="Times New Roman" w:hAnsi="Times New Roman" w:eastAsia="宋体" w:cs="Times New Roman"/>
                <w:b w:val="0"/>
                <w:bCs/>
                <w:color w:val="000000" w:themeColor="text1"/>
                <w:highlight w:val="none"/>
                <w14:textFill>
                  <w14:solidFill>
                    <w14:schemeClr w14:val="tx1"/>
                  </w14:solidFill>
                </w14:textFill>
              </w:rPr>
              <w:t>同电压等级</w:t>
            </w:r>
            <w:r>
              <w:rPr>
                <w:rFonts w:hint="eastAsia" w:cs="Times New Roman"/>
                <w:b w:val="0"/>
                <w:bCs/>
                <w:color w:val="000000" w:themeColor="text1"/>
                <w:highlight w:val="none"/>
                <w:lang w:val="en-US" w:eastAsia="zh-CN"/>
                <w14:textFill>
                  <w14:solidFill>
                    <w14:schemeClr w14:val="tx1"/>
                  </w14:solidFill>
                </w14:textFill>
              </w:rPr>
              <w:t>秦相</w:t>
            </w:r>
            <w:r>
              <w:rPr>
                <w:rFonts w:hint="eastAsia" w:ascii="Times New Roman" w:hAnsi="Times New Roman" w:eastAsia="宋体" w:cs="Times New Roman"/>
                <w:b w:val="0"/>
                <w:bCs/>
                <w:color w:val="000000" w:themeColor="text1"/>
                <w:highlight w:val="none"/>
                <w14:textFill>
                  <w14:solidFill>
                    <w14:schemeClr w14:val="tx1"/>
                  </w14:solidFill>
                </w14:textFill>
              </w:rPr>
              <w:t>220kV变电站</w:t>
            </w:r>
            <w:r>
              <w:rPr>
                <w:rFonts w:hint="default" w:ascii="Times New Roman" w:hAnsi="Times New Roman" w:eastAsia="宋体" w:cs="Times New Roman"/>
                <w:b w:val="0"/>
                <w:bCs/>
                <w:color w:val="000000" w:themeColor="text1"/>
                <w:highlight w:val="none"/>
                <w14:textFill>
                  <w14:solidFill>
                    <w14:schemeClr w14:val="tx1"/>
                  </w14:solidFill>
                </w14:textFill>
              </w:rPr>
              <w:t>。根据类比分析可知，</w:t>
            </w:r>
            <w:r>
              <w:rPr>
                <w:rFonts w:hint="eastAsia" w:ascii="Times New Roman" w:hAnsi="Times New Roman" w:eastAsia="宋体" w:cs="Times New Roman"/>
                <w:b w:val="0"/>
                <w:bCs/>
                <w:color w:val="000000" w:themeColor="text1"/>
                <w:highlight w:val="none"/>
                <w14:textFill>
                  <w14:solidFill>
                    <w14:schemeClr w14:val="tx1"/>
                  </w14:solidFill>
                </w14:textFill>
              </w:rPr>
              <w:t>该站</w:t>
            </w:r>
            <w:r>
              <w:rPr>
                <w:rFonts w:hint="default" w:ascii="Times New Roman" w:hAnsi="Times New Roman" w:eastAsia="宋体" w:cs="Times New Roman"/>
                <w:b w:val="0"/>
                <w:bCs/>
                <w:color w:val="000000" w:themeColor="text1"/>
                <w:highlight w:val="none"/>
                <w14:textFill>
                  <w14:solidFill>
                    <w14:schemeClr w14:val="tx1"/>
                  </w14:solidFill>
                </w14:textFill>
              </w:rPr>
              <w:t>电压等级、主变容量和本</w:t>
            </w:r>
            <w:r>
              <w:rPr>
                <w:rFonts w:hint="eastAsia" w:ascii="Times New Roman" w:hAnsi="Times New Roman" w:eastAsia="宋体" w:cs="Times New Roman"/>
                <w:b w:val="0"/>
                <w:bCs/>
                <w:color w:val="000000" w:themeColor="text1"/>
                <w:highlight w:val="none"/>
                <w14:textFill>
                  <w14:solidFill>
                    <w14:schemeClr w14:val="tx1"/>
                  </w14:solidFill>
                </w14:textFill>
              </w:rPr>
              <w:t>项目</w:t>
            </w:r>
            <w:r>
              <w:rPr>
                <w:rFonts w:hint="default" w:ascii="Times New Roman" w:hAnsi="Times New Roman" w:eastAsia="宋体" w:cs="Times New Roman"/>
                <w:b w:val="0"/>
                <w:bCs/>
                <w:color w:val="000000" w:themeColor="text1"/>
                <w:highlight w:val="none"/>
                <w14:textFill>
                  <w14:solidFill>
                    <w14:schemeClr w14:val="tx1"/>
                  </w14:solidFill>
                </w14:textFill>
              </w:rPr>
              <w:t>相</w:t>
            </w:r>
            <w:r>
              <w:rPr>
                <w:rFonts w:hint="eastAsia" w:ascii="Times New Roman" w:hAnsi="Times New Roman" w:eastAsia="宋体" w:cs="Times New Roman"/>
                <w:b w:val="0"/>
                <w:bCs/>
                <w:color w:val="000000" w:themeColor="text1"/>
                <w:highlight w:val="none"/>
                <w14:textFill>
                  <w14:solidFill>
                    <w14:schemeClr w14:val="tx1"/>
                  </w14:solidFill>
                </w14:textFill>
              </w:rPr>
              <w:t>似</w:t>
            </w:r>
            <w:r>
              <w:rPr>
                <w:rFonts w:hint="default" w:ascii="Times New Roman" w:hAnsi="Times New Roman" w:eastAsia="宋体" w:cs="Times New Roman"/>
                <w:b w:val="0"/>
                <w:bCs/>
                <w:color w:val="000000" w:themeColor="text1"/>
                <w:highlight w:val="none"/>
                <w14:textFill>
                  <w14:solidFill>
                    <w14:schemeClr w14:val="tx1"/>
                  </w14:solidFill>
                </w14:textFill>
              </w:rPr>
              <w:t>，设备参数指标、布局形式和本项目相似，具有较好的可比性。</w:t>
            </w:r>
          </w:p>
          <w:p w14:paraId="7B3F08C8">
            <w:pPr>
              <w:pStyle w:val="65"/>
              <w:keepNext w:val="0"/>
              <w:keepLines w:val="0"/>
              <w:suppressLineNumbers w:val="0"/>
              <w:tabs>
                <w:tab w:val="right" w:leader="dot" w:pos="8296"/>
              </w:tabs>
              <w:adjustRightInd w:val="0"/>
              <w:snapToGrid w:val="0"/>
              <w:spacing w:before="0" w:beforeAutospacing="0" w:after="0" w:afterAutospacing="0"/>
              <w:ind w:left="0" w:leftChars="0" w:right="0" w:firstLine="480"/>
              <w:rPr>
                <w:rFonts w:hint="eastAsia"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highlight w:val="none"/>
                <w14:textFill>
                  <w14:solidFill>
                    <w14:schemeClr w14:val="tx1"/>
                  </w14:solidFill>
                </w14:textFill>
              </w:rPr>
              <w:t>经预测</w:t>
            </w:r>
            <w:r>
              <w:rPr>
                <w:rFonts w:hint="default" w:ascii="Times New Roman" w:hAnsi="Times New Roman" w:eastAsia="宋体" w:cs="Times New Roman"/>
                <w:b w:val="0"/>
                <w:bCs/>
                <w:color w:val="000000" w:themeColor="text1"/>
                <w:highlight w:val="none"/>
                <w14:textFill>
                  <w14:solidFill>
                    <w14:schemeClr w14:val="tx1"/>
                  </w14:solidFill>
                </w14:textFill>
              </w:rPr>
              <w:t>本项目</w:t>
            </w:r>
            <w:r>
              <w:rPr>
                <w:rFonts w:hint="eastAsia" w:cs="Times New Roman"/>
                <w:b w:val="0"/>
                <w:bCs/>
                <w:color w:val="000000" w:themeColor="text1"/>
                <w:highlight w:val="none"/>
                <w:lang w:val="en-US" w:eastAsia="zh-CN"/>
                <w14:textFill>
                  <w14:solidFill>
                    <w14:schemeClr w14:val="tx1"/>
                  </w14:solidFill>
                </w14:textFill>
              </w:rPr>
              <w:t>变电站</w:t>
            </w:r>
            <w:r>
              <w:rPr>
                <w:rFonts w:hint="default" w:ascii="Times New Roman" w:hAnsi="Times New Roman" w:eastAsia="宋体" w:cs="Times New Roman"/>
                <w:b w:val="0"/>
                <w:bCs/>
                <w:color w:val="000000" w:themeColor="text1"/>
                <w:highlight w:val="none"/>
                <w14:textFill>
                  <w14:solidFill>
                    <w14:schemeClr w14:val="tx1"/>
                  </w14:solidFill>
                </w14:textFill>
              </w:rPr>
              <w:t>扩建后工频电场、工频磁感应强度</w:t>
            </w:r>
            <w:r>
              <w:rPr>
                <w:rFonts w:hint="eastAsia" w:ascii="Times New Roman" w:hAnsi="Times New Roman" w:eastAsia="宋体" w:cs="Times New Roman"/>
                <w:b w:val="0"/>
                <w:bCs/>
                <w:color w:val="000000" w:themeColor="text1"/>
                <w:highlight w:val="none"/>
                <w14:textFill>
                  <w14:solidFill>
                    <w14:schemeClr w14:val="tx1"/>
                  </w14:solidFill>
                </w14:textFill>
              </w:rPr>
              <w:t>可满足</w:t>
            </w:r>
            <w:r>
              <w:rPr>
                <w:rFonts w:hint="default" w:ascii="Times New Roman" w:hAnsi="Times New Roman" w:eastAsia="宋体" w:cs="Times New Roman"/>
                <w:b w:val="0"/>
                <w:bCs/>
                <w:color w:val="000000" w:themeColor="text1"/>
                <w:highlight w:val="none"/>
                <w14:textFill>
                  <w14:solidFill>
                    <w14:schemeClr w14:val="tx1"/>
                  </w14:solidFill>
                </w14:textFill>
              </w:rPr>
              <w:t>《电磁环境控制限值》（GB 8702-2014）</w:t>
            </w:r>
            <w:r>
              <w:rPr>
                <w:rFonts w:hint="eastAsia" w:ascii="Times New Roman" w:hAnsi="Times New Roman" w:eastAsia="宋体" w:cs="Times New Roman"/>
                <w:b w:val="0"/>
                <w:bCs/>
                <w:color w:val="000000" w:themeColor="text1"/>
                <w:highlight w:val="none"/>
                <w14:textFill>
                  <w14:solidFill>
                    <w14:schemeClr w14:val="tx1"/>
                  </w14:solidFill>
                </w14:textFill>
              </w:rPr>
              <w:t>中标准限值要求</w:t>
            </w:r>
            <w:r>
              <w:rPr>
                <w:rFonts w:hint="default" w:ascii="Times New Roman" w:hAnsi="Times New Roman" w:eastAsia="宋体" w:cs="Times New Roman"/>
                <w:b w:val="0"/>
                <w:bCs/>
                <w:color w:val="000000" w:themeColor="text1"/>
                <w:highlight w:val="none"/>
                <w14:textFill>
                  <w14:solidFill>
                    <w14:schemeClr w14:val="tx1"/>
                  </w14:solidFill>
                </w14:textFill>
              </w:rPr>
              <w:t>。</w:t>
            </w:r>
            <w:r>
              <w:rPr>
                <w:rFonts w:hint="eastAsia" w:ascii="Times New Roman" w:hAnsi="Times New Roman" w:eastAsia="宋体" w:cs="Times New Roman"/>
                <w:b w:val="0"/>
                <w:bCs/>
                <w:color w:val="000000" w:themeColor="text1"/>
                <w:highlight w:val="none"/>
                <w14:textFill>
                  <w14:solidFill>
                    <w14:schemeClr w14:val="tx1"/>
                  </w14:solidFill>
                </w14:textFill>
              </w:rPr>
              <w:t>电磁环境影响分析详见“专题1 电磁环境影响分析”。</w:t>
            </w:r>
          </w:p>
          <w:p w14:paraId="28958954">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1.2</w:t>
            </w:r>
            <w:r>
              <w:rPr>
                <w:rFonts w:hint="default"/>
                <w:b/>
                <w:bCs/>
                <w:color w:val="000000" w:themeColor="text1"/>
                <w:sz w:val="24"/>
                <w14:textFill>
                  <w14:solidFill>
                    <w14:schemeClr w14:val="tx1"/>
                  </w14:solidFill>
                </w14:textFill>
              </w:rPr>
              <w:t xml:space="preserve"> 输电线路电磁环境影响分析</w:t>
            </w:r>
          </w:p>
          <w:p w14:paraId="2225D3D9">
            <w:pPr>
              <w:pStyle w:val="65"/>
              <w:keepNext w:val="0"/>
              <w:keepLines w:val="0"/>
              <w:suppressLineNumbers w:val="0"/>
              <w:tabs>
                <w:tab w:val="right" w:leader="dot" w:pos="8296"/>
              </w:tabs>
              <w:adjustRightInd w:val="0"/>
              <w:snapToGrid w:val="0"/>
              <w:spacing w:before="0" w:beforeAutospacing="0" w:after="0" w:afterAutospacing="0"/>
              <w:ind w:left="0" w:leftChars="0" w:right="0" w:firstLine="48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架空连线等这些暴露中空间的带电导体上的电荷和导体内的电流</w:t>
            </w:r>
            <w:r>
              <w:rPr>
                <w:rFonts w:hint="eastAsia"/>
                <w:b w:val="0"/>
                <w:bCs/>
                <w:color w:val="000000" w:themeColor="text1"/>
                <w14:textFill>
                  <w14:solidFill>
                    <w14:schemeClr w14:val="tx1"/>
                  </w14:solidFill>
                </w14:textFill>
              </w:rPr>
              <w:t>会</w:t>
            </w:r>
            <w:r>
              <w:rPr>
                <w:rFonts w:hint="default"/>
                <w:b w:val="0"/>
                <w:bCs/>
                <w:color w:val="000000" w:themeColor="text1"/>
                <w14:textFill>
                  <w14:solidFill>
                    <w14:schemeClr w14:val="tx1"/>
                  </w14:solidFill>
                </w14:textFill>
              </w:rPr>
              <w:t>产生工频电场和工频磁场。</w:t>
            </w:r>
          </w:p>
          <w:p w14:paraId="41B07830">
            <w:pPr>
              <w:pStyle w:val="65"/>
              <w:keepNext w:val="0"/>
              <w:keepLines w:val="0"/>
              <w:suppressLineNumbers w:val="0"/>
              <w:tabs>
                <w:tab w:val="right" w:leader="dot" w:pos="8296"/>
              </w:tabs>
              <w:adjustRightInd w:val="0"/>
              <w:snapToGrid w:val="0"/>
              <w:spacing w:before="0" w:beforeAutospacing="0" w:after="0" w:afterAutospacing="0"/>
              <w:ind w:left="0" w:leftChars="0" w:right="0" w:firstLine="480"/>
              <w:rPr>
                <w:rFonts w:hint="default"/>
                <w:color w:val="000000" w:themeColor="text1"/>
                <w14:textFill>
                  <w14:solidFill>
                    <w14:schemeClr w14:val="tx1"/>
                  </w14:solidFill>
                </w14:textFill>
              </w:rPr>
            </w:pPr>
            <w:r>
              <w:rPr>
                <w:rFonts w:hint="eastAsia"/>
                <w:b w:val="0"/>
                <w:bCs/>
                <w:color w:val="000000" w:themeColor="text1"/>
                <w14:textFill>
                  <w14:solidFill>
                    <w14:schemeClr w14:val="tx1"/>
                  </w14:solidFill>
                </w14:textFill>
              </w:rPr>
              <w:t>本项目</w:t>
            </w:r>
            <w:r>
              <w:rPr>
                <w:rFonts w:hint="default"/>
                <w:b w:val="0"/>
                <w:bCs/>
                <w:color w:val="000000" w:themeColor="text1"/>
                <w14:textFill>
                  <w14:solidFill>
                    <w14:schemeClr w14:val="tx1"/>
                  </w14:solidFill>
                </w14:textFill>
              </w:rPr>
              <w:t>运营期</w:t>
            </w:r>
            <w:r>
              <w:rPr>
                <w:rFonts w:hint="eastAsia"/>
                <w:b w:val="0"/>
                <w:bCs/>
                <w:color w:val="000000" w:themeColor="text1"/>
                <w14:textFill>
                  <w14:solidFill>
                    <w14:schemeClr w14:val="tx1"/>
                  </w14:solidFill>
                </w14:textFill>
              </w:rPr>
              <w:t>输电线路</w:t>
            </w:r>
            <w:r>
              <w:rPr>
                <w:rFonts w:hint="default"/>
                <w:b w:val="0"/>
                <w:bCs/>
                <w:color w:val="000000" w:themeColor="text1"/>
                <w14:textFill>
                  <w14:solidFill>
                    <w14:schemeClr w14:val="tx1"/>
                  </w14:solidFill>
                </w14:textFill>
              </w:rPr>
              <w:t>电磁环境采</w:t>
            </w:r>
            <w:r>
              <w:rPr>
                <w:rFonts w:hint="eastAsia"/>
                <w:b w:val="0"/>
                <w:bCs/>
                <w:color w:val="000000" w:themeColor="text1"/>
                <w14:textFill>
                  <w14:solidFill>
                    <w14:schemeClr w14:val="tx1"/>
                  </w14:solidFill>
                </w14:textFill>
              </w:rPr>
              <w:t>用预测</w:t>
            </w:r>
            <w:r>
              <w:rPr>
                <w:rFonts w:hint="default"/>
                <w:b w:val="0"/>
                <w:bCs/>
                <w:color w:val="000000" w:themeColor="text1"/>
                <w14:textFill>
                  <w14:solidFill>
                    <w14:schemeClr w14:val="tx1"/>
                  </w14:solidFill>
                </w14:textFill>
              </w:rPr>
              <w:t>的方法进行分析，</w:t>
            </w:r>
            <w:r>
              <w:rPr>
                <w:rFonts w:hint="eastAsia"/>
                <w:b w:val="0"/>
                <w:bCs/>
                <w:color w:val="000000" w:themeColor="text1"/>
                <w14:textFill>
                  <w14:solidFill>
                    <w14:schemeClr w14:val="tx1"/>
                  </w14:solidFill>
                </w14:textFill>
              </w:rPr>
              <w:t>本次预测</w:t>
            </w:r>
            <w:r>
              <w:rPr>
                <w:rFonts w:hint="default"/>
                <w:b w:val="0"/>
                <w:bCs/>
                <w:color w:val="000000" w:themeColor="text1"/>
                <w14:textFill>
                  <w14:solidFill>
                    <w14:schemeClr w14:val="tx1"/>
                  </w14:solidFill>
                </w14:textFill>
              </w:rPr>
              <w:t>采用《环境影响评价技术导则 输变电》（HJ 24-2020）附录中规定的计算模式</w:t>
            </w:r>
            <w:r>
              <w:rPr>
                <w:rFonts w:hint="eastAsia"/>
                <w:b w:val="0"/>
                <w:bCs/>
                <w:color w:val="000000" w:themeColor="text1"/>
                <w14:textFill>
                  <w14:solidFill>
                    <w14:schemeClr w14:val="tx1"/>
                  </w14:solidFill>
                </w14:textFill>
              </w:rPr>
              <w:t>，</w:t>
            </w:r>
            <w:r>
              <w:rPr>
                <w:rFonts w:hint="default"/>
                <w:b w:val="0"/>
                <w:bCs/>
                <w:color w:val="000000" w:themeColor="text1"/>
                <w14:textFill>
                  <w14:solidFill>
                    <w14:schemeClr w14:val="tx1"/>
                  </w14:solidFill>
                </w14:textFill>
              </w:rPr>
              <w:t>根据本工程输电线路的架线型式、架设高度、线距和导线结构等参数计算输电线路形成的工频电场、工频磁感应强度。</w:t>
            </w:r>
          </w:p>
          <w:p w14:paraId="5B5EA788">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w:t>
            </w:r>
            <w:r>
              <w:rPr>
                <w:rFonts w:hint="default"/>
                <w:color w:val="000000" w:themeColor="text1"/>
                <w:sz w:val="24"/>
                <w14:textFill>
                  <w14:solidFill>
                    <w14:schemeClr w14:val="tx1"/>
                  </w14:solidFill>
                </w14:textFill>
              </w:rPr>
              <w:t>理论计算预测</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本项目输电线路建成后</w:t>
            </w:r>
            <w:r>
              <w:rPr>
                <w:rFonts w:hint="eastAsia"/>
                <w:color w:val="000000" w:themeColor="text1"/>
                <w:sz w:val="24"/>
                <w:lang w:val="en-US" w:eastAsia="zh-CN"/>
                <w14:textFill>
                  <w14:solidFill>
                    <w14:schemeClr w14:val="tx1"/>
                  </w14:solidFill>
                </w14:textFill>
              </w:rPr>
              <w:t>沿线的</w:t>
            </w:r>
            <w:r>
              <w:rPr>
                <w:rFonts w:hint="default"/>
                <w:color w:val="000000" w:themeColor="text1"/>
                <w:sz w:val="24"/>
                <w14:textFill>
                  <w14:solidFill>
                    <w14:schemeClr w14:val="tx1"/>
                  </w14:solidFill>
                </w14:textFill>
              </w:rPr>
              <w:t>工频电场、工频磁感应强度</w:t>
            </w:r>
            <w:r>
              <w:rPr>
                <w:rFonts w:hint="eastAsia"/>
                <w:color w:val="000000" w:themeColor="text1"/>
                <w:sz w:val="24"/>
                <w14:textFill>
                  <w14:solidFill>
                    <w14:schemeClr w14:val="tx1"/>
                  </w14:solidFill>
                </w14:textFill>
              </w:rPr>
              <w:t>预测</w:t>
            </w:r>
            <w:r>
              <w:rPr>
                <w:rFonts w:hint="default"/>
                <w:color w:val="000000" w:themeColor="text1"/>
                <w:sz w:val="24"/>
                <w14:textFill>
                  <w14:solidFill>
                    <w14:schemeClr w14:val="tx1"/>
                  </w14:solidFill>
                </w14:textFill>
              </w:rPr>
              <w:t>均低于《电磁环境控制限值》（GB 8702-2014）中的规定，本项目输电线路的建设对周围电磁环境影响较小。</w:t>
            </w:r>
          </w:p>
          <w:p w14:paraId="2D1D634D">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电磁环境影响分析详</w:t>
            </w:r>
            <w:r>
              <w:rPr>
                <w:rFonts w:hint="default"/>
                <w:color w:val="000000" w:themeColor="text1"/>
                <w:sz w:val="24"/>
                <w14:textFill>
                  <w14:solidFill>
                    <w14:schemeClr w14:val="tx1"/>
                  </w14:solidFill>
                </w14:textFill>
              </w:rPr>
              <w:t>见</w:t>
            </w:r>
            <w:r>
              <w:rPr>
                <w:rFonts w:hint="eastAsia"/>
                <w:color w:val="000000" w:themeColor="text1"/>
                <w:sz w:val="24"/>
                <w14:textFill>
                  <w14:solidFill>
                    <w14:schemeClr w14:val="tx1"/>
                  </w14:solidFill>
                </w14:textFill>
              </w:rPr>
              <w:t>“专题</w:t>
            </w:r>
            <w:r>
              <w:rPr>
                <w:rFonts w:hint="default"/>
                <w:color w:val="000000" w:themeColor="text1"/>
                <w:sz w:val="24"/>
                <w14:textFill>
                  <w14:solidFill>
                    <w14:schemeClr w14:val="tx1"/>
                  </w14:solidFill>
                </w14:textFill>
              </w:rPr>
              <w:t>1电磁环境影响专题评价</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w:t>
            </w:r>
          </w:p>
          <w:p w14:paraId="0910052F">
            <w:pPr>
              <w:keepNext w:val="0"/>
              <w:keepLines w:val="0"/>
              <w:suppressLineNumbers w:val="0"/>
              <w:adjustRightInd w:val="0"/>
              <w:snapToGrid w:val="0"/>
              <w:spacing w:before="0" w:beforeAutospacing="0" w:after="0" w:afterAutospacing="0" w:line="360" w:lineRule="auto"/>
              <w:ind w:left="0" w:right="0" w:firstLine="482" w:firstLineChars="200"/>
              <w:rPr>
                <w:rFonts w:hint="default"/>
                <w:bCs/>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2</w:t>
            </w:r>
            <w:r>
              <w:rPr>
                <w:rFonts w:hint="default"/>
                <w:b/>
                <w:color w:val="000000" w:themeColor="text1"/>
                <w:sz w:val="24"/>
                <w14:textFill>
                  <w14:solidFill>
                    <w14:schemeClr w14:val="tx1"/>
                  </w14:solidFill>
                </w14:textFill>
              </w:rPr>
              <w:t>、声环境影响分析</w:t>
            </w:r>
          </w:p>
          <w:p w14:paraId="3E48408C">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2.1 变电站</w:t>
            </w:r>
            <w:r>
              <w:rPr>
                <w:rFonts w:hint="default"/>
                <w:b/>
                <w:bCs/>
                <w:color w:val="000000" w:themeColor="text1"/>
                <w:sz w:val="24"/>
                <w14:textFill>
                  <w14:solidFill>
                    <w14:schemeClr w14:val="tx1"/>
                  </w14:solidFill>
                </w14:textFill>
              </w:rPr>
              <w:t>声环境影响分析</w:t>
            </w:r>
          </w:p>
          <w:p w14:paraId="5D6574D0">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220kV</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恒山</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变电站噪声源主要为现有主变、SVG等设备噪声。根据《环境影响评价技术导则 输变电》（HJ 24-2020）8.2.2.1预测模式：进行厂界声环境影响评价时，新建建设项目以噪声贡献值作为评价量；改扩建建设项目以噪声贡献值与受到现有建设项目影响的厂界噪声值叠加后的预测值作为评价量。本期220kV</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恒山</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变电站仅扩建</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2</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回220kV出线间隔，原有电气设备平面布置不变，本期无新增产噪设备，故本期扩建工程对声环境的影响较小，本次扩建间隔竣工后，变电站厂界噪声基本保持现状，根据现状监测，变电站满足《工业企业厂界环境噪声排放标准》（GB 12348-2008）中2类标准限值要求。因此，本次变电站间隔扩建工程不会对周边声环境产生影响。</w:t>
            </w:r>
          </w:p>
          <w:p w14:paraId="2984C6CE">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 xml:space="preserve">2.2 </w:t>
            </w:r>
            <w:r>
              <w:rPr>
                <w:rFonts w:hint="default"/>
                <w:b/>
                <w:bCs/>
                <w:color w:val="000000" w:themeColor="text1"/>
                <w:sz w:val="24"/>
                <w:highlight w:val="none"/>
                <w14:textFill>
                  <w14:solidFill>
                    <w14:schemeClr w14:val="tx1"/>
                  </w14:solidFill>
                </w14:textFill>
              </w:rPr>
              <w:t>输电线路声环境影响分析</w:t>
            </w:r>
          </w:p>
          <w:p w14:paraId="6F0CE743">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000000" w:themeColor="text1"/>
                <w:sz w:val="24"/>
                <w:highlight w:val="none"/>
                <w14:textFill>
                  <w14:solidFill>
                    <w14:schemeClr w14:val="tx1"/>
                  </w14:solidFill>
                </w14:textFill>
              </w:rPr>
            </w:pPr>
            <w:r>
              <w:rPr>
                <w:rFonts w:hint="default"/>
                <w:bCs/>
                <w:color w:val="000000" w:themeColor="text1"/>
                <w:sz w:val="24"/>
                <w:highlight w:val="none"/>
                <w14:textFill>
                  <w14:solidFill>
                    <w14:schemeClr w14:val="tx1"/>
                  </w14:solidFill>
                </w14:textFill>
              </w:rPr>
              <w:t>输电线路下的可听噪声主要是由导线表面在空气中的局部放电产生的。一般而言，在干燥天气条件下，导线通常运行在电晕起始电压水平以下，线路上只有很少的电晕源，因而不可能造成很大的可听噪声。但在潮湿和雨天天气条件下，由于水滴在导线表面或附近的存在使局部电场强度增加，从而产生电晕放电，电晕放电的效应之一则产生了线路的可听噪声。</w:t>
            </w:r>
          </w:p>
          <w:p w14:paraId="6D398DF4">
            <w:pPr>
              <w:keepNext w:val="0"/>
              <w:keepLines w:val="0"/>
              <w:suppressLineNumbers w:val="0"/>
              <w:shd w:val="clear" w:color="auto" w:fill="auto"/>
              <w:adjustRightInd w:val="0"/>
              <w:snapToGrid w:val="0"/>
              <w:spacing w:before="0" w:beforeAutospacing="0" w:after="0" w:afterAutospacing="0" w:line="360" w:lineRule="auto"/>
              <w:ind w:left="0" w:right="0" w:firstLine="480" w:firstLineChars="200"/>
              <w:rPr>
                <w:rFonts w:hint="eastAsia"/>
                <w:bCs/>
                <w:color w:val="000000" w:themeColor="text1"/>
                <w:sz w:val="24"/>
                <w:highlight w:val="none"/>
                <w14:textFill>
                  <w14:solidFill>
                    <w14:schemeClr w14:val="tx1"/>
                  </w14:solidFill>
                </w14:textFill>
              </w:rPr>
            </w:pPr>
            <w:r>
              <w:rPr>
                <w:rFonts w:hint="default"/>
                <w:bCs/>
                <w:color w:val="000000" w:themeColor="text1"/>
                <w:sz w:val="24"/>
                <w14:textFill>
                  <w14:solidFill>
                    <w14:schemeClr w14:val="tx1"/>
                  </w14:solidFill>
                </w14:textFill>
              </w:rPr>
              <w:t>本次线路</w:t>
            </w:r>
            <w:r>
              <w:rPr>
                <w:rFonts w:hint="eastAsia"/>
                <w:bCs/>
                <w:color w:val="000000" w:themeColor="text1"/>
                <w:sz w:val="24"/>
                <w:lang w:val="en-US" w:eastAsia="zh-CN"/>
                <w14:textFill>
                  <w14:solidFill>
                    <w14:schemeClr w14:val="tx1"/>
                  </w14:solidFill>
                </w14:textFill>
              </w:rPr>
              <w:t>新建</w:t>
            </w:r>
            <w:r>
              <w:rPr>
                <w:rFonts w:hint="default"/>
                <w:bCs/>
                <w:color w:val="000000" w:themeColor="text1"/>
                <w:sz w:val="24"/>
                <w14:textFill>
                  <w14:solidFill>
                    <w14:schemeClr w14:val="tx1"/>
                  </w14:solidFill>
                </w14:textFill>
              </w:rPr>
              <w:t>工程</w:t>
            </w:r>
            <w:r>
              <w:rPr>
                <w:rFonts w:hint="eastAsia"/>
                <w:bCs/>
                <w:color w:val="000000" w:themeColor="text1"/>
                <w:sz w:val="24"/>
                <w:lang w:val="en-US" w:eastAsia="zh-CN"/>
                <w14:textFill>
                  <w14:solidFill>
                    <w14:schemeClr w14:val="tx1"/>
                  </w14:solidFill>
                </w14:textFill>
              </w:rPr>
              <w:t>及改造工程</w:t>
            </w:r>
            <w:r>
              <w:rPr>
                <w:rFonts w:hint="default"/>
                <w:bCs/>
                <w:color w:val="000000" w:themeColor="text1"/>
                <w:sz w:val="24"/>
                <w14:textFill>
                  <w14:solidFill>
                    <w14:schemeClr w14:val="tx1"/>
                  </w14:solidFill>
                </w14:textFill>
              </w:rPr>
              <w:t>类比电压等级相同的</w:t>
            </w:r>
            <w:r>
              <w:rPr>
                <w:rFonts w:hint="default"/>
                <w:bCs/>
                <w:color w:val="FF0000"/>
                <w:sz w:val="24"/>
              </w:rPr>
              <w:t>《黑龙江大庆林源220kV输变电工程竣工环保验收调查表》</w:t>
            </w:r>
            <w:r>
              <w:rPr>
                <w:rFonts w:hint="eastAsia"/>
                <w:bCs/>
                <w:color w:val="FF0000"/>
                <w:sz w:val="24"/>
              </w:rPr>
              <w:t>，</w:t>
            </w:r>
            <w:r>
              <w:rPr>
                <w:rFonts w:hint="eastAsia"/>
                <w:bCs/>
                <w:color w:val="000000" w:themeColor="text1"/>
                <w:sz w:val="24"/>
                <w14:textFill>
                  <w14:solidFill>
                    <w14:schemeClr w14:val="tx1"/>
                  </w14:solidFill>
                </w14:textFill>
              </w:rPr>
              <w:t>该线路与本工程线路电压等级、排列方式、架线方式相同，且最低相导线对地距离</w:t>
            </w:r>
            <w:r>
              <w:rPr>
                <w:rFonts w:hint="eastAsia"/>
                <w:bCs/>
                <w:color w:val="000000" w:themeColor="text1"/>
                <w:sz w:val="24"/>
                <w:lang w:val="en-US" w:eastAsia="zh-CN"/>
                <w14:textFill>
                  <w14:solidFill>
                    <w14:schemeClr w14:val="tx1"/>
                  </w14:solidFill>
                </w14:textFill>
              </w:rPr>
              <w:t>与</w:t>
            </w:r>
            <w:r>
              <w:rPr>
                <w:rFonts w:hint="eastAsia"/>
                <w:bCs/>
                <w:color w:val="000000" w:themeColor="text1"/>
                <w:sz w:val="24"/>
                <w14:textFill>
                  <w14:solidFill>
                    <w14:schemeClr w14:val="tx1"/>
                  </w14:solidFill>
                </w14:textFill>
              </w:rPr>
              <w:t>本工程</w:t>
            </w:r>
            <w:r>
              <w:rPr>
                <w:rFonts w:hint="eastAsia"/>
                <w:bCs/>
                <w:color w:val="000000" w:themeColor="text1"/>
                <w:sz w:val="24"/>
                <w:lang w:val="en-US" w:eastAsia="zh-CN"/>
                <w14:textFill>
                  <w14:solidFill>
                    <w14:schemeClr w14:val="tx1"/>
                  </w14:solidFill>
                </w14:textFill>
              </w:rPr>
              <w:t>新建工程一致</w:t>
            </w:r>
            <w:r>
              <w:rPr>
                <w:rFonts w:hint="eastAsia"/>
                <w:bCs/>
                <w:color w:val="000000" w:themeColor="text1"/>
                <w:sz w:val="24"/>
                <w14:textFill>
                  <w14:solidFill>
                    <w14:schemeClr w14:val="tx1"/>
                  </w14:solidFill>
                </w14:textFill>
              </w:rPr>
              <w:t>，</w:t>
            </w:r>
            <w:r>
              <w:rPr>
                <w:rFonts w:hint="default"/>
                <w:bCs/>
                <w:color w:val="000000" w:themeColor="text1"/>
                <w:sz w:val="24"/>
                <w14:textFill>
                  <w14:solidFill>
                    <w14:schemeClr w14:val="tx1"/>
                  </w14:solidFill>
                </w14:textFill>
              </w:rPr>
              <w:t>具有较好的可比性。类比工程对照表见</w:t>
            </w:r>
            <w:r>
              <w:rPr>
                <w:rFonts w:hint="eastAsia"/>
                <w:bCs/>
                <w:color w:val="000000" w:themeColor="text1"/>
                <w:sz w:val="24"/>
                <w14:textFill>
                  <w14:solidFill>
                    <w14:schemeClr w14:val="tx1"/>
                  </w14:solidFill>
                </w14:textFill>
              </w:rPr>
              <w:t>下表。</w:t>
            </w:r>
          </w:p>
          <w:p w14:paraId="2AC0A105">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FF0000"/>
                <w:sz w:val="24"/>
                <w:szCs w:val="24"/>
              </w:rPr>
            </w:pPr>
            <w:r>
              <w:rPr>
                <w:rFonts w:hint="eastAsia"/>
                <w:b/>
                <w:bCs/>
                <w:color w:val="FF0000"/>
                <w:sz w:val="24"/>
                <w:szCs w:val="24"/>
              </w:rPr>
              <w:t>表 4-</w:t>
            </w:r>
            <w:r>
              <w:rPr>
                <w:rFonts w:hint="eastAsia"/>
                <w:b/>
                <w:bCs/>
                <w:color w:val="FF0000"/>
                <w:sz w:val="24"/>
                <w:szCs w:val="24"/>
                <w:lang w:val="en-US" w:eastAsia="zh-CN"/>
              </w:rPr>
              <w:t>2</w:t>
            </w:r>
            <w:r>
              <w:rPr>
                <w:rFonts w:hint="eastAsia"/>
                <w:b/>
                <w:bCs/>
                <w:color w:val="FF0000"/>
                <w:sz w:val="24"/>
                <w:szCs w:val="24"/>
              </w:rPr>
              <w:t xml:space="preserve"> 输电线路类比工程对照表</w:t>
            </w:r>
          </w:p>
          <w:tbl>
            <w:tblPr>
              <w:tblStyle w:val="31"/>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2967"/>
              <w:gridCol w:w="2795"/>
              <w:gridCol w:w="1339"/>
            </w:tblGrid>
            <w:tr w14:paraId="7A416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dxa"/>
                  <w:vAlign w:val="center"/>
                </w:tcPr>
                <w:p w14:paraId="5FB100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工程名称</w:t>
                  </w:r>
                </w:p>
              </w:tc>
              <w:tc>
                <w:tcPr>
                  <w:tcW w:w="2967" w:type="dxa"/>
                  <w:vAlign w:val="center"/>
                </w:tcPr>
                <w:p w14:paraId="172FA5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类比项目</w:t>
                  </w:r>
                </w:p>
              </w:tc>
              <w:tc>
                <w:tcPr>
                  <w:tcW w:w="2795" w:type="dxa"/>
                  <w:vAlign w:val="center"/>
                </w:tcPr>
                <w:p w14:paraId="2D5E53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本项目新建、改造线路</w:t>
                  </w:r>
                </w:p>
              </w:tc>
              <w:tc>
                <w:tcPr>
                  <w:tcW w:w="1339" w:type="dxa"/>
                  <w:vAlign w:val="center"/>
                </w:tcPr>
                <w:p w14:paraId="0F683F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lang w:val="en-US" w:eastAsia="zh-CN"/>
                    </w:rPr>
                  </w:pPr>
                  <w:r>
                    <w:rPr>
                      <w:rFonts w:hint="eastAsia"/>
                      <w:color w:val="FF0000"/>
                      <w:sz w:val="21"/>
                      <w:szCs w:val="21"/>
                      <w:lang w:val="en-US" w:eastAsia="zh-CN"/>
                    </w:rPr>
                    <w:t>备注</w:t>
                  </w:r>
                </w:p>
              </w:tc>
            </w:tr>
            <w:tr w14:paraId="4FD68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dxa"/>
                  <w:vAlign w:val="center"/>
                </w:tcPr>
                <w:p w14:paraId="5C0F60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电压等级</w:t>
                  </w:r>
                </w:p>
              </w:tc>
              <w:tc>
                <w:tcPr>
                  <w:tcW w:w="2967" w:type="dxa"/>
                  <w:vAlign w:val="center"/>
                </w:tcPr>
                <w:p w14:paraId="07859F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rPr>
                  </w:pPr>
                  <w:r>
                    <w:rPr>
                      <w:rFonts w:hint="eastAsia"/>
                      <w:color w:val="FF0000"/>
                      <w:sz w:val="21"/>
                      <w:szCs w:val="21"/>
                      <w:lang w:val="en-US" w:eastAsia="zh-CN"/>
                    </w:rPr>
                    <w:t>22</w:t>
                  </w:r>
                  <w:r>
                    <w:rPr>
                      <w:rFonts w:hint="eastAsia"/>
                      <w:color w:val="FF0000"/>
                      <w:sz w:val="21"/>
                      <w:szCs w:val="21"/>
                    </w:rPr>
                    <w:t>0kV</w:t>
                  </w:r>
                </w:p>
              </w:tc>
              <w:tc>
                <w:tcPr>
                  <w:tcW w:w="2795" w:type="dxa"/>
                  <w:vAlign w:val="center"/>
                </w:tcPr>
                <w:p w14:paraId="0948EB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rPr>
                  </w:pPr>
                  <w:r>
                    <w:rPr>
                      <w:rFonts w:hint="eastAsia"/>
                      <w:color w:val="FF0000"/>
                      <w:sz w:val="21"/>
                      <w:szCs w:val="21"/>
                      <w:lang w:val="en-US" w:eastAsia="zh-CN"/>
                    </w:rPr>
                    <w:t>22</w:t>
                  </w:r>
                  <w:r>
                    <w:rPr>
                      <w:rFonts w:hint="eastAsia"/>
                      <w:color w:val="FF0000"/>
                      <w:sz w:val="21"/>
                      <w:szCs w:val="21"/>
                    </w:rPr>
                    <w:t>0kV</w:t>
                  </w:r>
                </w:p>
              </w:tc>
              <w:tc>
                <w:tcPr>
                  <w:tcW w:w="1339" w:type="dxa"/>
                  <w:vAlign w:val="center"/>
                </w:tcPr>
                <w:p w14:paraId="3C8A67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一致</w:t>
                  </w:r>
                </w:p>
              </w:tc>
            </w:tr>
            <w:tr w14:paraId="7F1B2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dxa"/>
                  <w:vAlign w:val="center"/>
                </w:tcPr>
                <w:p w14:paraId="287CE9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导线型号</w:t>
                  </w:r>
                </w:p>
              </w:tc>
              <w:tc>
                <w:tcPr>
                  <w:tcW w:w="2967" w:type="dxa"/>
                  <w:vAlign w:val="center"/>
                </w:tcPr>
                <w:p w14:paraId="24D33B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default"/>
                      <w:color w:val="FF0000"/>
                      <w:sz w:val="21"/>
                      <w:szCs w:val="21"/>
                      <w:lang w:val="en-US" w:eastAsia="zh-CN"/>
                    </w:rPr>
                    <w:t>LGJ-300/40</w:t>
                  </w:r>
                </w:p>
              </w:tc>
              <w:tc>
                <w:tcPr>
                  <w:tcW w:w="2795" w:type="dxa"/>
                  <w:vAlign w:val="center"/>
                </w:tcPr>
                <w:p w14:paraId="76CB62AB">
                  <w:pPr>
                    <w:keepNext w:val="0"/>
                    <w:keepLines w:val="0"/>
                    <w:suppressLineNumbers w:val="0"/>
                    <w:spacing w:before="0" w:beforeAutospacing="0" w:after="0" w:afterAutospacing="0"/>
                    <w:ind w:left="0" w:right="0"/>
                    <w:jc w:val="center"/>
                    <w:rPr>
                      <w:rFonts w:hint="eastAsia"/>
                      <w:color w:val="FF0000"/>
                      <w:sz w:val="21"/>
                      <w:szCs w:val="21"/>
                      <w:lang w:val="en-US" w:eastAsia="zh-CN"/>
                    </w:rPr>
                  </w:pPr>
                  <w:r>
                    <w:rPr>
                      <w:rFonts w:hint="eastAsia" w:ascii="Times New Roman" w:hAnsi="Times New Roman" w:eastAsia="宋体" w:cs="Times New Roman"/>
                      <w:color w:val="FF0000"/>
                      <w:lang w:val="en-US" w:eastAsia="zh-CN"/>
                    </w:rPr>
                    <w:t>JL3/G1A-300/40钢芯铝绞线</w:t>
                  </w:r>
                </w:p>
              </w:tc>
              <w:tc>
                <w:tcPr>
                  <w:tcW w:w="1339" w:type="dxa"/>
                  <w:vAlign w:val="center"/>
                </w:tcPr>
                <w:p w14:paraId="163749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一致</w:t>
                  </w:r>
                </w:p>
              </w:tc>
            </w:tr>
            <w:tr w14:paraId="2D9BC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dxa"/>
                  <w:vAlign w:val="center"/>
                </w:tcPr>
                <w:p w14:paraId="45B6B8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lang w:val="en-US" w:eastAsia="zh-CN"/>
                    </w:rPr>
                  </w:pPr>
                  <w:r>
                    <w:rPr>
                      <w:rFonts w:hint="eastAsia"/>
                      <w:color w:val="FF0000"/>
                      <w:sz w:val="21"/>
                      <w:szCs w:val="21"/>
                      <w:lang w:val="en-US" w:eastAsia="zh-CN"/>
                    </w:rPr>
                    <w:t>容量</w:t>
                  </w:r>
                </w:p>
              </w:tc>
              <w:tc>
                <w:tcPr>
                  <w:tcW w:w="2967" w:type="dxa"/>
                  <w:vAlign w:val="center"/>
                </w:tcPr>
                <w:p w14:paraId="437A34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rPr>
                  </w:pPr>
                  <w:r>
                    <w:rPr>
                      <w:rFonts w:hint="eastAsia"/>
                      <w:color w:val="FF0000"/>
                      <w:sz w:val="21"/>
                      <w:szCs w:val="21"/>
                      <w:lang w:val="en-US" w:eastAsia="zh-CN"/>
                    </w:rPr>
                    <w:t>极限传输容量541MVA</w:t>
                  </w:r>
                </w:p>
              </w:tc>
              <w:tc>
                <w:tcPr>
                  <w:tcW w:w="2795" w:type="dxa"/>
                  <w:vAlign w:val="center"/>
                </w:tcPr>
                <w:p w14:paraId="6BFE15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rPr>
                  </w:pPr>
                  <w:r>
                    <w:rPr>
                      <w:rFonts w:hint="eastAsia"/>
                      <w:color w:val="FF0000"/>
                      <w:sz w:val="21"/>
                      <w:szCs w:val="21"/>
                      <w:lang w:val="en-US" w:eastAsia="zh-CN"/>
                    </w:rPr>
                    <w:t>极限传输容量541MVA</w:t>
                  </w:r>
                </w:p>
              </w:tc>
              <w:tc>
                <w:tcPr>
                  <w:tcW w:w="1339" w:type="dxa"/>
                  <w:vAlign w:val="center"/>
                </w:tcPr>
                <w:p w14:paraId="5203CA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rPr>
                  </w:pPr>
                  <w:r>
                    <w:rPr>
                      <w:rFonts w:hint="eastAsia"/>
                      <w:color w:val="FF0000"/>
                      <w:sz w:val="21"/>
                      <w:szCs w:val="21"/>
                      <w:lang w:val="en-US" w:eastAsia="zh-CN"/>
                    </w:rPr>
                    <w:t>一致</w:t>
                  </w:r>
                </w:p>
              </w:tc>
            </w:tr>
            <w:tr w14:paraId="7EB16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dxa"/>
                  <w:vAlign w:val="center"/>
                </w:tcPr>
                <w:p w14:paraId="6C91C2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架线型式</w:t>
                  </w:r>
                </w:p>
              </w:tc>
              <w:tc>
                <w:tcPr>
                  <w:tcW w:w="2967" w:type="dxa"/>
                  <w:vAlign w:val="center"/>
                </w:tcPr>
                <w:p w14:paraId="6CF33B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双回路/单回路架空铺设</w:t>
                  </w:r>
                </w:p>
              </w:tc>
              <w:tc>
                <w:tcPr>
                  <w:tcW w:w="2795" w:type="dxa"/>
                  <w:vAlign w:val="center"/>
                </w:tcPr>
                <w:p w14:paraId="4A8C00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lang w:val="en-US" w:eastAsia="zh-CN"/>
                    </w:rPr>
                  </w:pPr>
                  <w:r>
                    <w:rPr>
                      <w:rFonts w:hint="eastAsia"/>
                      <w:color w:val="FF0000"/>
                      <w:sz w:val="21"/>
                      <w:szCs w:val="21"/>
                      <w:lang w:val="en-US" w:eastAsia="zh-CN"/>
                    </w:rPr>
                    <w:t>双回路/单回路架空铺设</w:t>
                  </w:r>
                </w:p>
              </w:tc>
              <w:tc>
                <w:tcPr>
                  <w:tcW w:w="1339" w:type="dxa"/>
                  <w:vAlign w:val="center"/>
                </w:tcPr>
                <w:p w14:paraId="437F5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rPr>
                  </w:pPr>
                  <w:r>
                    <w:rPr>
                      <w:rFonts w:hint="eastAsia"/>
                      <w:color w:val="FF0000"/>
                      <w:sz w:val="21"/>
                      <w:szCs w:val="21"/>
                      <w:lang w:val="en-US" w:eastAsia="zh-CN"/>
                    </w:rPr>
                    <w:t>一致</w:t>
                  </w:r>
                </w:p>
              </w:tc>
            </w:tr>
            <w:tr w14:paraId="0AACB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dxa"/>
                  <w:vAlign w:val="center"/>
                </w:tcPr>
                <w:p w14:paraId="55A985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lang w:val="en-US" w:eastAsia="zh-CN"/>
                    </w:rPr>
                  </w:pPr>
                  <w:r>
                    <w:rPr>
                      <w:rFonts w:hint="eastAsia"/>
                      <w:color w:val="FF0000"/>
                      <w:sz w:val="21"/>
                      <w:szCs w:val="21"/>
                      <w:lang w:val="en-US" w:eastAsia="zh-CN"/>
                    </w:rPr>
                    <w:t>最低弧垂高度</w:t>
                  </w:r>
                </w:p>
              </w:tc>
              <w:tc>
                <w:tcPr>
                  <w:tcW w:w="2967" w:type="dxa"/>
                  <w:vAlign w:val="center"/>
                </w:tcPr>
                <w:p w14:paraId="640B1D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14</w:t>
                  </w:r>
                </w:p>
              </w:tc>
              <w:tc>
                <w:tcPr>
                  <w:tcW w:w="2795" w:type="dxa"/>
                  <w:vAlign w:val="center"/>
                </w:tcPr>
                <w:p w14:paraId="7D5EB7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14</w:t>
                  </w:r>
                </w:p>
              </w:tc>
              <w:tc>
                <w:tcPr>
                  <w:tcW w:w="1339" w:type="dxa"/>
                  <w:vAlign w:val="center"/>
                </w:tcPr>
                <w:p w14:paraId="6B8CF1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lang w:val="en-US" w:eastAsia="zh-CN"/>
                    </w:rPr>
                  </w:pPr>
                  <w:r>
                    <w:rPr>
                      <w:rFonts w:hint="eastAsia"/>
                      <w:color w:val="FF0000"/>
                      <w:sz w:val="21"/>
                      <w:szCs w:val="21"/>
                      <w:lang w:val="en-US" w:eastAsia="zh-CN"/>
                    </w:rPr>
                    <w:t>一致</w:t>
                  </w:r>
                </w:p>
              </w:tc>
            </w:tr>
            <w:tr w14:paraId="2C21E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dxa"/>
                  <w:vAlign w:val="center"/>
                </w:tcPr>
                <w:p w14:paraId="30A68D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环境条件</w:t>
                  </w:r>
                </w:p>
              </w:tc>
              <w:tc>
                <w:tcPr>
                  <w:tcW w:w="2967" w:type="dxa"/>
                  <w:vAlign w:val="center"/>
                </w:tcPr>
                <w:p w14:paraId="6F954C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21"/>
                      <w:szCs w:val="21"/>
                      <w:lang w:val="en-US" w:eastAsia="zh-CN"/>
                    </w:rPr>
                  </w:pPr>
                  <w:r>
                    <w:rPr>
                      <w:rFonts w:hint="eastAsia"/>
                      <w:color w:val="FF0000"/>
                      <w:sz w:val="21"/>
                      <w:szCs w:val="21"/>
                      <w:lang w:val="en-US" w:eastAsia="zh-CN"/>
                    </w:rPr>
                    <w:t>平原地区</w:t>
                  </w:r>
                </w:p>
              </w:tc>
              <w:tc>
                <w:tcPr>
                  <w:tcW w:w="2795" w:type="dxa"/>
                  <w:vAlign w:val="center"/>
                </w:tcPr>
                <w:p w14:paraId="5C5260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rPr>
                  </w:pPr>
                  <w:r>
                    <w:rPr>
                      <w:rFonts w:hint="eastAsia"/>
                      <w:color w:val="FF0000"/>
                      <w:sz w:val="21"/>
                      <w:szCs w:val="21"/>
                      <w:lang w:val="en-US" w:eastAsia="zh-CN"/>
                    </w:rPr>
                    <w:t>平原地区</w:t>
                  </w:r>
                </w:p>
              </w:tc>
              <w:tc>
                <w:tcPr>
                  <w:tcW w:w="1339" w:type="dxa"/>
                  <w:vAlign w:val="center"/>
                </w:tcPr>
                <w:p w14:paraId="067E18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21"/>
                      <w:szCs w:val="21"/>
                      <w:lang w:val="en-US" w:eastAsia="zh-CN"/>
                    </w:rPr>
                  </w:pPr>
                  <w:r>
                    <w:rPr>
                      <w:rFonts w:hint="eastAsia"/>
                      <w:color w:val="FF0000"/>
                      <w:sz w:val="21"/>
                      <w:szCs w:val="21"/>
                      <w:lang w:val="en-US" w:eastAsia="zh-CN"/>
                    </w:rPr>
                    <w:t>一致</w:t>
                  </w:r>
                </w:p>
              </w:tc>
            </w:tr>
          </w:tbl>
          <w:p w14:paraId="338CF8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FF0000"/>
                <w:sz w:val="24"/>
                <w:szCs w:val="24"/>
              </w:rPr>
            </w:pPr>
            <w:r>
              <w:rPr>
                <w:rFonts w:hint="default"/>
                <w:color w:val="FF0000"/>
                <w:sz w:val="24"/>
                <w:szCs w:val="24"/>
              </w:rPr>
              <w:t>类比工程为《</w:t>
            </w:r>
            <w:r>
              <w:rPr>
                <w:rFonts w:hint="default"/>
                <w:bCs/>
                <w:color w:val="FF0000"/>
                <w:sz w:val="24"/>
              </w:rPr>
              <w:t>黑龙江大庆林源220kV输变电工程</w:t>
            </w:r>
            <w:r>
              <w:rPr>
                <w:rFonts w:hint="default"/>
                <w:color w:val="FF0000"/>
                <w:sz w:val="24"/>
                <w:szCs w:val="24"/>
              </w:rPr>
              <w:t>》建设内容，该工程已经建成验收，于2021年</w:t>
            </w:r>
            <w:r>
              <w:rPr>
                <w:rFonts w:hint="eastAsia"/>
                <w:color w:val="FF0000"/>
                <w:sz w:val="24"/>
                <w:szCs w:val="24"/>
                <w:lang w:val="en-US" w:eastAsia="zh-CN"/>
              </w:rPr>
              <w:t>8</w:t>
            </w:r>
            <w:r>
              <w:rPr>
                <w:rFonts w:hint="default"/>
                <w:color w:val="FF0000"/>
                <w:sz w:val="24"/>
                <w:szCs w:val="24"/>
              </w:rPr>
              <w:t>月取得建设项目竣工环境保护验收意见。验收监测期间，该项目工况负荷情况趋于稳定，未出现较大波动。监测工况见下表。</w:t>
            </w:r>
          </w:p>
          <w:p w14:paraId="20EAFB97">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FF0000"/>
                <w:sz w:val="24"/>
                <w:szCs w:val="24"/>
              </w:rPr>
            </w:pPr>
            <w:r>
              <w:rPr>
                <w:rFonts w:hint="eastAsia"/>
                <w:b/>
                <w:bCs/>
                <w:color w:val="FF0000"/>
                <w:sz w:val="24"/>
                <w:szCs w:val="24"/>
              </w:rPr>
              <w:t>表4-</w:t>
            </w:r>
            <w:r>
              <w:rPr>
                <w:rFonts w:hint="eastAsia"/>
                <w:b/>
                <w:bCs/>
                <w:color w:val="FF0000"/>
                <w:sz w:val="24"/>
                <w:szCs w:val="24"/>
                <w:lang w:val="en-US" w:eastAsia="zh-CN"/>
              </w:rPr>
              <w:t>3</w:t>
            </w:r>
            <w:r>
              <w:rPr>
                <w:rFonts w:hint="eastAsia"/>
                <w:b/>
                <w:bCs/>
                <w:color w:val="FF0000"/>
                <w:sz w:val="24"/>
                <w:szCs w:val="24"/>
              </w:rPr>
              <w:t xml:space="preserve"> 类比工程监测工况</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1643"/>
              <w:gridCol w:w="1643"/>
              <w:gridCol w:w="1643"/>
              <w:gridCol w:w="1646"/>
            </w:tblGrid>
            <w:tr w14:paraId="5C43C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49" w:type="dxa"/>
                  <w:tcBorders>
                    <w:tl2br w:val="nil"/>
                    <w:tr2bl w:val="nil"/>
                  </w:tcBorders>
                  <w:noWrap w:val="0"/>
                  <w:vAlign w:val="center"/>
                </w:tcPr>
                <w:p w14:paraId="451F02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类比工程</w:t>
                  </w:r>
                </w:p>
              </w:tc>
              <w:tc>
                <w:tcPr>
                  <w:tcW w:w="1643" w:type="dxa"/>
                  <w:tcBorders>
                    <w:tl2br w:val="nil"/>
                    <w:tr2bl w:val="nil"/>
                  </w:tcBorders>
                  <w:noWrap w:val="0"/>
                  <w:vAlign w:val="center"/>
                </w:tcPr>
                <w:p w14:paraId="25596E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电压（kV）</w:t>
                  </w:r>
                </w:p>
              </w:tc>
              <w:tc>
                <w:tcPr>
                  <w:tcW w:w="1643" w:type="dxa"/>
                  <w:tcBorders>
                    <w:tl2br w:val="nil"/>
                    <w:tr2bl w:val="nil"/>
                  </w:tcBorders>
                  <w:noWrap w:val="0"/>
                  <w:vAlign w:val="center"/>
                </w:tcPr>
                <w:p w14:paraId="0C9C49E7">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Cs w:val="21"/>
                      <w:lang w:val="en-US" w:eastAsia="zh-CN"/>
                    </w:rPr>
                    <w:t>电流（A）</w:t>
                  </w:r>
                </w:p>
              </w:tc>
              <w:tc>
                <w:tcPr>
                  <w:tcW w:w="1643" w:type="dxa"/>
                  <w:tcBorders>
                    <w:tl2br w:val="nil"/>
                    <w:tr2bl w:val="nil"/>
                  </w:tcBorders>
                  <w:noWrap w:val="0"/>
                  <w:vAlign w:val="center"/>
                </w:tcPr>
                <w:p w14:paraId="2EBD5E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有功（MW）</w:t>
                  </w:r>
                </w:p>
              </w:tc>
              <w:tc>
                <w:tcPr>
                  <w:tcW w:w="1646" w:type="dxa"/>
                  <w:tcBorders>
                    <w:tl2br w:val="nil"/>
                    <w:tr2bl w:val="nil"/>
                  </w:tcBorders>
                  <w:noWrap w:val="0"/>
                  <w:vAlign w:val="center"/>
                </w:tcPr>
                <w:p w14:paraId="7C89D8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无功（Mvar）</w:t>
                  </w:r>
                </w:p>
              </w:tc>
            </w:tr>
            <w:tr w14:paraId="1F4FF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49" w:type="dxa"/>
                  <w:tcBorders>
                    <w:tl2br w:val="nil"/>
                    <w:tr2bl w:val="nil"/>
                  </w:tcBorders>
                  <w:noWrap w:val="0"/>
                  <w:vAlign w:val="center"/>
                </w:tcPr>
                <w:p w14:paraId="39479A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lang w:val="en-US" w:eastAsia="zh-CN"/>
                    </w:rPr>
                  </w:pPr>
                  <w:r>
                    <w:rPr>
                      <w:rFonts w:hint="eastAsia"/>
                      <w:color w:val="FF0000"/>
                      <w:lang w:val="en-US" w:eastAsia="zh-CN"/>
                    </w:rPr>
                    <w:t>22</w:t>
                  </w:r>
                  <w:r>
                    <w:rPr>
                      <w:rFonts w:hint="eastAsia"/>
                      <w:color w:val="FF0000"/>
                    </w:rPr>
                    <w:t>0kV输电线路</w:t>
                  </w:r>
                </w:p>
              </w:tc>
              <w:tc>
                <w:tcPr>
                  <w:tcW w:w="1643" w:type="dxa"/>
                  <w:tcBorders>
                    <w:tl2br w:val="nil"/>
                    <w:tr2bl w:val="nil"/>
                  </w:tcBorders>
                  <w:noWrap w:val="0"/>
                  <w:vAlign w:val="center"/>
                </w:tcPr>
                <w:p w14:paraId="0DEBF61F">
                  <w:pPr>
                    <w:pStyle w:val="68"/>
                    <w:keepNext w:val="0"/>
                    <w:keepLines w:val="0"/>
                    <w:suppressLineNumbers w:val="0"/>
                    <w:pBdr>
                      <w:top w:val="none" w:color="auto" w:sz="0" w:space="0"/>
                      <w:left w:val="none" w:color="auto" w:sz="0" w:space="0"/>
                      <w:bottom w:val="none" w:color="auto" w:sz="0" w:space="0"/>
                      <w:right w:val="none" w:color="auto" w:sz="0" w:space="0"/>
                      <w:between w:val="none" w:color="auto" w:sz="0" w:space="0"/>
                    </w:pBdr>
                    <w:snapToGrid w:val="0"/>
                    <w:spacing w:before="36" w:beforeLines="15" w:beforeAutospacing="0" w:after="36" w:afterLines="15" w:afterAutospacing="0"/>
                    <w:ind w:left="0" w:leftChars="0" w:right="0" w:rightChars="0"/>
                    <w:rPr>
                      <w:rFonts w:hint="default" w:ascii="Times New Roman" w:hAnsi="Times New Roman" w:eastAsia="宋体" w:cs="Times New Roman"/>
                      <w:color w:val="FF0000"/>
                      <w:sz w:val="21"/>
                      <w:szCs w:val="21"/>
                      <w:lang w:val="en-US" w:eastAsia="zh-CN"/>
                    </w:rPr>
                  </w:pPr>
                  <w:r>
                    <w:rPr>
                      <w:rFonts w:hint="eastAsia"/>
                      <w:color w:val="FF0000"/>
                      <w:lang w:val="en-US" w:eastAsia="zh-CN"/>
                    </w:rPr>
                    <w:t>22</w:t>
                  </w:r>
                  <w:r>
                    <w:rPr>
                      <w:rFonts w:hint="eastAsia"/>
                      <w:color w:val="FF0000"/>
                    </w:rPr>
                    <w:t>0</w:t>
                  </w:r>
                </w:p>
              </w:tc>
              <w:tc>
                <w:tcPr>
                  <w:tcW w:w="1643" w:type="dxa"/>
                  <w:tcBorders>
                    <w:tl2br w:val="nil"/>
                    <w:tr2bl w:val="nil"/>
                  </w:tcBorders>
                  <w:noWrap w:val="0"/>
                  <w:vAlign w:val="center"/>
                </w:tcPr>
                <w:p w14:paraId="36FCC06C">
                  <w:pPr>
                    <w:pStyle w:val="68"/>
                    <w:keepNext w:val="0"/>
                    <w:keepLines w:val="0"/>
                    <w:suppressLineNumbers w:val="0"/>
                    <w:pBdr>
                      <w:top w:val="none" w:color="auto" w:sz="0" w:space="0"/>
                      <w:left w:val="none" w:color="auto" w:sz="0" w:space="0"/>
                      <w:bottom w:val="none" w:color="auto" w:sz="0" w:space="0"/>
                      <w:right w:val="none" w:color="auto" w:sz="0" w:space="0"/>
                      <w:between w:val="none" w:color="auto" w:sz="0" w:space="0"/>
                    </w:pBdr>
                    <w:snapToGrid w:val="0"/>
                    <w:spacing w:before="36" w:beforeLines="15" w:beforeAutospacing="0" w:after="36" w:afterLines="15" w:afterAutospacing="0"/>
                    <w:ind w:left="0" w:leftChars="0" w:right="0" w:rightChars="0"/>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22.51</w:t>
                  </w:r>
                </w:p>
              </w:tc>
              <w:tc>
                <w:tcPr>
                  <w:tcW w:w="1643" w:type="dxa"/>
                  <w:tcBorders>
                    <w:tl2br w:val="nil"/>
                    <w:tr2bl w:val="nil"/>
                  </w:tcBorders>
                  <w:noWrap w:val="0"/>
                  <w:vAlign w:val="center"/>
                </w:tcPr>
                <w:p w14:paraId="31654FA8">
                  <w:pPr>
                    <w:pStyle w:val="68"/>
                    <w:keepNext w:val="0"/>
                    <w:keepLines w:val="0"/>
                    <w:suppressLineNumbers w:val="0"/>
                    <w:pBdr>
                      <w:top w:val="none" w:color="auto" w:sz="0" w:space="0"/>
                      <w:left w:val="none" w:color="auto" w:sz="0" w:space="0"/>
                      <w:bottom w:val="none" w:color="auto" w:sz="0" w:space="0"/>
                      <w:right w:val="none" w:color="auto" w:sz="0" w:space="0"/>
                      <w:between w:val="none" w:color="auto" w:sz="0" w:space="0"/>
                    </w:pBdr>
                    <w:snapToGrid w:val="0"/>
                    <w:spacing w:before="36" w:beforeLines="15" w:beforeAutospacing="0" w:after="36" w:afterLines="15" w:afterAutospacing="0"/>
                    <w:ind w:left="0" w:leftChars="0" w:right="0" w:rightChars="0"/>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4.46</w:t>
                  </w:r>
                </w:p>
              </w:tc>
              <w:tc>
                <w:tcPr>
                  <w:tcW w:w="1646" w:type="dxa"/>
                  <w:tcBorders>
                    <w:tl2br w:val="nil"/>
                    <w:tr2bl w:val="nil"/>
                  </w:tcBorders>
                  <w:noWrap w:val="0"/>
                  <w:vAlign w:val="center"/>
                </w:tcPr>
                <w:p w14:paraId="62357AD8">
                  <w:pPr>
                    <w:pStyle w:val="68"/>
                    <w:keepNext w:val="0"/>
                    <w:keepLines w:val="0"/>
                    <w:suppressLineNumbers w:val="0"/>
                    <w:pBdr>
                      <w:top w:val="none" w:color="auto" w:sz="0" w:space="0"/>
                      <w:left w:val="none" w:color="auto" w:sz="0" w:space="0"/>
                      <w:bottom w:val="none" w:color="auto" w:sz="0" w:space="0"/>
                      <w:right w:val="none" w:color="auto" w:sz="0" w:space="0"/>
                      <w:between w:val="none" w:color="auto" w:sz="0" w:space="0"/>
                    </w:pBdr>
                    <w:snapToGrid w:val="0"/>
                    <w:spacing w:before="36" w:beforeLines="15" w:beforeAutospacing="0" w:after="36" w:afterLines="15" w:afterAutospacing="0"/>
                    <w:ind w:left="0" w:leftChars="0" w:right="0" w:rightChars="0"/>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6.71</w:t>
                  </w:r>
                </w:p>
              </w:tc>
            </w:tr>
          </w:tbl>
          <w:p w14:paraId="49A7CA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FF0000"/>
                <w:sz w:val="24"/>
                <w:szCs w:val="24"/>
              </w:rPr>
            </w:pPr>
            <w:r>
              <w:rPr>
                <w:rFonts w:hint="default"/>
                <w:color w:val="FF0000"/>
                <w:sz w:val="24"/>
                <w:szCs w:val="24"/>
              </w:rPr>
              <w:t>声环境监测结果下表。</w:t>
            </w:r>
          </w:p>
          <w:p w14:paraId="4089BDF7">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bCs/>
                <w:color w:val="FF0000"/>
                <w:kern w:val="2"/>
                <w:sz w:val="24"/>
                <w:szCs w:val="24"/>
                <w:lang w:val="en-US" w:eastAsia="zh-CN" w:bidi="ar-SA"/>
              </w:rPr>
            </w:pPr>
            <w:r>
              <w:rPr>
                <w:rFonts w:hint="eastAsia" w:ascii="Times New Roman" w:hAnsi="Times New Roman" w:eastAsia="宋体" w:cs="Times New Roman"/>
                <w:b/>
                <w:bCs/>
                <w:color w:val="FF0000"/>
                <w:kern w:val="2"/>
                <w:sz w:val="24"/>
                <w:szCs w:val="24"/>
                <w:lang w:val="en-US" w:eastAsia="zh-CN" w:bidi="ar-SA"/>
              </w:rPr>
              <w:t>表 4-4 类比工程声环境监测结果</w:t>
            </w:r>
            <w:r>
              <w:rPr>
                <w:rFonts w:hint="eastAsia" w:cs="Times New Roman"/>
                <w:b/>
                <w:bCs/>
                <w:color w:val="FF0000"/>
                <w:kern w:val="2"/>
                <w:sz w:val="24"/>
                <w:szCs w:val="24"/>
                <w:lang w:val="en-US" w:eastAsia="zh-CN" w:bidi="ar-SA"/>
              </w:rPr>
              <w:t>（双回路）</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1459"/>
              <w:gridCol w:w="3004"/>
              <w:gridCol w:w="1586"/>
              <w:gridCol w:w="1411"/>
            </w:tblGrid>
            <w:tr w14:paraId="68616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19" w:type="pct"/>
                  <w:vMerge w:val="restart"/>
                  <w:tcBorders>
                    <w:tl2br w:val="nil"/>
                    <w:tr2bl w:val="nil"/>
                  </w:tcBorders>
                  <w:noWrap w:val="0"/>
                  <w:vAlign w:val="center"/>
                </w:tcPr>
                <w:p w14:paraId="7CF590D1">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序号</w:t>
                  </w:r>
                </w:p>
              </w:tc>
              <w:tc>
                <w:tcPr>
                  <w:tcW w:w="2680" w:type="pct"/>
                  <w:gridSpan w:val="2"/>
                  <w:vMerge w:val="restart"/>
                  <w:tcBorders>
                    <w:tl2br w:val="nil"/>
                    <w:tr2bl w:val="nil"/>
                  </w:tcBorders>
                  <w:noWrap w:val="0"/>
                  <w:vAlign w:val="center"/>
                </w:tcPr>
                <w:p w14:paraId="03757861">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检测点位置</w:t>
                  </w:r>
                </w:p>
              </w:tc>
              <w:tc>
                <w:tcPr>
                  <w:tcW w:w="1799" w:type="pct"/>
                  <w:gridSpan w:val="2"/>
                  <w:tcBorders>
                    <w:tl2br w:val="nil"/>
                    <w:tr2bl w:val="nil"/>
                  </w:tcBorders>
                  <w:noWrap w:val="0"/>
                  <w:vAlign w:val="center"/>
                </w:tcPr>
                <w:p w14:paraId="5CA7F726">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检测结果Leq dB(A)</w:t>
                  </w:r>
                </w:p>
              </w:tc>
            </w:tr>
            <w:tr w14:paraId="6F35A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vMerge w:val="continue"/>
                  <w:tcBorders>
                    <w:tl2br w:val="nil"/>
                    <w:tr2bl w:val="nil"/>
                  </w:tcBorders>
                  <w:noWrap w:val="0"/>
                  <w:vAlign w:val="center"/>
                </w:tcPr>
                <w:p w14:paraId="0131D055">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2680" w:type="pct"/>
                  <w:gridSpan w:val="2"/>
                  <w:vMerge w:val="continue"/>
                  <w:tcBorders>
                    <w:tl2br w:val="nil"/>
                    <w:tr2bl w:val="nil"/>
                  </w:tcBorders>
                  <w:noWrap w:val="0"/>
                  <w:vAlign w:val="top"/>
                </w:tcPr>
                <w:p w14:paraId="7DEE4943">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952" w:type="pct"/>
                  <w:tcBorders>
                    <w:tl2br w:val="nil"/>
                    <w:tr2bl w:val="nil"/>
                  </w:tcBorders>
                  <w:noWrap w:val="0"/>
                  <w:vAlign w:val="center"/>
                </w:tcPr>
                <w:p w14:paraId="133F6BDA">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昼</w:t>
                  </w:r>
                </w:p>
              </w:tc>
              <w:tc>
                <w:tcPr>
                  <w:tcW w:w="847" w:type="pct"/>
                  <w:tcBorders>
                    <w:tl2br w:val="nil"/>
                    <w:tr2bl w:val="nil"/>
                  </w:tcBorders>
                  <w:noWrap w:val="0"/>
                  <w:vAlign w:val="center"/>
                </w:tcPr>
                <w:p w14:paraId="571A1620">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夜</w:t>
                  </w:r>
                </w:p>
              </w:tc>
            </w:tr>
            <w:tr w14:paraId="36588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4DB44E3A">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1</w:t>
                  </w:r>
                </w:p>
              </w:tc>
              <w:tc>
                <w:tcPr>
                  <w:tcW w:w="876" w:type="pct"/>
                  <w:vMerge w:val="restart"/>
                  <w:tcBorders>
                    <w:tl2br w:val="nil"/>
                    <w:tr2bl w:val="nil"/>
                  </w:tcBorders>
                  <w:noWrap w:val="0"/>
                  <w:vAlign w:val="center"/>
                </w:tcPr>
                <w:p w14:paraId="1821F796">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eastAsia"/>
                      <w:color w:val="FF0000"/>
                    </w:rPr>
                    <w:t>220kV新化甲乙线</w:t>
                  </w:r>
                  <w:r>
                    <w:rPr>
                      <w:rFonts w:hint="default"/>
                      <w:color w:val="FF0000"/>
                    </w:rPr>
                    <w:t>（J</w:t>
                  </w:r>
                  <w:r>
                    <w:rPr>
                      <w:rFonts w:hint="eastAsia"/>
                      <w:color w:val="FF0000"/>
                    </w:rPr>
                    <w:t>66</w:t>
                  </w:r>
                  <w:r>
                    <w:rPr>
                      <w:rFonts w:hint="default"/>
                      <w:color w:val="FF0000"/>
                    </w:rPr>
                    <w:t>-J</w:t>
                  </w:r>
                  <w:r>
                    <w:rPr>
                      <w:rFonts w:hint="eastAsia"/>
                      <w:color w:val="FF0000"/>
                    </w:rPr>
                    <w:t>67</w:t>
                  </w:r>
                  <w:r>
                    <w:rPr>
                      <w:rFonts w:hint="default"/>
                      <w:color w:val="FF0000"/>
                    </w:rPr>
                    <w:t>）</w:t>
                  </w:r>
                </w:p>
              </w:tc>
              <w:tc>
                <w:tcPr>
                  <w:tcW w:w="1804" w:type="pct"/>
                  <w:tcBorders>
                    <w:tl2br w:val="nil"/>
                    <w:tr2bl w:val="nil"/>
                  </w:tcBorders>
                  <w:noWrap w:val="0"/>
                  <w:vAlign w:val="center"/>
                </w:tcPr>
                <w:p w14:paraId="11DBC106">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输变电线路中心线下0米</w:t>
                  </w:r>
                </w:p>
              </w:tc>
              <w:tc>
                <w:tcPr>
                  <w:tcW w:w="952" w:type="pct"/>
                  <w:tcBorders>
                    <w:tl2br w:val="nil"/>
                    <w:tr2bl w:val="nil"/>
                  </w:tcBorders>
                  <w:noWrap w:val="0"/>
                  <w:vAlign w:val="center"/>
                </w:tcPr>
                <w:p w14:paraId="799E20DA">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kern w:val="0"/>
                    </w:rPr>
                  </w:pPr>
                  <w:r>
                    <w:rPr>
                      <w:rFonts w:hint="eastAsia"/>
                      <w:color w:val="FF0000"/>
                      <w:kern w:val="0"/>
                    </w:rPr>
                    <w:t>42.3</w:t>
                  </w:r>
                </w:p>
              </w:tc>
              <w:tc>
                <w:tcPr>
                  <w:tcW w:w="847" w:type="pct"/>
                  <w:tcBorders>
                    <w:tl2br w:val="nil"/>
                    <w:tr2bl w:val="nil"/>
                  </w:tcBorders>
                  <w:noWrap w:val="0"/>
                  <w:vAlign w:val="center"/>
                </w:tcPr>
                <w:p w14:paraId="2EC6CA9E">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rPr>
                  </w:pPr>
                  <w:r>
                    <w:rPr>
                      <w:rFonts w:hint="eastAsia" w:eastAsia="Arial Unicode MS"/>
                      <w:color w:val="FF0000"/>
                      <w:szCs w:val="22"/>
                    </w:rPr>
                    <w:t>37.2</w:t>
                  </w:r>
                </w:p>
              </w:tc>
            </w:tr>
            <w:tr w14:paraId="1C9DB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0E8AA247">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2</w:t>
                  </w:r>
                </w:p>
              </w:tc>
              <w:tc>
                <w:tcPr>
                  <w:tcW w:w="876" w:type="pct"/>
                  <w:vMerge w:val="continue"/>
                  <w:tcBorders>
                    <w:tl2br w:val="nil"/>
                    <w:tr2bl w:val="nil"/>
                  </w:tcBorders>
                  <w:noWrap w:val="0"/>
                  <w:vAlign w:val="center"/>
                </w:tcPr>
                <w:p w14:paraId="77920D70">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4D9C6F99">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侧10米</w:t>
                  </w:r>
                </w:p>
              </w:tc>
              <w:tc>
                <w:tcPr>
                  <w:tcW w:w="952" w:type="pct"/>
                  <w:tcBorders>
                    <w:tl2br w:val="nil"/>
                    <w:tr2bl w:val="nil"/>
                  </w:tcBorders>
                  <w:noWrap w:val="0"/>
                  <w:vAlign w:val="center"/>
                </w:tcPr>
                <w:p w14:paraId="3D15BDF2">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eastAsia"/>
                      <w:color w:val="FF0000"/>
                    </w:rPr>
                    <w:t>41.9</w:t>
                  </w:r>
                </w:p>
              </w:tc>
              <w:tc>
                <w:tcPr>
                  <w:tcW w:w="847" w:type="pct"/>
                  <w:tcBorders>
                    <w:tl2br w:val="nil"/>
                    <w:tr2bl w:val="nil"/>
                  </w:tcBorders>
                  <w:noWrap w:val="0"/>
                  <w:vAlign w:val="center"/>
                </w:tcPr>
                <w:p w14:paraId="0EA14260">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rPr>
                  </w:pPr>
                  <w:r>
                    <w:rPr>
                      <w:rFonts w:hint="eastAsia" w:eastAsia="Arial Unicode MS"/>
                      <w:color w:val="FF0000"/>
                      <w:szCs w:val="22"/>
                    </w:rPr>
                    <w:t>36.8</w:t>
                  </w:r>
                </w:p>
              </w:tc>
            </w:tr>
            <w:tr w14:paraId="06DDE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5FAF7F0C">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3</w:t>
                  </w:r>
                </w:p>
              </w:tc>
              <w:tc>
                <w:tcPr>
                  <w:tcW w:w="876" w:type="pct"/>
                  <w:vMerge w:val="continue"/>
                  <w:tcBorders>
                    <w:tl2br w:val="nil"/>
                    <w:tr2bl w:val="nil"/>
                  </w:tcBorders>
                  <w:noWrap w:val="0"/>
                  <w:vAlign w:val="center"/>
                </w:tcPr>
                <w:p w14:paraId="4A06DCB9">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1C8D8E9E">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侧20米</w:t>
                  </w:r>
                </w:p>
              </w:tc>
              <w:tc>
                <w:tcPr>
                  <w:tcW w:w="952" w:type="pct"/>
                  <w:tcBorders>
                    <w:tl2br w:val="nil"/>
                    <w:tr2bl w:val="nil"/>
                  </w:tcBorders>
                  <w:noWrap w:val="0"/>
                  <w:vAlign w:val="center"/>
                </w:tcPr>
                <w:p w14:paraId="1A14086E">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eastAsia"/>
                      <w:color w:val="FF0000"/>
                    </w:rPr>
                    <w:t>40.6</w:t>
                  </w:r>
                </w:p>
              </w:tc>
              <w:tc>
                <w:tcPr>
                  <w:tcW w:w="847" w:type="pct"/>
                  <w:tcBorders>
                    <w:tl2br w:val="nil"/>
                    <w:tr2bl w:val="nil"/>
                  </w:tcBorders>
                  <w:noWrap w:val="0"/>
                  <w:vAlign w:val="center"/>
                </w:tcPr>
                <w:p w14:paraId="0B4B7141">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rPr>
                  </w:pPr>
                  <w:r>
                    <w:rPr>
                      <w:rFonts w:hint="eastAsia" w:eastAsia="Arial Unicode MS"/>
                      <w:color w:val="FF0000"/>
                      <w:szCs w:val="22"/>
                    </w:rPr>
                    <w:t>35.6</w:t>
                  </w:r>
                </w:p>
              </w:tc>
            </w:tr>
            <w:tr w14:paraId="511F2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255EC1AD">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4</w:t>
                  </w:r>
                </w:p>
              </w:tc>
              <w:tc>
                <w:tcPr>
                  <w:tcW w:w="876" w:type="pct"/>
                  <w:vMerge w:val="continue"/>
                  <w:tcBorders>
                    <w:tl2br w:val="nil"/>
                    <w:tr2bl w:val="nil"/>
                  </w:tcBorders>
                  <w:noWrap w:val="0"/>
                  <w:vAlign w:val="center"/>
                </w:tcPr>
                <w:p w14:paraId="620C8EC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6FD940BC">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侧30米</w:t>
                  </w:r>
                </w:p>
              </w:tc>
              <w:tc>
                <w:tcPr>
                  <w:tcW w:w="952" w:type="pct"/>
                  <w:tcBorders>
                    <w:tl2br w:val="nil"/>
                    <w:tr2bl w:val="nil"/>
                  </w:tcBorders>
                  <w:noWrap w:val="0"/>
                  <w:vAlign w:val="center"/>
                </w:tcPr>
                <w:p w14:paraId="5991039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eastAsia"/>
                      <w:color w:val="FF0000"/>
                    </w:rPr>
                    <w:t>39.8</w:t>
                  </w:r>
                </w:p>
              </w:tc>
              <w:tc>
                <w:tcPr>
                  <w:tcW w:w="847" w:type="pct"/>
                  <w:tcBorders>
                    <w:tl2br w:val="nil"/>
                    <w:tr2bl w:val="nil"/>
                  </w:tcBorders>
                  <w:noWrap w:val="0"/>
                  <w:vAlign w:val="center"/>
                </w:tcPr>
                <w:p w14:paraId="0BE38956">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rPr>
                  </w:pPr>
                  <w:r>
                    <w:rPr>
                      <w:rFonts w:hint="eastAsia" w:eastAsia="Arial Unicode MS"/>
                      <w:color w:val="FF0000"/>
                      <w:szCs w:val="22"/>
                    </w:rPr>
                    <w:t>35.3</w:t>
                  </w:r>
                </w:p>
              </w:tc>
            </w:tr>
            <w:tr w14:paraId="07B61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47D4F5C6">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5</w:t>
                  </w:r>
                </w:p>
              </w:tc>
              <w:tc>
                <w:tcPr>
                  <w:tcW w:w="876" w:type="pct"/>
                  <w:vMerge w:val="continue"/>
                  <w:tcBorders>
                    <w:tl2br w:val="nil"/>
                    <w:tr2bl w:val="nil"/>
                  </w:tcBorders>
                  <w:noWrap w:val="0"/>
                  <w:vAlign w:val="center"/>
                </w:tcPr>
                <w:p w14:paraId="53D68211">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5673B666">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侧40米</w:t>
                  </w:r>
                </w:p>
              </w:tc>
              <w:tc>
                <w:tcPr>
                  <w:tcW w:w="952" w:type="pct"/>
                  <w:tcBorders>
                    <w:tl2br w:val="nil"/>
                    <w:tr2bl w:val="nil"/>
                  </w:tcBorders>
                  <w:noWrap w:val="0"/>
                  <w:vAlign w:val="center"/>
                </w:tcPr>
                <w:p w14:paraId="00B5150A">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eastAsia"/>
                      <w:color w:val="FF0000"/>
                    </w:rPr>
                    <w:t>39.4</w:t>
                  </w:r>
                </w:p>
              </w:tc>
              <w:tc>
                <w:tcPr>
                  <w:tcW w:w="847" w:type="pct"/>
                  <w:tcBorders>
                    <w:tl2br w:val="nil"/>
                    <w:tr2bl w:val="nil"/>
                  </w:tcBorders>
                  <w:noWrap w:val="0"/>
                  <w:vAlign w:val="center"/>
                </w:tcPr>
                <w:p w14:paraId="7494CC7F">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rPr>
                  </w:pPr>
                  <w:r>
                    <w:rPr>
                      <w:rFonts w:hint="eastAsia" w:eastAsia="Arial Unicode MS"/>
                      <w:color w:val="FF0000"/>
                      <w:szCs w:val="22"/>
                    </w:rPr>
                    <w:t>35.5</w:t>
                  </w:r>
                </w:p>
              </w:tc>
            </w:tr>
            <w:tr w14:paraId="036FA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42329BDE">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6</w:t>
                  </w:r>
                </w:p>
              </w:tc>
              <w:tc>
                <w:tcPr>
                  <w:tcW w:w="876" w:type="pct"/>
                  <w:vMerge w:val="continue"/>
                  <w:tcBorders>
                    <w:tl2br w:val="nil"/>
                    <w:tr2bl w:val="nil"/>
                  </w:tcBorders>
                  <w:noWrap w:val="0"/>
                  <w:vAlign w:val="center"/>
                </w:tcPr>
                <w:p w14:paraId="18AEEB27">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18CE4C1A">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侧50米</w:t>
                  </w:r>
                </w:p>
              </w:tc>
              <w:tc>
                <w:tcPr>
                  <w:tcW w:w="952" w:type="pct"/>
                  <w:tcBorders>
                    <w:tl2br w:val="nil"/>
                    <w:tr2bl w:val="nil"/>
                  </w:tcBorders>
                  <w:noWrap w:val="0"/>
                  <w:vAlign w:val="center"/>
                </w:tcPr>
                <w:p w14:paraId="137D1014">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eastAsia"/>
                      <w:color w:val="FF0000"/>
                    </w:rPr>
                    <w:t>39.2</w:t>
                  </w:r>
                </w:p>
              </w:tc>
              <w:tc>
                <w:tcPr>
                  <w:tcW w:w="847" w:type="pct"/>
                  <w:tcBorders>
                    <w:tl2br w:val="nil"/>
                    <w:tr2bl w:val="nil"/>
                  </w:tcBorders>
                  <w:noWrap w:val="0"/>
                  <w:vAlign w:val="center"/>
                </w:tcPr>
                <w:p w14:paraId="552ABAFC">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rPr>
                  </w:pPr>
                  <w:r>
                    <w:rPr>
                      <w:rFonts w:hint="eastAsia" w:eastAsia="Arial Unicode MS"/>
                      <w:color w:val="FF0000"/>
                      <w:szCs w:val="22"/>
                    </w:rPr>
                    <w:t>35.3</w:t>
                  </w:r>
                </w:p>
              </w:tc>
            </w:tr>
          </w:tbl>
          <w:p w14:paraId="777C1984">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
                <w:bCs/>
                <w:color w:val="FF0000"/>
                <w:kern w:val="2"/>
                <w:sz w:val="24"/>
                <w:szCs w:val="24"/>
                <w:lang w:val="en-US" w:eastAsia="zh-CN" w:bidi="ar-SA"/>
              </w:rPr>
            </w:pPr>
            <w:r>
              <w:rPr>
                <w:rFonts w:hint="eastAsia" w:ascii="Times New Roman" w:hAnsi="Times New Roman" w:eastAsia="宋体" w:cs="Times New Roman"/>
                <w:b/>
                <w:bCs/>
                <w:color w:val="FF0000"/>
                <w:kern w:val="2"/>
                <w:sz w:val="24"/>
                <w:szCs w:val="24"/>
                <w:lang w:val="en-US" w:eastAsia="zh-CN" w:bidi="ar-SA"/>
              </w:rPr>
              <w:t>表 4-5 类比工程声环境监测结果（单回路）</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1459"/>
              <w:gridCol w:w="3004"/>
              <w:gridCol w:w="1586"/>
              <w:gridCol w:w="1411"/>
            </w:tblGrid>
            <w:tr w14:paraId="08297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19" w:type="pct"/>
                  <w:vMerge w:val="restart"/>
                  <w:tcBorders>
                    <w:tl2br w:val="nil"/>
                    <w:tr2bl w:val="nil"/>
                  </w:tcBorders>
                  <w:noWrap w:val="0"/>
                  <w:vAlign w:val="center"/>
                </w:tcPr>
                <w:p w14:paraId="019909BF">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序号</w:t>
                  </w:r>
                </w:p>
              </w:tc>
              <w:tc>
                <w:tcPr>
                  <w:tcW w:w="2680" w:type="pct"/>
                  <w:gridSpan w:val="2"/>
                  <w:vMerge w:val="restart"/>
                  <w:tcBorders>
                    <w:tl2br w:val="nil"/>
                    <w:tr2bl w:val="nil"/>
                  </w:tcBorders>
                  <w:noWrap w:val="0"/>
                  <w:vAlign w:val="center"/>
                </w:tcPr>
                <w:p w14:paraId="1C7AA95D">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检测点位置</w:t>
                  </w:r>
                </w:p>
              </w:tc>
              <w:tc>
                <w:tcPr>
                  <w:tcW w:w="1799" w:type="pct"/>
                  <w:gridSpan w:val="2"/>
                  <w:tcBorders>
                    <w:tl2br w:val="nil"/>
                    <w:tr2bl w:val="nil"/>
                  </w:tcBorders>
                  <w:noWrap w:val="0"/>
                  <w:vAlign w:val="center"/>
                </w:tcPr>
                <w:p w14:paraId="4B4ECFE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检测结果Leq dB(A)</w:t>
                  </w:r>
                </w:p>
              </w:tc>
            </w:tr>
            <w:tr w14:paraId="1A94F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vMerge w:val="continue"/>
                  <w:tcBorders>
                    <w:tl2br w:val="nil"/>
                    <w:tr2bl w:val="nil"/>
                  </w:tcBorders>
                  <w:noWrap w:val="0"/>
                  <w:vAlign w:val="center"/>
                </w:tcPr>
                <w:p w14:paraId="047A378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2680" w:type="pct"/>
                  <w:gridSpan w:val="2"/>
                  <w:vMerge w:val="continue"/>
                  <w:tcBorders>
                    <w:tl2br w:val="nil"/>
                    <w:tr2bl w:val="nil"/>
                  </w:tcBorders>
                  <w:noWrap w:val="0"/>
                  <w:vAlign w:val="top"/>
                </w:tcPr>
                <w:p w14:paraId="1432D38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952" w:type="pct"/>
                  <w:tcBorders>
                    <w:tl2br w:val="nil"/>
                    <w:tr2bl w:val="nil"/>
                  </w:tcBorders>
                  <w:noWrap w:val="0"/>
                  <w:vAlign w:val="center"/>
                </w:tcPr>
                <w:p w14:paraId="38460B6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昼</w:t>
                  </w:r>
                </w:p>
              </w:tc>
              <w:tc>
                <w:tcPr>
                  <w:tcW w:w="847" w:type="pct"/>
                  <w:tcBorders>
                    <w:tl2br w:val="nil"/>
                    <w:tr2bl w:val="nil"/>
                  </w:tcBorders>
                  <w:noWrap w:val="0"/>
                  <w:vAlign w:val="center"/>
                </w:tcPr>
                <w:p w14:paraId="754A0AE8">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夜</w:t>
                  </w:r>
                </w:p>
              </w:tc>
            </w:tr>
            <w:tr w14:paraId="7A65F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0260165C">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1</w:t>
                  </w:r>
                </w:p>
              </w:tc>
              <w:tc>
                <w:tcPr>
                  <w:tcW w:w="876" w:type="pct"/>
                  <w:vMerge w:val="restart"/>
                  <w:tcBorders>
                    <w:tl2br w:val="nil"/>
                    <w:tr2bl w:val="nil"/>
                  </w:tcBorders>
                  <w:noWrap w:val="0"/>
                  <w:vAlign w:val="center"/>
                </w:tcPr>
                <w:p w14:paraId="1C0C5743">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eastAsia"/>
                      <w:color w:val="FF0000"/>
                    </w:rPr>
                    <w:t>220kV</w:t>
                  </w:r>
                  <w:r>
                    <w:rPr>
                      <w:rFonts w:hint="eastAsia"/>
                      <w:color w:val="FF0000"/>
                      <w:lang w:val="en-US" w:eastAsia="zh-CN"/>
                    </w:rPr>
                    <w:t>同化</w:t>
                  </w:r>
                  <w:r>
                    <w:rPr>
                      <w:rFonts w:hint="eastAsia"/>
                      <w:color w:val="FF0000"/>
                    </w:rPr>
                    <w:t>甲线</w:t>
                  </w:r>
                  <w:r>
                    <w:rPr>
                      <w:rFonts w:hint="default"/>
                      <w:color w:val="FF0000"/>
                    </w:rPr>
                    <w:t>（J</w:t>
                  </w:r>
                  <w:r>
                    <w:rPr>
                      <w:rFonts w:hint="eastAsia"/>
                      <w:color w:val="FF0000"/>
                      <w:lang w:val="en-US" w:eastAsia="zh-CN"/>
                    </w:rPr>
                    <w:t>39</w:t>
                  </w:r>
                  <w:r>
                    <w:rPr>
                      <w:rFonts w:hint="default"/>
                      <w:color w:val="FF0000"/>
                    </w:rPr>
                    <w:t>-J</w:t>
                  </w:r>
                  <w:r>
                    <w:rPr>
                      <w:rFonts w:hint="eastAsia"/>
                      <w:color w:val="FF0000"/>
                      <w:lang w:val="en-US" w:eastAsia="zh-CN"/>
                    </w:rPr>
                    <w:t>40</w:t>
                  </w:r>
                  <w:r>
                    <w:rPr>
                      <w:rFonts w:hint="default"/>
                      <w:color w:val="FF0000"/>
                    </w:rPr>
                    <w:t>）</w:t>
                  </w:r>
                </w:p>
              </w:tc>
              <w:tc>
                <w:tcPr>
                  <w:tcW w:w="1804" w:type="pct"/>
                  <w:tcBorders>
                    <w:tl2br w:val="nil"/>
                    <w:tr2bl w:val="nil"/>
                  </w:tcBorders>
                  <w:noWrap w:val="0"/>
                  <w:vAlign w:val="center"/>
                </w:tcPr>
                <w:p w14:paraId="64607AB0">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输变电线路中心线下0米</w:t>
                  </w:r>
                </w:p>
              </w:tc>
              <w:tc>
                <w:tcPr>
                  <w:tcW w:w="952" w:type="pct"/>
                  <w:tcBorders>
                    <w:tl2br w:val="nil"/>
                    <w:tr2bl w:val="nil"/>
                  </w:tcBorders>
                  <w:noWrap w:val="0"/>
                  <w:vAlign w:val="center"/>
                </w:tcPr>
                <w:p w14:paraId="685410F1">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宋体"/>
                      <w:color w:val="FF0000"/>
                      <w:kern w:val="0"/>
                      <w:lang w:val="en-US" w:eastAsia="zh-CN"/>
                    </w:rPr>
                  </w:pPr>
                  <w:r>
                    <w:rPr>
                      <w:rFonts w:hint="eastAsia"/>
                      <w:color w:val="FF0000"/>
                      <w:kern w:val="0"/>
                      <w:lang w:val="en-US" w:eastAsia="zh-CN"/>
                    </w:rPr>
                    <w:t>42.0</w:t>
                  </w:r>
                </w:p>
              </w:tc>
              <w:tc>
                <w:tcPr>
                  <w:tcW w:w="847" w:type="pct"/>
                  <w:tcBorders>
                    <w:tl2br w:val="nil"/>
                    <w:tr2bl w:val="nil"/>
                  </w:tcBorders>
                  <w:noWrap w:val="0"/>
                  <w:vAlign w:val="center"/>
                </w:tcPr>
                <w:p w14:paraId="5E799F79">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lang w:val="en-US" w:eastAsia="zh-CN"/>
                    </w:rPr>
                  </w:pPr>
                  <w:r>
                    <w:rPr>
                      <w:rFonts w:hint="eastAsia" w:eastAsia="Arial Unicode MS"/>
                      <w:color w:val="FF0000"/>
                      <w:szCs w:val="22"/>
                      <w:lang w:val="en-US" w:eastAsia="zh-CN"/>
                    </w:rPr>
                    <w:t>38.4</w:t>
                  </w:r>
                </w:p>
              </w:tc>
            </w:tr>
            <w:tr w14:paraId="1C073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3794F4F1">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2</w:t>
                  </w:r>
                </w:p>
              </w:tc>
              <w:tc>
                <w:tcPr>
                  <w:tcW w:w="876" w:type="pct"/>
                  <w:vMerge w:val="continue"/>
                  <w:tcBorders>
                    <w:tl2br w:val="nil"/>
                    <w:tr2bl w:val="nil"/>
                  </w:tcBorders>
                  <w:noWrap w:val="0"/>
                  <w:vAlign w:val="center"/>
                </w:tcPr>
                <w:p w14:paraId="22A3D8AE">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194E306F">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侧10米</w:t>
                  </w:r>
                </w:p>
              </w:tc>
              <w:tc>
                <w:tcPr>
                  <w:tcW w:w="952" w:type="pct"/>
                  <w:tcBorders>
                    <w:tl2br w:val="nil"/>
                    <w:tr2bl w:val="nil"/>
                  </w:tcBorders>
                  <w:noWrap w:val="0"/>
                  <w:vAlign w:val="center"/>
                </w:tcPr>
                <w:p w14:paraId="6B8265AD">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宋体"/>
                      <w:color w:val="FF0000"/>
                      <w:lang w:val="en-US" w:eastAsia="zh-CN"/>
                    </w:rPr>
                  </w:pPr>
                  <w:r>
                    <w:rPr>
                      <w:rFonts w:hint="eastAsia"/>
                      <w:color w:val="FF0000"/>
                      <w:lang w:val="en-US" w:eastAsia="zh-CN"/>
                    </w:rPr>
                    <w:t>41.2</w:t>
                  </w:r>
                </w:p>
              </w:tc>
              <w:tc>
                <w:tcPr>
                  <w:tcW w:w="847" w:type="pct"/>
                  <w:tcBorders>
                    <w:tl2br w:val="nil"/>
                    <w:tr2bl w:val="nil"/>
                  </w:tcBorders>
                  <w:noWrap w:val="0"/>
                  <w:vAlign w:val="center"/>
                </w:tcPr>
                <w:p w14:paraId="0939D088">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lang w:val="en-US" w:eastAsia="zh-CN"/>
                    </w:rPr>
                  </w:pPr>
                  <w:r>
                    <w:rPr>
                      <w:rFonts w:hint="eastAsia" w:eastAsia="Arial Unicode MS"/>
                      <w:color w:val="FF0000"/>
                      <w:szCs w:val="22"/>
                      <w:lang w:val="en-US" w:eastAsia="zh-CN"/>
                    </w:rPr>
                    <w:t>37.7</w:t>
                  </w:r>
                </w:p>
              </w:tc>
            </w:tr>
            <w:tr w14:paraId="2B0C1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5E23E95F">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3</w:t>
                  </w:r>
                </w:p>
              </w:tc>
              <w:tc>
                <w:tcPr>
                  <w:tcW w:w="876" w:type="pct"/>
                  <w:vMerge w:val="continue"/>
                  <w:tcBorders>
                    <w:tl2br w:val="nil"/>
                    <w:tr2bl w:val="nil"/>
                  </w:tcBorders>
                  <w:noWrap w:val="0"/>
                  <w:vAlign w:val="center"/>
                </w:tcPr>
                <w:p w14:paraId="6E0A638E">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71758322">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侧20米</w:t>
                  </w:r>
                </w:p>
              </w:tc>
              <w:tc>
                <w:tcPr>
                  <w:tcW w:w="952" w:type="pct"/>
                  <w:tcBorders>
                    <w:tl2br w:val="nil"/>
                    <w:tr2bl w:val="nil"/>
                  </w:tcBorders>
                  <w:noWrap w:val="0"/>
                  <w:vAlign w:val="center"/>
                </w:tcPr>
                <w:p w14:paraId="7E0D3281">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宋体"/>
                      <w:color w:val="FF0000"/>
                      <w:lang w:val="en-US" w:eastAsia="zh-CN"/>
                    </w:rPr>
                  </w:pPr>
                  <w:r>
                    <w:rPr>
                      <w:rFonts w:hint="eastAsia"/>
                      <w:color w:val="FF0000"/>
                      <w:lang w:val="en-US" w:eastAsia="zh-CN"/>
                    </w:rPr>
                    <w:t>40.1</w:t>
                  </w:r>
                </w:p>
              </w:tc>
              <w:tc>
                <w:tcPr>
                  <w:tcW w:w="847" w:type="pct"/>
                  <w:tcBorders>
                    <w:tl2br w:val="nil"/>
                    <w:tr2bl w:val="nil"/>
                  </w:tcBorders>
                  <w:noWrap w:val="0"/>
                  <w:vAlign w:val="center"/>
                </w:tcPr>
                <w:p w14:paraId="5520FF98">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lang w:val="en-US" w:eastAsia="zh-CN"/>
                    </w:rPr>
                  </w:pPr>
                  <w:r>
                    <w:rPr>
                      <w:rFonts w:hint="eastAsia" w:eastAsia="Arial Unicode MS"/>
                      <w:color w:val="FF0000"/>
                      <w:szCs w:val="22"/>
                      <w:lang w:val="en-US" w:eastAsia="zh-CN"/>
                    </w:rPr>
                    <w:t>36.6</w:t>
                  </w:r>
                </w:p>
              </w:tc>
            </w:tr>
            <w:tr w14:paraId="27449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0482256C">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4</w:t>
                  </w:r>
                </w:p>
              </w:tc>
              <w:tc>
                <w:tcPr>
                  <w:tcW w:w="876" w:type="pct"/>
                  <w:vMerge w:val="continue"/>
                  <w:tcBorders>
                    <w:tl2br w:val="nil"/>
                    <w:tr2bl w:val="nil"/>
                  </w:tcBorders>
                  <w:noWrap w:val="0"/>
                  <w:vAlign w:val="center"/>
                </w:tcPr>
                <w:p w14:paraId="78D90B4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1BC5A68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侧30米</w:t>
                  </w:r>
                </w:p>
              </w:tc>
              <w:tc>
                <w:tcPr>
                  <w:tcW w:w="952" w:type="pct"/>
                  <w:tcBorders>
                    <w:tl2br w:val="nil"/>
                    <w:tr2bl w:val="nil"/>
                  </w:tcBorders>
                  <w:noWrap w:val="0"/>
                  <w:vAlign w:val="center"/>
                </w:tcPr>
                <w:p w14:paraId="00BB4B92">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宋体"/>
                      <w:color w:val="FF0000"/>
                      <w:lang w:val="en-US" w:eastAsia="zh-CN"/>
                    </w:rPr>
                  </w:pPr>
                  <w:r>
                    <w:rPr>
                      <w:rFonts w:hint="eastAsia"/>
                      <w:color w:val="FF0000"/>
                      <w:lang w:val="en-US" w:eastAsia="zh-CN"/>
                    </w:rPr>
                    <w:t>39.3</w:t>
                  </w:r>
                </w:p>
              </w:tc>
              <w:tc>
                <w:tcPr>
                  <w:tcW w:w="847" w:type="pct"/>
                  <w:tcBorders>
                    <w:tl2br w:val="nil"/>
                    <w:tr2bl w:val="nil"/>
                  </w:tcBorders>
                  <w:noWrap w:val="0"/>
                  <w:vAlign w:val="center"/>
                </w:tcPr>
                <w:p w14:paraId="40B2B14B">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lang w:val="en-US" w:eastAsia="zh-CN"/>
                    </w:rPr>
                  </w:pPr>
                  <w:r>
                    <w:rPr>
                      <w:rFonts w:hint="eastAsia" w:eastAsia="Arial Unicode MS"/>
                      <w:color w:val="FF0000"/>
                      <w:szCs w:val="22"/>
                      <w:lang w:val="en-US" w:eastAsia="zh-CN"/>
                    </w:rPr>
                    <w:t>36.3</w:t>
                  </w:r>
                </w:p>
              </w:tc>
            </w:tr>
            <w:tr w14:paraId="3ACF2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2D5B63D4">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5</w:t>
                  </w:r>
                </w:p>
              </w:tc>
              <w:tc>
                <w:tcPr>
                  <w:tcW w:w="876" w:type="pct"/>
                  <w:vMerge w:val="continue"/>
                  <w:tcBorders>
                    <w:tl2br w:val="nil"/>
                    <w:tr2bl w:val="nil"/>
                  </w:tcBorders>
                  <w:noWrap w:val="0"/>
                  <w:vAlign w:val="center"/>
                </w:tcPr>
                <w:p w14:paraId="5049AA39">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7D9507FF">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侧40米</w:t>
                  </w:r>
                </w:p>
              </w:tc>
              <w:tc>
                <w:tcPr>
                  <w:tcW w:w="952" w:type="pct"/>
                  <w:tcBorders>
                    <w:tl2br w:val="nil"/>
                    <w:tr2bl w:val="nil"/>
                  </w:tcBorders>
                  <w:noWrap w:val="0"/>
                  <w:vAlign w:val="center"/>
                </w:tcPr>
                <w:p w14:paraId="564EE88F">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宋体"/>
                      <w:color w:val="FF0000"/>
                      <w:lang w:val="en-US" w:eastAsia="zh-CN"/>
                    </w:rPr>
                  </w:pPr>
                  <w:r>
                    <w:rPr>
                      <w:rFonts w:hint="eastAsia"/>
                      <w:color w:val="FF0000"/>
                      <w:lang w:val="en-US" w:eastAsia="zh-CN"/>
                    </w:rPr>
                    <w:t>39.4</w:t>
                  </w:r>
                </w:p>
              </w:tc>
              <w:tc>
                <w:tcPr>
                  <w:tcW w:w="847" w:type="pct"/>
                  <w:tcBorders>
                    <w:tl2br w:val="nil"/>
                    <w:tr2bl w:val="nil"/>
                  </w:tcBorders>
                  <w:noWrap w:val="0"/>
                  <w:vAlign w:val="center"/>
                </w:tcPr>
                <w:p w14:paraId="1C01FE6F">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lang w:val="en-US" w:eastAsia="zh-CN"/>
                    </w:rPr>
                  </w:pPr>
                  <w:r>
                    <w:rPr>
                      <w:rFonts w:hint="eastAsia" w:eastAsia="Arial Unicode MS"/>
                      <w:color w:val="FF0000"/>
                      <w:szCs w:val="22"/>
                      <w:lang w:val="en-US" w:eastAsia="zh-CN"/>
                    </w:rPr>
                    <w:t>35.4</w:t>
                  </w:r>
                </w:p>
              </w:tc>
            </w:tr>
            <w:tr w14:paraId="29034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9" w:type="pct"/>
                  <w:tcBorders>
                    <w:tl2br w:val="nil"/>
                    <w:tr2bl w:val="nil"/>
                  </w:tcBorders>
                  <w:noWrap w:val="0"/>
                  <w:vAlign w:val="center"/>
                </w:tcPr>
                <w:p w14:paraId="2ACE88D4">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6</w:t>
                  </w:r>
                </w:p>
              </w:tc>
              <w:tc>
                <w:tcPr>
                  <w:tcW w:w="876" w:type="pct"/>
                  <w:vMerge w:val="continue"/>
                  <w:tcBorders>
                    <w:tl2br w:val="nil"/>
                    <w:tr2bl w:val="nil"/>
                  </w:tcBorders>
                  <w:noWrap w:val="0"/>
                  <w:vAlign w:val="center"/>
                </w:tcPr>
                <w:p w14:paraId="17BFF80D">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p>
              </w:tc>
              <w:tc>
                <w:tcPr>
                  <w:tcW w:w="1804" w:type="pct"/>
                  <w:tcBorders>
                    <w:tl2br w:val="nil"/>
                    <w:tr2bl w:val="nil"/>
                  </w:tcBorders>
                  <w:noWrap w:val="0"/>
                  <w:vAlign w:val="center"/>
                </w:tcPr>
                <w:p w14:paraId="11BD474A">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color w:val="FF0000"/>
                    </w:rPr>
                  </w:pPr>
                  <w:r>
                    <w:rPr>
                      <w:rFonts w:hint="default"/>
                      <w:color w:val="FF0000"/>
                    </w:rPr>
                    <w:t>输变电线路</w:t>
                  </w:r>
                  <w:r>
                    <w:rPr>
                      <w:rFonts w:hint="eastAsia"/>
                      <w:color w:val="FF0000"/>
                    </w:rPr>
                    <w:t>西</w:t>
                  </w:r>
                  <w:r>
                    <w:rPr>
                      <w:rFonts w:hint="default"/>
                      <w:color w:val="FF0000"/>
                    </w:rPr>
                    <w:t>侧50米</w:t>
                  </w:r>
                </w:p>
              </w:tc>
              <w:tc>
                <w:tcPr>
                  <w:tcW w:w="952" w:type="pct"/>
                  <w:tcBorders>
                    <w:tl2br w:val="nil"/>
                    <w:tr2bl w:val="nil"/>
                  </w:tcBorders>
                  <w:noWrap w:val="0"/>
                  <w:vAlign w:val="center"/>
                </w:tcPr>
                <w:p w14:paraId="690980F7">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宋体"/>
                      <w:color w:val="FF0000"/>
                      <w:lang w:val="en-US" w:eastAsia="zh-CN"/>
                    </w:rPr>
                  </w:pPr>
                  <w:r>
                    <w:rPr>
                      <w:rFonts w:hint="eastAsia"/>
                      <w:color w:val="FF0000"/>
                      <w:lang w:val="en-US" w:eastAsia="zh-CN"/>
                    </w:rPr>
                    <w:t>38.5</w:t>
                  </w:r>
                </w:p>
              </w:tc>
              <w:tc>
                <w:tcPr>
                  <w:tcW w:w="847" w:type="pct"/>
                  <w:tcBorders>
                    <w:tl2br w:val="nil"/>
                    <w:tr2bl w:val="nil"/>
                  </w:tcBorders>
                  <w:noWrap w:val="0"/>
                  <w:vAlign w:val="center"/>
                </w:tcPr>
                <w:p w14:paraId="519D58C1">
                  <w:pPr>
                    <w:pStyle w:val="67"/>
                    <w:keepNext w:val="0"/>
                    <w:keepLines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eastAsia="Arial Unicode MS"/>
                      <w:color w:val="FF0000"/>
                      <w:szCs w:val="22"/>
                      <w:lang w:val="en-US" w:eastAsia="zh-CN"/>
                    </w:rPr>
                  </w:pPr>
                  <w:r>
                    <w:rPr>
                      <w:rFonts w:hint="eastAsia" w:eastAsia="Arial Unicode MS"/>
                      <w:color w:val="FF0000"/>
                      <w:szCs w:val="22"/>
                      <w:lang w:val="en-US" w:eastAsia="zh-CN"/>
                    </w:rPr>
                    <w:t>35.5</w:t>
                  </w:r>
                </w:p>
              </w:tc>
            </w:tr>
          </w:tbl>
          <w:p w14:paraId="4AEAF564">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宋体"/>
                <w:b w:val="0"/>
                <w:bCs/>
                <w:color w:val="FF0000"/>
                <w:kern w:val="2"/>
                <w:sz w:val="24"/>
                <w:szCs w:val="24"/>
                <w:lang w:val="en-US" w:eastAsia="zh-CN" w:bidi="ar"/>
              </w:rPr>
            </w:pPr>
            <w:r>
              <w:rPr>
                <w:rFonts w:hint="eastAsia" w:ascii="宋体" w:hAnsi="宋体" w:eastAsia="宋体" w:cs="宋体"/>
                <w:b w:val="0"/>
                <w:bCs/>
                <w:color w:val="FF0000"/>
                <w:kern w:val="2"/>
                <w:sz w:val="24"/>
                <w:szCs w:val="24"/>
                <w:lang w:val="en-US" w:eastAsia="zh-CN" w:bidi="ar"/>
              </w:rPr>
              <w:t>根据监测数据可知，</w:t>
            </w:r>
            <w:r>
              <w:rPr>
                <w:rFonts w:hint="eastAsia" w:cs="Times New Roman"/>
                <w:b w:val="0"/>
                <w:bCs/>
                <w:color w:val="FF0000"/>
                <w:kern w:val="2"/>
                <w:sz w:val="24"/>
                <w:szCs w:val="24"/>
                <w:lang w:val="en-US" w:eastAsia="zh-CN" w:bidi="ar"/>
              </w:rPr>
              <w:t>《</w:t>
            </w:r>
            <w:r>
              <w:rPr>
                <w:rFonts w:hint="default"/>
                <w:bCs/>
                <w:color w:val="FF0000"/>
                <w:sz w:val="24"/>
              </w:rPr>
              <w:t>黑龙江大庆林源220kV输变电工程</w:t>
            </w:r>
            <w:r>
              <w:rPr>
                <w:rFonts w:hint="eastAsia" w:cs="Times New Roman"/>
                <w:b w:val="0"/>
                <w:bCs/>
                <w:color w:val="FF0000"/>
                <w:kern w:val="2"/>
                <w:sz w:val="24"/>
                <w:szCs w:val="24"/>
                <w:lang w:val="en-US" w:eastAsia="zh-CN" w:bidi="ar"/>
              </w:rPr>
              <w:t>》双回路输电线路</w:t>
            </w:r>
            <w:r>
              <w:rPr>
                <w:rFonts w:hint="eastAsia" w:ascii="宋体" w:hAnsi="宋体" w:eastAsia="宋体" w:cs="宋体"/>
                <w:b w:val="0"/>
                <w:bCs/>
                <w:color w:val="FF0000"/>
                <w:kern w:val="2"/>
                <w:sz w:val="24"/>
                <w:szCs w:val="24"/>
                <w:lang w:val="en-US" w:eastAsia="zh-CN" w:bidi="ar"/>
              </w:rPr>
              <w:t>昼间的噪声值为</w:t>
            </w:r>
            <w:r>
              <w:rPr>
                <w:rFonts w:hint="eastAsia" w:cs="Times New Roman"/>
                <w:b w:val="0"/>
                <w:bCs/>
                <w:color w:val="FF0000"/>
                <w:kern w:val="2"/>
                <w:sz w:val="24"/>
                <w:szCs w:val="24"/>
                <w:lang w:val="en-US" w:eastAsia="zh-CN" w:bidi="ar"/>
              </w:rPr>
              <w:t>39.2-42.3</w:t>
            </w:r>
            <w:r>
              <w:rPr>
                <w:rFonts w:hint="default" w:ascii="Times New Roman" w:hAnsi="Times New Roman" w:eastAsia="宋体" w:cs="Times New Roman"/>
                <w:b w:val="0"/>
                <w:bCs/>
                <w:color w:val="FF0000"/>
                <w:kern w:val="2"/>
                <w:sz w:val="24"/>
                <w:szCs w:val="24"/>
                <w:lang w:val="en-US" w:eastAsia="zh-CN" w:bidi="ar"/>
              </w:rPr>
              <w:t>dB(A)</w:t>
            </w:r>
            <w:r>
              <w:rPr>
                <w:rFonts w:hint="eastAsia" w:ascii="宋体" w:hAnsi="宋体" w:eastAsia="宋体" w:cs="宋体"/>
                <w:b w:val="0"/>
                <w:bCs/>
                <w:color w:val="FF0000"/>
                <w:kern w:val="2"/>
                <w:sz w:val="24"/>
                <w:szCs w:val="24"/>
                <w:lang w:val="en-US" w:eastAsia="zh-CN" w:bidi="ar"/>
              </w:rPr>
              <w:t>，夜间的噪声值为</w:t>
            </w:r>
            <w:r>
              <w:rPr>
                <w:rFonts w:hint="eastAsia" w:cs="Times New Roman"/>
                <w:b w:val="0"/>
                <w:bCs/>
                <w:color w:val="FF0000"/>
                <w:kern w:val="2"/>
                <w:sz w:val="24"/>
                <w:szCs w:val="24"/>
                <w:lang w:val="en-US" w:eastAsia="zh-CN" w:bidi="ar"/>
              </w:rPr>
              <w:t>35.3-37.2</w:t>
            </w:r>
            <w:r>
              <w:rPr>
                <w:rFonts w:hint="default" w:ascii="Times New Roman" w:hAnsi="Times New Roman" w:eastAsia="宋体" w:cs="Times New Roman"/>
                <w:b w:val="0"/>
                <w:bCs/>
                <w:color w:val="FF0000"/>
                <w:kern w:val="2"/>
                <w:sz w:val="24"/>
                <w:szCs w:val="24"/>
                <w:lang w:val="en-US" w:eastAsia="zh-CN" w:bidi="ar"/>
              </w:rPr>
              <w:t>dB(A)</w:t>
            </w:r>
            <w:r>
              <w:rPr>
                <w:rFonts w:hint="eastAsia" w:ascii="宋体" w:hAnsi="宋体" w:eastAsia="宋体" w:cs="宋体"/>
                <w:b w:val="0"/>
                <w:bCs/>
                <w:color w:val="FF0000"/>
                <w:kern w:val="2"/>
                <w:sz w:val="24"/>
                <w:szCs w:val="24"/>
                <w:lang w:val="en-US" w:eastAsia="zh-CN" w:bidi="ar"/>
              </w:rPr>
              <w:t>，</w:t>
            </w:r>
            <w:r>
              <w:rPr>
                <w:rFonts w:hint="eastAsia" w:ascii="宋体" w:hAnsi="宋体" w:cs="宋体"/>
                <w:b w:val="0"/>
                <w:bCs/>
                <w:color w:val="FF0000"/>
                <w:kern w:val="2"/>
                <w:sz w:val="24"/>
                <w:szCs w:val="24"/>
                <w:lang w:val="en-US" w:eastAsia="zh-CN" w:bidi="ar"/>
              </w:rPr>
              <w:t>单</w:t>
            </w:r>
            <w:r>
              <w:rPr>
                <w:rFonts w:hint="eastAsia" w:cs="Times New Roman"/>
                <w:b w:val="0"/>
                <w:bCs/>
                <w:color w:val="FF0000"/>
                <w:kern w:val="2"/>
                <w:sz w:val="24"/>
                <w:szCs w:val="24"/>
                <w:lang w:val="en-US" w:eastAsia="zh-CN" w:bidi="ar"/>
              </w:rPr>
              <w:t>回路输电线路</w:t>
            </w:r>
            <w:r>
              <w:rPr>
                <w:rFonts w:hint="eastAsia" w:ascii="宋体" w:hAnsi="宋体" w:eastAsia="宋体" w:cs="宋体"/>
                <w:b w:val="0"/>
                <w:bCs/>
                <w:color w:val="FF0000"/>
                <w:kern w:val="2"/>
                <w:sz w:val="24"/>
                <w:szCs w:val="24"/>
                <w:lang w:val="en-US" w:eastAsia="zh-CN" w:bidi="ar"/>
              </w:rPr>
              <w:t>昼间的噪声值</w:t>
            </w:r>
            <w:r>
              <w:rPr>
                <w:rFonts w:hint="eastAsia" w:ascii="Times New Roman" w:hAnsi="Times New Roman" w:eastAsia="宋体" w:cs="Times New Roman"/>
                <w:b w:val="0"/>
                <w:bCs/>
                <w:color w:val="FF0000"/>
                <w:kern w:val="2"/>
                <w:sz w:val="24"/>
                <w:szCs w:val="24"/>
                <w:lang w:val="en-US" w:eastAsia="zh-CN" w:bidi="ar"/>
              </w:rPr>
              <w:t>为38.5-42.0</w:t>
            </w:r>
            <w:r>
              <w:rPr>
                <w:rFonts w:hint="default" w:ascii="Times New Roman" w:hAnsi="Times New Roman" w:eastAsia="宋体" w:cs="Times New Roman"/>
                <w:b w:val="0"/>
                <w:bCs/>
                <w:color w:val="FF0000"/>
                <w:kern w:val="2"/>
                <w:sz w:val="24"/>
                <w:szCs w:val="24"/>
                <w:lang w:val="en-US" w:eastAsia="zh-CN" w:bidi="ar"/>
              </w:rPr>
              <w:t>dB(A)</w:t>
            </w:r>
            <w:r>
              <w:rPr>
                <w:rFonts w:hint="eastAsia" w:ascii="Times New Roman" w:hAnsi="Times New Roman" w:eastAsia="宋体" w:cs="Times New Roman"/>
                <w:b w:val="0"/>
                <w:bCs/>
                <w:color w:val="FF0000"/>
                <w:kern w:val="2"/>
                <w:sz w:val="24"/>
                <w:szCs w:val="24"/>
                <w:lang w:val="en-US" w:eastAsia="zh-CN" w:bidi="ar"/>
              </w:rPr>
              <w:t>，夜</w:t>
            </w:r>
            <w:r>
              <w:rPr>
                <w:rFonts w:hint="eastAsia" w:ascii="宋体" w:hAnsi="宋体" w:eastAsia="宋体" w:cs="宋体"/>
                <w:b w:val="0"/>
                <w:bCs/>
                <w:color w:val="FF0000"/>
                <w:kern w:val="2"/>
                <w:sz w:val="24"/>
                <w:szCs w:val="24"/>
                <w:lang w:val="en-US" w:eastAsia="zh-CN" w:bidi="ar"/>
              </w:rPr>
              <w:t>间的噪声值为</w:t>
            </w:r>
            <w:r>
              <w:rPr>
                <w:rFonts w:hint="eastAsia" w:cs="Times New Roman"/>
                <w:b w:val="0"/>
                <w:bCs/>
                <w:color w:val="FF0000"/>
                <w:kern w:val="2"/>
                <w:sz w:val="24"/>
                <w:szCs w:val="24"/>
                <w:lang w:val="en-US" w:eastAsia="zh-CN" w:bidi="ar"/>
              </w:rPr>
              <w:t>35.4-38.4</w:t>
            </w:r>
            <w:r>
              <w:rPr>
                <w:rFonts w:hint="default" w:ascii="Times New Roman" w:hAnsi="Times New Roman" w:eastAsia="宋体" w:cs="Times New Roman"/>
                <w:b w:val="0"/>
                <w:bCs/>
                <w:color w:val="FF0000"/>
                <w:kern w:val="2"/>
                <w:sz w:val="24"/>
                <w:szCs w:val="24"/>
                <w:lang w:val="en-US" w:eastAsia="zh-CN" w:bidi="ar"/>
              </w:rPr>
              <w:t>dB(A)</w:t>
            </w:r>
            <w:r>
              <w:rPr>
                <w:rFonts w:hint="eastAsia" w:ascii="宋体" w:hAnsi="宋体" w:eastAsia="宋体" w:cs="宋体"/>
                <w:b w:val="0"/>
                <w:bCs/>
                <w:color w:val="FF0000"/>
                <w:kern w:val="2"/>
                <w:sz w:val="24"/>
                <w:szCs w:val="24"/>
                <w:lang w:val="en-US" w:eastAsia="zh-CN" w:bidi="ar"/>
              </w:rPr>
              <w:t>，声环境监测结果满足《声环境质量标准》（</w:t>
            </w:r>
            <w:r>
              <w:rPr>
                <w:rFonts w:hint="default" w:ascii="Times New Roman" w:hAnsi="Times New Roman" w:eastAsia="宋体" w:cs="Times New Roman"/>
                <w:b w:val="0"/>
                <w:bCs/>
                <w:color w:val="FF0000"/>
                <w:kern w:val="2"/>
                <w:sz w:val="24"/>
                <w:szCs w:val="24"/>
                <w:lang w:val="en-US" w:eastAsia="zh-CN" w:bidi="ar"/>
              </w:rPr>
              <w:t>GB</w:t>
            </w:r>
            <w:r>
              <w:rPr>
                <w:rFonts w:hint="eastAsia" w:ascii="Times New Roman" w:hAnsi="Times New Roman" w:eastAsia="宋体" w:cs="Times New Roman"/>
                <w:b w:val="0"/>
                <w:bCs/>
                <w:color w:val="FF0000"/>
                <w:kern w:val="2"/>
                <w:sz w:val="24"/>
                <w:szCs w:val="24"/>
                <w:lang w:val="en-US" w:eastAsia="zh-CN" w:bidi="ar"/>
              </w:rPr>
              <w:t xml:space="preserve"> </w:t>
            </w:r>
            <w:r>
              <w:rPr>
                <w:rFonts w:hint="default" w:ascii="Times New Roman" w:hAnsi="Times New Roman" w:eastAsia="宋体" w:cs="Times New Roman"/>
                <w:b w:val="0"/>
                <w:bCs/>
                <w:color w:val="FF0000"/>
                <w:kern w:val="2"/>
                <w:sz w:val="24"/>
                <w:szCs w:val="24"/>
                <w:lang w:val="en-US" w:eastAsia="zh-CN" w:bidi="ar"/>
              </w:rPr>
              <w:t>3096-2008</w:t>
            </w:r>
            <w:r>
              <w:rPr>
                <w:rFonts w:hint="eastAsia" w:ascii="宋体" w:hAnsi="宋体" w:eastAsia="宋体" w:cs="宋体"/>
                <w:b w:val="0"/>
                <w:bCs/>
                <w:color w:val="FF0000"/>
                <w:kern w:val="2"/>
                <w:sz w:val="24"/>
                <w:szCs w:val="24"/>
                <w:lang w:val="en-US" w:eastAsia="zh-CN" w:bidi="ar"/>
              </w:rPr>
              <w:t>）中</w:t>
            </w:r>
            <w:r>
              <w:rPr>
                <w:rFonts w:hint="eastAsia" w:cs="Times New Roman"/>
                <w:b w:val="0"/>
                <w:bCs/>
                <w:color w:val="FF0000"/>
                <w:kern w:val="2"/>
                <w:sz w:val="24"/>
                <w:szCs w:val="24"/>
                <w:lang w:val="en-US" w:eastAsia="zh-CN" w:bidi="ar"/>
              </w:rPr>
              <w:t>1</w:t>
            </w:r>
            <w:r>
              <w:rPr>
                <w:rFonts w:hint="eastAsia" w:ascii="宋体" w:hAnsi="宋体" w:eastAsia="宋体" w:cs="宋体"/>
                <w:b w:val="0"/>
                <w:bCs/>
                <w:color w:val="FF0000"/>
                <w:kern w:val="2"/>
                <w:sz w:val="24"/>
                <w:szCs w:val="24"/>
                <w:lang w:val="en-US" w:eastAsia="zh-CN" w:bidi="ar"/>
              </w:rPr>
              <w:t>类标准</w:t>
            </w:r>
            <w:r>
              <w:rPr>
                <w:rFonts w:hint="eastAsia" w:ascii="宋体" w:hAnsi="宋体" w:eastAsia="宋体" w:cs="宋体"/>
                <w:b w:val="0"/>
                <w:bCs w:val="0"/>
                <w:color w:val="FF0000"/>
                <w:kern w:val="2"/>
                <w:sz w:val="24"/>
                <w:szCs w:val="24"/>
                <w:lang w:val="en-US" w:eastAsia="zh-CN" w:bidi="ar"/>
              </w:rPr>
              <w:t>要求（昼间</w:t>
            </w:r>
            <w:r>
              <w:rPr>
                <w:rFonts w:hint="eastAsia" w:ascii="宋体" w:hAnsi="宋体" w:cs="宋体"/>
                <w:b w:val="0"/>
                <w:bCs w:val="0"/>
                <w:color w:val="FF0000"/>
                <w:kern w:val="2"/>
                <w:sz w:val="24"/>
                <w:szCs w:val="24"/>
                <w:lang w:val="en-US" w:eastAsia="zh-CN" w:bidi="ar"/>
              </w:rPr>
              <w:t>55</w:t>
            </w:r>
            <w:r>
              <w:rPr>
                <w:rFonts w:hint="default" w:ascii="Times New Roman" w:hAnsi="Times New Roman" w:eastAsia="宋体" w:cs="Times New Roman"/>
                <w:b w:val="0"/>
                <w:bCs w:val="0"/>
                <w:color w:val="FF0000"/>
                <w:kern w:val="2"/>
                <w:sz w:val="24"/>
                <w:szCs w:val="24"/>
                <w:lang w:val="en-US" w:eastAsia="zh-CN" w:bidi="ar"/>
              </w:rPr>
              <w:t>dB</w:t>
            </w:r>
            <w:r>
              <w:rPr>
                <w:rFonts w:hint="eastAsia" w:cs="Times New Roman"/>
                <w:b w:val="0"/>
                <w:bCs w:val="0"/>
                <w:color w:val="FF0000"/>
                <w:kern w:val="2"/>
                <w:sz w:val="24"/>
                <w:szCs w:val="24"/>
                <w:lang w:val="en-US" w:eastAsia="zh-CN" w:bidi="ar"/>
              </w:rPr>
              <w:t>（A）</w:t>
            </w:r>
            <w:r>
              <w:rPr>
                <w:rFonts w:hint="eastAsia" w:ascii="宋体" w:hAnsi="宋体" w:eastAsia="宋体" w:cs="宋体"/>
                <w:b w:val="0"/>
                <w:bCs w:val="0"/>
                <w:color w:val="FF0000"/>
                <w:kern w:val="2"/>
                <w:sz w:val="24"/>
                <w:szCs w:val="24"/>
                <w:lang w:val="en-US" w:eastAsia="zh-CN" w:bidi="ar"/>
              </w:rPr>
              <w:t>，夜间</w:t>
            </w:r>
            <w:r>
              <w:rPr>
                <w:rFonts w:hint="eastAsia" w:cs="Times New Roman"/>
                <w:b w:val="0"/>
                <w:bCs w:val="0"/>
                <w:color w:val="FF0000"/>
                <w:kern w:val="2"/>
                <w:sz w:val="24"/>
                <w:szCs w:val="24"/>
                <w:lang w:val="en-US" w:eastAsia="zh-CN" w:bidi="ar"/>
              </w:rPr>
              <w:t>45</w:t>
            </w:r>
            <w:r>
              <w:rPr>
                <w:rFonts w:hint="default" w:ascii="Times New Roman" w:hAnsi="Times New Roman" w:eastAsia="宋体" w:cs="Times New Roman"/>
                <w:b w:val="0"/>
                <w:bCs w:val="0"/>
                <w:color w:val="FF0000"/>
                <w:kern w:val="2"/>
                <w:sz w:val="24"/>
                <w:szCs w:val="24"/>
                <w:lang w:val="en-US" w:eastAsia="zh-CN" w:bidi="ar"/>
              </w:rPr>
              <w:t>dB</w:t>
            </w:r>
            <w:r>
              <w:rPr>
                <w:rFonts w:hint="eastAsia" w:cs="Times New Roman"/>
                <w:b w:val="0"/>
                <w:bCs w:val="0"/>
                <w:color w:val="FF0000"/>
                <w:kern w:val="2"/>
                <w:sz w:val="24"/>
                <w:szCs w:val="24"/>
                <w:lang w:val="en-US" w:eastAsia="zh-CN" w:bidi="ar"/>
              </w:rPr>
              <w:t>（A）</w:t>
            </w:r>
            <w:r>
              <w:rPr>
                <w:rFonts w:hint="eastAsia" w:ascii="宋体" w:hAnsi="宋体" w:eastAsia="宋体" w:cs="宋体"/>
                <w:b w:val="0"/>
                <w:bCs w:val="0"/>
                <w:color w:val="FF0000"/>
                <w:kern w:val="2"/>
                <w:sz w:val="24"/>
                <w:szCs w:val="24"/>
                <w:lang w:val="en-US" w:eastAsia="zh-CN" w:bidi="ar"/>
              </w:rPr>
              <w:t>）</w:t>
            </w:r>
            <w:r>
              <w:rPr>
                <w:rFonts w:hint="eastAsia" w:ascii="宋体" w:hAnsi="宋体" w:eastAsia="宋体" w:cs="宋体"/>
                <w:b w:val="0"/>
                <w:bCs/>
                <w:color w:val="FF0000"/>
                <w:kern w:val="2"/>
                <w:sz w:val="24"/>
                <w:szCs w:val="24"/>
                <w:lang w:val="en-US" w:eastAsia="zh-CN" w:bidi="ar"/>
              </w:rPr>
              <w:t>。</w:t>
            </w:r>
            <w:r>
              <w:rPr>
                <w:rFonts w:hint="eastAsia" w:ascii="Times New Roman" w:hAnsi="Times New Roman" w:eastAsia="宋体" w:cs="宋体"/>
                <w:b w:val="0"/>
                <w:bCs/>
                <w:color w:val="FF0000"/>
                <w:kern w:val="2"/>
                <w:sz w:val="24"/>
                <w:szCs w:val="24"/>
                <w:lang w:val="en-US" w:eastAsia="zh-CN" w:bidi="ar"/>
              </w:rPr>
              <w:t>根据类比噪声监测类比分析可知，本工程拟建输电线路及改造线路建成后声环境预计能够满足《声环境质量标准》（GB 3096-2008）中1类和2类标准限值要求。</w:t>
            </w:r>
          </w:p>
          <w:p w14:paraId="7CEFE5BC">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3</w:t>
            </w:r>
            <w:r>
              <w:rPr>
                <w:rFonts w:hint="eastAsia"/>
                <w:b/>
                <w:bCs/>
                <w:color w:val="000000" w:themeColor="text1"/>
                <w:sz w:val="24"/>
                <w14:textFill>
                  <w14:solidFill>
                    <w14:schemeClr w14:val="tx1"/>
                  </w14:solidFill>
                </w14:textFill>
              </w:rPr>
              <w:t>、大气环境</w:t>
            </w:r>
            <w:r>
              <w:rPr>
                <w:rFonts w:hint="default"/>
                <w:b/>
                <w:bCs/>
                <w:color w:val="000000" w:themeColor="text1"/>
                <w:sz w:val="24"/>
                <w14:textFill>
                  <w14:solidFill>
                    <w14:schemeClr w14:val="tx1"/>
                  </w14:solidFill>
                </w14:textFill>
              </w:rPr>
              <w:t>影响分析</w:t>
            </w:r>
          </w:p>
          <w:p w14:paraId="4E8F9B95">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本工程运行期间，变电站和输电线路运行期间对大气环境不产生影响。</w:t>
            </w:r>
          </w:p>
          <w:p w14:paraId="55E774F4">
            <w:pPr>
              <w:keepNext w:val="0"/>
              <w:keepLines w:val="0"/>
              <w:suppressLineNumbers w:val="0"/>
              <w:adjustRightInd w:val="0"/>
              <w:snapToGrid w:val="0"/>
              <w:spacing w:before="0" w:beforeAutospacing="0" w:after="0" w:afterAutospacing="0" w:line="360" w:lineRule="auto"/>
              <w:ind w:left="0" w:right="0" w:firstLine="482" w:firstLineChars="200"/>
              <w:rPr>
                <w:rFonts w:hint="default"/>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4</w:t>
            </w:r>
            <w:r>
              <w:rPr>
                <w:rFonts w:hint="eastAsia"/>
                <w:b/>
                <w:bCs/>
                <w:color w:val="000000" w:themeColor="text1"/>
                <w:sz w:val="24"/>
                <w14:textFill>
                  <w14:solidFill>
                    <w14:schemeClr w14:val="tx1"/>
                  </w14:solidFill>
                </w14:textFill>
              </w:rPr>
              <w:t>、</w:t>
            </w:r>
            <w:r>
              <w:rPr>
                <w:rFonts w:hint="default"/>
                <w:b/>
                <w:bCs/>
                <w:color w:val="000000" w:themeColor="text1"/>
                <w:sz w:val="24"/>
                <w14:textFill>
                  <w14:solidFill>
                    <w14:schemeClr w14:val="tx1"/>
                  </w14:solidFill>
                </w14:textFill>
              </w:rPr>
              <w:t>水环境影响分析</w:t>
            </w:r>
          </w:p>
          <w:p w14:paraId="688DF2EC">
            <w:pPr>
              <w:pStyle w:val="74"/>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本工程运行期间，</w:t>
            </w:r>
            <w:r>
              <w:rPr>
                <w:rFonts w:hint="eastAsia"/>
                <w:color w:val="000000" w:themeColor="text1"/>
                <w:sz w:val="24"/>
                <w:lang w:val="en-US" w:eastAsia="zh-CN"/>
                <w14:textFill>
                  <w14:solidFill>
                    <w14:schemeClr w14:val="tx1"/>
                  </w14:solidFill>
                </w14:textFill>
              </w:rPr>
              <w:t>无新增员工，因此无新增生活污水</w:t>
            </w:r>
            <w:r>
              <w:rPr>
                <w:rFonts w:hint="default"/>
                <w:color w:val="000000" w:themeColor="text1"/>
                <w:sz w:val="24"/>
                <w14:textFill>
                  <w14:solidFill>
                    <w14:schemeClr w14:val="tx1"/>
                  </w14:solidFill>
                </w14:textFill>
              </w:rPr>
              <w:t>。</w:t>
            </w:r>
          </w:p>
          <w:p w14:paraId="16B17BBF">
            <w:pPr>
              <w:keepNext w:val="0"/>
              <w:keepLines w:val="0"/>
              <w:suppressLineNumbers w:val="0"/>
              <w:adjustRightInd w:val="0"/>
              <w:snapToGrid w:val="0"/>
              <w:spacing w:before="0" w:beforeAutospacing="0" w:after="0" w:afterAutospacing="0" w:line="360" w:lineRule="auto"/>
              <w:ind w:left="0" w:right="0" w:firstLine="482" w:firstLineChars="200"/>
              <w:rPr>
                <w:rFonts w:hint="default"/>
                <w:color w:val="000000" w:themeColor="text1"/>
                <w14:textFill>
                  <w14:solidFill>
                    <w14:schemeClr w14:val="tx1"/>
                  </w14:solidFill>
                </w14:textFill>
              </w:rPr>
            </w:pPr>
            <w:r>
              <w:rPr>
                <w:rFonts w:hint="eastAsia"/>
                <w:b/>
                <w:bCs/>
                <w:color w:val="000000" w:themeColor="text1"/>
                <w:sz w:val="24"/>
                <w:lang w:val="en-US" w:eastAsia="zh-CN"/>
                <w14:textFill>
                  <w14:solidFill>
                    <w14:schemeClr w14:val="tx1"/>
                  </w14:solidFill>
                </w14:textFill>
              </w:rPr>
              <w:t>5</w:t>
            </w:r>
            <w:r>
              <w:rPr>
                <w:rFonts w:hint="eastAsia"/>
                <w:b/>
                <w:bCs/>
                <w:color w:val="000000" w:themeColor="text1"/>
                <w:sz w:val="24"/>
                <w14:textFill>
                  <w14:solidFill>
                    <w14:schemeClr w14:val="tx1"/>
                  </w14:solidFill>
                </w14:textFill>
              </w:rPr>
              <w:t>、</w:t>
            </w:r>
            <w:r>
              <w:rPr>
                <w:rFonts w:hint="default"/>
                <w:b/>
                <w:bCs/>
                <w:color w:val="000000" w:themeColor="text1"/>
                <w:sz w:val="24"/>
                <w14:textFill>
                  <w14:solidFill>
                    <w14:schemeClr w14:val="tx1"/>
                  </w14:solidFill>
                </w14:textFill>
              </w:rPr>
              <w:t>固体废物影响分析</w:t>
            </w:r>
          </w:p>
          <w:p w14:paraId="065B3785">
            <w:pPr>
              <w:pStyle w:val="74"/>
              <w:keepNext w:val="0"/>
              <w:keepLines w:val="0"/>
              <w:suppressLineNumbers w:val="0"/>
              <w:spacing w:before="0" w:beforeAutospacing="0" w:after="0" w:afterAutospacing="0"/>
              <w:ind w:left="0" w:right="0" w:firstLine="480"/>
              <w:rPr>
                <w:rFonts w:hint="default"/>
                <w:color w:val="auto"/>
                <w:sz w:val="24"/>
                <w:lang w:val="en-US" w:eastAsia="zh-CN"/>
              </w:rPr>
            </w:pPr>
            <w:r>
              <w:rPr>
                <w:rFonts w:hint="eastAsia"/>
                <w:color w:val="auto"/>
                <w:sz w:val="24"/>
                <w:lang w:val="en-US" w:eastAsia="zh-CN"/>
              </w:rPr>
              <w:t>1）新建线路部分运营期无</w:t>
            </w:r>
            <w:r>
              <w:rPr>
                <w:rFonts w:hint="eastAsia" w:ascii="Times New Roman" w:eastAsia="宋体"/>
                <w:color w:val="auto"/>
                <w:sz w:val="24"/>
                <w:lang w:val="en-US" w:eastAsia="zh-CN"/>
              </w:rPr>
              <w:t>固体废物产生</w:t>
            </w:r>
            <w:r>
              <w:rPr>
                <w:rFonts w:hint="eastAsia"/>
                <w:color w:val="auto"/>
                <w:sz w:val="24"/>
                <w:lang w:val="en-US" w:eastAsia="zh-CN"/>
              </w:rPr>
              <w:t>；</w:t>
            </w:r>
          </w:p>
          <w:p w14:paraId="67BD8C77">
            <w:pPr>
              <w:pStyle w:val="74"/>
              <w:keepNext w:val="0"/>
              <w:keepLines w:val="0"/>
              <w:suppressLineNumbers w:val="0"/>
              <w:spacing w:before="0" w:beforeAutospacing="0" w:after="0" w:afterAutospacing="0"/>
              <w:ind w:left="0" w:right="0" w:firstLine="480"/>
              <w:rPr>
                <w:rFonts w:hint="default"/>
                <w:bCs/>
                <w:color w:val="000000" w:themeColor="text1"/>
                <w:sz w:val="24"/>
                <w14:textFill>
                  <w14:solidFill>
                    <w14:schemeClr w14:val="tx1"/>
                  </w14:solidFill>
                </w14:textFill>
              </w:rPr>
            </w:pPr>
            <w:r>
              <w:rPr>
                <w:rFonts w:hint="eastAsia" w:ascii="Times New Roman" w:hAnsi="Times New Roman" w:eastAsia="宋体"/>
                <w:color w:val="auto"/>
                <w:sz w:val="24"/>
                <w:lang w:val="en-US" w:eastAsia="zh-CN"/>
              </w:rPr>
              <w:t>2）</w:t>
            </w:r>
            <w:r>
              <w:rPr>
                <w:rFonts w:hint="eastAsia" w:ascii="Times New Roman" w:hAnsi="Times New Roman" w:eastAsia="宋体" w:cs="Times New Roman"/>
                <w:color w:val="000000"/>
                <w:kern w:val="0"/>
                <w:sz w:val="24"/>
                <w:lang w:bidi="ar"/>
              </w:rPr>
              <w:t>本期不涉及新增危险废物，无新增生活垃圾</w:t>
            </w:r>
            <w:r>
              <w:rPr>
                <w:rFonts w:hint="eastAsia" w:ascii="Times New Roman" w:hAnsi="Times New Roman" w:eastAsia="宋体" w:cs="Times New Roman"/>
                <w:color w:val="000000"/>
                <w:kern w:val="0"/>
                <w:sz w:val="24"/>
                <w:lang w:eastAsia="zh-CN" w:bidi="ar"/>
              </w:rPr>
              <w:t>。</w:t>
            </w:r>
            <w:r>
              <w:rPr>
                <w:rFonts w:hint="default" w:ascii="Times New Roman" w:hAnsi="Times New Roman" w:eastAsia="宋体" w:cs="Times New Roman"/>
                <w:color w:val="auto"/>
                <w:sz w:val="24"/>
                <w:szCs w:val="24"/>
                <w:highlight w:val="none"/>
                <w:lang w:val="en-US" w:eastAsia="zh-CN"/>
              </w:rPr>
              <w:t>生活垃圾采用垃圾桶集中收集后交由环卫部门清运处理，废变压器油、</w:t>
            </w:r>
            <w:r>
              <w:rPr>
                <w:rFonts w:hint="default" w:ascii="Times New Roman" w:hAnsi="Times New Roman" w:eastAsia="宋体" w:cs="Times New Roman"/>
                <w:bCs/>
                <w:color w:val="auto"/>
                <w:sz w:val="24"/>
                <w:szCs w:val="24"/>
                <w:highlight w:val="none"/>
                <w:lang w:val="en-US" w:eastAsia="zh-CN"/>
              </w:rPr>
              <w:t>废</w:t>
            </w:r>
            <w:r>
              <w:rPr>
                <w:rFonts w:hint="eastAsia" w:cs="Times New Roman"/>
                <w:bCs/>
                <w:color w:val="auto"/>
                <w:sz w:val="24"/>
                <w:szCs w:val="24"/>
                <w:highlight w:val="none"/>
                <w:lang w:val="en-US" w:eastAsia="zh-CN"/>
              </w:rPr>
              <w:t>铅</w:t>
            </w:r>
            <w:r>
              <w:rPr>
                <w:rFonts w:hint="default" w:ascii="Times New Roman" w:hAnsi="Times New Roman" w:eastAsia="宋体" w:cs="Times New Roman"/>
                <w:bCs/>
                <w:color w:val="auto"/>
                <w:sz w:val="24"/>
                <w:szCs w:val="24"/>
                <w:highlight w:val="none"/>
                <w:lang w:val="en-US" w:eastAsia="zh-CN"/>
              </w:rPr>
              <w:t>蓄电池</w:t>
            </w:r>
            <w:r>
              <w:rPr>
                <w:rFonts w:hint="default" w:ascii="Times New Roman" w:hAnsi="Times New Roman" w:eastAsia="宋体" w:cs="Times New Roman"/>
                <w:color w:val="auto"/>
                <w:sz w:val="24"/>
                <w:szCs w:val="24"/>
                <w:highlight w:val="none"/>
                <w:lang w:val="en-US" w:eastAsia="zh-CN"/>
              </w:rPr>
              <w:t>交由有资质单位处置。</w:t>
            </w:r>
          </w:p>
          <w:p w14:paraId="111C7C03">
            <w:pPr>
              <w:keepNext w:val="0"/>
              <w:keepLines w:val="0"/>
              <w:suppressLineNumbers w:val="0"/>
              <w:adjustRightInd w:val="0"/>
              <w:snapToGrid w:val="0"/>
              <w:spacing w:before="0" w:beforeAutospacing="0" w:after="0" w:afterAutospacing="0" w:line="360" w:lineRule="auto"/>
              <w:ind w:left="0" w:right="0" w:firstLine="482" w:firstLineChars="200"/>
              <w:rPr>
                <w:rFonts w:hint="default"/>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6</w:t>
            </w:r>
            <w:r>
              <w:rPr>
                <w:rFonts w:hint="eastAsia"/>
                <w:b/>
                <w:color w:val="000000" w:themeColor="text1"/>
                <w:sz w:val="24"/>
                <w14:textFill>
                  <w14:solidFill>
                    <w14:schemeClr w14:val="tx1"/>
                  </w14:solidFill>
                </w14:textFill>
              </w:rPr>
              <w:t>、</w:t>
            </w:r>
            <w:r>
              <w:rPr>
                <w:rFonts w:hint="default"/>
                <w:b/>
                <w:color w:val="000000" w:themeColor="text1"/>
                <w:sz w:val="24"/>
                <w14:textFill>
                  <w14:solidFill>
                    <w14:schemeClr w14:val="tx1"/>
                  </w14:solidFill>
                </w14:textFill>
              </w:rPr>
              <w:t>生态环境影响分析</w:t>
            </w:r>
          </w:p>
          <w:p w14:paraId="28A5D180">
            <w:pPr>
              <w:pStyle w:val="74"/>
              <w:keepNext w:val="0"/>
              <w:keepLines w:val="0"/>
              <w:suppressLineNumbers w:val="0"/>
              <w:spacing w:before="0" w:beforeAutospacing="0" w:after="0" w:afterAutospacing="0"/>
              <w:ind w:left="0" w:right="0" w:firstLine="480"/>
              <w:rPr>
                <w:rFonts w:hint="eastAsia" w:cs="宋体"/>
                <w:bCs/>
                <w:color w:val="000000" w:themeColor="text1"/>
                <w:sz w:val="24"/>
                <w:highlight w:val="yellow"/>
                <w14:textFill>
                  <w14:solidFill>
                    <w14:schemeClr w14:val="tx1"/>
                  </w14:solidFill>
                </w14:textFill>
              </w:rPr>
            </w:pPr>
            <w:r>
              <w:rPr>
                <w:rFonts w:hint="eastAsia" w:cs="宋体"/>
                <w:bCs/>
                <w:color w:val="000000" w:themeColor="text1"/>
                <w:sz w:val="24"/>
                <w:shd w:val="clear" w:color="auto" w:fill="auto"/>
                <w14:textFill>
                  <w14:solidFill>
                    <w14:schemeClr w14:val="tx1"/>
                  </w14:solidFill>
                </w14:textFill>
              </w:rPr>
              <w:t>本工程塔基</w:t>
            </w:r>
            <w:r>
              <w:rPr>
                <w:rFonts w:hint="eastAsia" w:cs="宋体"/>
                <w:bCs/>
                <w:color w:val="000000" w:themeColor="text1"/>
                <w:sz w:val="24"/>
                <w14:textFill>
                  <w14:solidFill>
                    <w14:schemeClr w14:val="tx1"/>
                  </w14:solidFill>
                </w14:textFill>
              </w:rPr>
              <w:t>开挖位置原有植被将被损坏，将改变原有的生态环境特征，工程施工结束后，其余位置均可平整恢复植被。工程永久性占地面积占该区域原植被类型面积比例甚少，其中耕地部分采用耕地补偿方式，因此不会对原有土地利用状况产生大的影响。</w:t>
            </w:r>
          </w:p>
          <w:p w14:paraId="33D30518">
            <w:pPr>
              <w:pStyle w:val="74"/>
              <w:keepNext w:val="0"/>
              <w:keepLines w:val="0"/>
              <w:suppressLineNumbers w:val="0"/>
              <w:spacing w:before="0" w:beforeAutospacing="0" w:after="0" w:afterAutospacing="0"/>
              <w:ind w:left="0" w:right="0" w:firstLine="480"/>
              <w:rPr>
                <w:rFonts w:hint="eastAsia" w:ascii="宋体" w:hAnsi="宋体"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本项目施工临时占地及土石方开挖等造成的生态影响通过采取回填、地面平整以及生态恢复等措施逐渐消除。运行期建设单位应跟踪生态保护与恢复效果，必要时委托相关生态监测单位开展跟踪监测，以便及时采取后续措施</w:t>
            </w:r>
            <w:r>
              <w:rPr>
                <w:rFonts w:hint="eastAsia" w:ascii="宋体" w:hAnsi="宋体" w:cs="宋体"/>
                <w:bCs/>
                <w:color w:val="000000" w:themeColor="text1"/>
                <w:sz w:val="24"/>
                <w14:textFill>
                  <w14:solidFill>
                    <w14:schemeClr w14:val="tx1"/>
                  </w14:solidFill>
                </w14:textFill>
              </w:rPr>
              <w:t>。</w:t>
            </w:r>
          </w:p>
          <w:p w14:paraId="3669B79B">
            <w:pPr>
              <w:pStyle w:val="74"/>
              <w:keepNext w:val="0"/>
              <w:keepLines w:val="0"/>
              <w:suppressLineNumbers w:val="0"/>
              <w:spacing w:before="0" w:beforeAutospacing="0" w:after="0" w:afterAutospacing="0"/>
              <w:ind w:left="0" w:right="0" w:firstLine="480"/>
              <w:rPr>
                <w:rFonts w:hint="default" w:ascii="宋体" w:hAnsi="宋体" w:cs="宋体"/>
                <w:bCs/>
                <w:color w:val="000000" w:themeColor="text1"/>
                <w:sz w:val="24"/>
                <w14:textFill>
                  <w14:solidFill>
                    <w14:schemeClr w14:val="tx1"/>
                  </w14:solidFill>
                </w14:textFill>
              </w:rPr>
            </w:pPr>
            <w:r>
              <w:rPr>
                <w:rFonts w:hint="default" w:ascii="宋体" w:hAnsi="宋体" w:cs="宋体"/>
                <w:bCs/>
                <w:color w:val="000000" w:themeColor="text1"/>
                <w:sz w:val="24"/>
                <w14:textFill>
                  <w14:solidFill>
                    <w14:schemeClr w14:val="tx1"/>
                  </w14:solidFill>
                </w14:textFill>
              </w:rPr>
              <w:t>输电线路的建设，必然会涉入和影响一些动物的生境，从而一定程度地导致陆生动物的转移与减少（动物</w:t>
            </w:r>
            <w:r>
              <w:rPr>
                <w:rFonts w:hint="eastAsia" w:ascii="宋体" w:hAnsi="宋体" w:cs="宋体"/>
                <w:bCs/>
                <w:color w:val="000000" w:themeColor="text1"/>
                <w:sz w:val="24"/>
                <w:lang w:eastAsia="zh-CN"/>
                <w14:textFill>
                  <w14:solidFill>
                    <w14:schemeClr w14:val="tx1"/>
                  </w14:solidFill>
                </w14:textFill>
              </w:rPr>
              <w:t>会在</w:t>
            </w:r>
            <w:r>
              <w:rPr>
                <w:rFonts w:hint="default" w:ascii="宋体" w:hAnsi="宋体" w:cs="宋体"/>
                <w:bCs/>
                <w:color w:val="000000" w:themeColor="text1"/>
                <w:sz w:val="24"/>
                <w14:textFill>
                  <w14:solidFill>
                    <w14:schemeClr w14:val="tx1"/>
                  </w14:solidFill>
                </w14:textFill>
              </w:rPr>
              <w:t>上述干扰下可能逃离原环境向外围扩散），一般不会直接导致动物的死亡，尤其是具有飞行能力的鸟类，</w:t>
            </w:r>
            <w:r>
              <w:rPr>
                <w:rFonts w:hint="eastAsia" w:ascii="宋体" w:hAnsi="宋体" w:cs="宋体"/>
                <w:bCs/>
                <w:color w:val="000000" w:themeColor="text1"/>
                <w:sz w:val="24"/>
                <w:lang w:val="en-US" w:eastAsia="zh-CN"/>
                <w14:textFill>
                  <w14:solidFill>
                    <w14:schemeClr w14:val="tx1"/>
                  </w14:solidFill>
                </w14:textFill>
              </w:rPr>
              <w:t>本项目</w:t>
            </w:r>
            <w:r>
              <w:rPr>
                <w:rFonts w:hint="default" w:ascii="宋体" w:hAnsi="宋体" w:cs="宋体"/>
                <w:bCs/>
                <w:color w:val="000000" w:themeColor="text1"/>
                <w:sz w:val="24"/>
                <w14:textFill>
                  <w14:solidFill>
                    <w14:schemeClr w14:val="tx1"/>
                  </w14:solidFill>
                </w14:textFill>
              </w:rPr>
              <w:t>主要分布的一些常见的鸟类，包括喜鹊、麻雀及家燕等，</w:t>
            </w:r>
            <w:r>
              <w:rPr>
                <w:rFonts w:hint="eastAsia" w:ascii="宋体" w:hAnsi="宋体" w:cs="宋体"/>
                <w:bCs/>
                <w:color w:val="000000" w:themeColor="text1"/>
                <w:sz w:val="24"/>
                <w:lang w:val="en-US" w:eastAsia="zh-CN"/>
                <w14:textFill>
                  <w14:solidFill>
                    <w14:schemeClr w14:val="tx1"/>
                  </w14:solidFill>
                </w14:textFill>
              </w:rPr>
              <w:t>对其</w:t>
            </w:r>
            <w:r>
              <w:rPr>
                <w:rFonts w:hint="default" w:ascii="宋体" w:hAnsi="宋体" w:cs="宋体"/>
                <w:bCs/>
                <w:color w:val="000000" w:themeColor="text1"/>
                <w:sz w:val="24"/>
                <w14:textFill>
                  <w14:solidFill>
                    <w14:schemeClr w14:val="tx1"/>
                  </w14:solidFill>
                </w14:textFill>
              </w:rPr>
              <w:t>栖息地、繁殖地、觅食、活动区域、迁徙路径等</w:t>
            </w:r>
            <w:r>
              <w:rPr>
                <w:rFonts w:hint="eastAsia" w:ascii="宋体" w:hAnsi="宋体" w:cs="宋体"/>
                <w:bCs/>
                <w:color w:val="000000" w:themeColor="text1"/>
                <w:sz w:val="24"/>
                <w:lang w:val="en-US" w:eastAsia="zh-CN"/>
                <w14:textFill>
                  <w14:solidFill>
                    <w14:schemeClr w14:val="tx1"/>
                  </w14:solidFill>
                </w14:textFill>
              </w:rPr>
              <w:t>会产生影响。工程施工期间可优化工程选址，综合规划线路走廊，尽量缩短工期，输电线路成警示色，采用引鸟策略等影响减缓措施，达到对鸟类影响最低状态</w:t>
            </w:r>
            <w:r>
              <w:rPr>
                <w:rFonts w:hint="default" w:ascii="宋体" w:hAnsi="宋体" w:cs="宋体"/>
                <w:bCs/>
                <w:color w:val="000000" w:themeColor="text1"/>
                <w:sz w:val="24"/>
                <w14:textFill>
                  <w14:solidFill>
                    <w14:schemeClr w14:val="tx1"/>
                  </w14:solidFill>
                </w14:textFill>
              </w:rPr>
              <w:t>。</w:t>
            </w:r>
          </w:p>
          <w:p w14:paraId="0EB65A51">
            <w:pPr>
              <w:keepNext w:val="0"/>
              <w:keepLines w:val="0"/>
              <w:suppressLineNumbers w:val="0"/>
              <w:adjustRightInd w:val="0"/>
              <w:snapToGrid w:val="0"/>
              <w:spacing w:before="0" w:beforeAutospacing="0" w:after="0" w:afterAutospacing="0" w:line="360" w:lineRule="auto"/>
              <w:ind w:left="0" w:right="0" w:firstLine="482" w:firstLineChars="200"/>
              <w:rPr>
                <w:rFonts w:hint="default"/>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7</w:t>
            </w:r>
            <w:r>
              <w:rPr>
                <w:rFonts w:hint="default"/>
                <w:b/>
                <w:color w:val="000000" w:themeColor="text1"/>
                <w:sz w:val="24"/>
                <w14:textFill>
                  <w14:solidFill>
                    <w14:schemeClr w14:val="tx1"/>
                  </w14:solidFill>
                </w14:textFill>
              </w:rPr>
              <w:t>、环境风险分析</w:t>
            </w:r>
          </w:p>
          <w:p w14:paraId="4A0447F5">
            <w:pPr>
              <w:pStyle w:val="74"/>
              <w:keepNext w:val="0"/>
              <w:keepLines w:val="0"/>
              <w:suppressLineNumbers w:val="0"/>
              <w:spacing w:before="0" w:beforeAutospacing="0" w:after="0" w:afterAutospacing="0"/>
              <w:ind w:left="0" w:right="0" w:firstLine="480"/>
              <w:rPr>
                <w:rFonts w:hint="eastAsia" w:ascii="Times New Roman" w:hAnsi="Times New Roman" w:eastAsia="宋体" w:cs="宋体"/>
                <w:bCs/>
                <w:color w:val="000000" w:themeColor="text1"/>
                <w:sz w:val="24"/>
                <w:lang w:eastAsia="zh-CN"/>
                <w14:textFill>
                  <w14:solidFill>
                    <w14:schemeClr w14:val="tx1"/>
                  </w14:solidFill>
                </w14:textFill>
              </w:rPr>
            </w:pPr>
            <w:r>
              <w:rPr>
                <w:rFonts w:hint="eastAsia" w:ascii="Times New Roman" w:hAnsi="Times New Roman" w:eastAsia="宋体" w:cs="宋体"/>
                <w:bCs/>
                <w:color w:val="000000" w:themeColor="text1"/>
                <w:sz w:val="24"/>
                <w:lang w:val="en-US" w:eastAsia="zh-CN"/>
                <w14:textFill>
                  <w14:solidFill>
                    <w14:schemeClr w14:val="tx1"/>
                  </w14:solidFill>
                </w14:textFill>
              </w:rPr>
              <w:t>本</w:t>
            </w:r>
            <w:r>
              <w:rPr>
                <w:rFonts w:hint="default" w:ascii="Times New Roman" w:hAnsi="Times New Roman" w:eastAsia="宋体" w:cs="宋体"/>
                <w:bCs/>
                <w:color w:val="000000" w:themeColor="text1"/>
                <w:sz w:val="24"/>
                <w14:textFill>
                  <w14:solidFill>
                    <w14:schemeClr w14:val="tx1"/>
                  </w14:solidFill>
                </w14:textFill>
              </w:rPr>
              <w:t>项目</w:t>
            </w:r>
            <w:r>
              <w:rPr>
                <w:rFonts w:hint="eastAsia" w:ascii="Times New Roman" w:hAnsi="Times New Roman" w:eastAsia="宋体" w:cs="宋体"/>
                <w:bCs/>
                <w:color w:val="000000" w:themeColor="text1"/>
                <w:sz w:val="24"/>
                <w:lang w:val="en-US" w:eastAsia="zh-CN"/>
                <w14:textFill>
                  <w14:solidFill>
                    <w14:schemeClr w14:val="tx1"/>
                  </w14:solidFill>
                </w14:textFill>
              </w:rPr>
              <w:t>为</w:t>
            </w:r>
            <w:r>
              <w:rPr>
                <w:rFonts w:hint="default" w:ascii="Times New Roman" w:hAnsi="Times New Roman" w:eastAsia="宋体" w:cs="宋体"/>
                <w:bCs/>
                <w:color w:val="000000" w:themeColor="text1"/>
                <w:sz w:val="24"/>
                <w14:textFill>
                  <w14:solidFill>
                    <w14:schemeClr w14:val="tx1"/>
                  </w14:solidFill>
                </w14:textFill>
              </w:rPr>
              <w:t>输变电项目</w:t>
            </w:r>
            <w:r>
              <w:rPr>
                <w:rFonts w:hint="eastAsia" w:ascii="Times New Roman" w:hAnsi="Times New Roman" w:eastAsia="宋体" w:cs="宋体"/>
                <w:bCs/>
                <w:color w:val="000000" w:themeColor="text1"/>
                <w:sz w:val="24"/>
                <w:lang w:eastAsia="zh-CN"/>
                <w14:textFill>
                  <w14:solidFill>
                    <w14:schemeClr w14:val="tx1"/>
                  </w14:solidFill>
                </w14:textFill>
              </w:rPr>
              <w:t>，</w:t>
            </w:r>
            <w:r>
              <w:rPr>
                <w:rFonts w:hint="default" w:ascii="Times New Roman" w:hAnsi="Times New Roman" w:eastAsia="宋体" w:cs="宋体"/>
                <w:bCs/>
                <w:color w:val="000000" w:themeColor="text1"/>
                <w:sz w:val="24"/>
                <w14:textFill>
                  <w14:solidFill>
                    <w14:schemeClr w14:val="tx1"/>
                  </w14:solidFill>
                </w14:textFill>
              </w:rPr>
              <w:t>输变电</w:t>
            </w:r>
            <w:r>
              <w:rPr>
                <w:rFonts w:hint="eastAsia" w:ascii="Times New Roman" w:hAnsi="Times New Roman" w:eastAsia="宋体" w:cs="宋体"/>
                <w:bCs/>
                <w:color w:val="000000" w:themeColor="text1"/>
                <w:sz w:val="24"/>
                <w:lang w:val="en-US" w:eastAsia="zh-CN"/>
                <w14:textFill>
                  <w14:solidFill>
                    <w14:schemeClr w14:val="tx1"/>
                  </w14:solidFill>
                </w14:textFill>
              </w:rPr>
              <w:t>项目</w:t>
            </w:r>
            <w:r>
              <w:rPr>
                <w:rFonts w:hint="default" w:ascii="Times New Roman" w:hAnsi="Times New Roman" w:eastAsia="宋体" w:cs="宋体"/>
                <w:bCs/>
                <w:color w:val="000000" w:themeColor="text1"/>
                <w:sz w:val="24"/>
                <w14:textFill>
                  <w14:solidFill>
                    <w14:schemeClr w14:val="tx1"/>
                  </w14:solidFill>
                </w14:textFill>
              </w:rPr>
              <w:t>生产过程是变电站从电力系统受电，经变压器改变电压等级后将电能通过输电线路输送给用户，自身是个非常清洁的生产场所，不会对环境产生污染</w:t>
            </w:r>
            <w:r>
              <w:rPr>
                <w:rFonts w:hint="eastAsia" w:ascii="Times New Roman" w:hAnsi="Times New Roman" w:eastAsia="宋体" w:cs="宋体"/>
                <w:bCs/>
                <w:color w:val="000000" w:themeColor="text1"/>
                <w:sz w:val="24"/>
                <w:lang w:eastAsia="zh-CN"/>
                <w14:textFill>
                  <w14:solidFill>
                    <w14:schemeClr w14:val="tx1"/>
                  </w14:solidFill>
                </w14:textFill>
              </w:rPr>
              <w:t>。</w:t>
            </w:r>
          </w:p>
          <w:p w14:paraId="45D2972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cs="宋体"/>
                <w:bCs/>
                <w:color w:val="000000" w:themeColor="text1"/>
                <w:sz w:val="24"/>
                <w14:textFill>
                  <w14:solidFill>
                    <w14:schemeClr w14:val="tx1"/>
                  </w14:solidFill>
                </w14:textFill>
              </w:rPr>
            </w:pPr>
            <w:r>
              <w:rPr>
                <w:rFonts w:hint="eastAsia" w:ascii="Times New Roman" w:hAnsi="Times New Roman" w:eastAsia="宋体" w:cs="宋体"/>
                <w:bCs/>
                <w:color w:val="000000" w:themeColor="text1"/>
                <w:sz w:val="24"/>
                <w:lang w:val="en-US" w:eastAsia="zh-CN"/>
                <w14:textFill>
                  <w14:solidFill>
                    <w14:schemeClr w14:val="tx1"/>
                  </w14:solidFill>
                </w14:textFill>
              </w:rPr>
              <w:t>本期工程不涉及新增废变压器油等危险废物。同时，本项目一旦发生环境事故，将严格</w:t>
            </w:r>
            <w:r>
              <w:rPr>
                <w:rFonts w:hint="eastAsia" w:cs="宋体"/>
                <w:bCs/>
                <w:color w:val="000000" w:themeColor="text1"/>
                <w:sz w:val="24"/>
                <w:lang w:val="en-US" w:eastAsia="zh-CN"/>
                <w14:textFill>
                  <w14:solidFill>
                    <w14:schemeClr w14:val="tx1"/>
                  </w14:solidFill>
                </w14:textFill>
              </w:rPr>
              <w:t>按照</w:t>
            </w:r>
            <w:r>
              <w:rPr>
                <w:rFonts w:hint="eastAsia" w:ascii="Times New Roman" w:hAnsi="Times New Roman" w:eastAsia="宋体" w:cs="宋体"/>
                <w:bCs/>
                <w:color w:val="000000" w:themeColor="text1"/>
                <w:sz w:val="24"/>
                <w:lang w:val="en-US" w:eastAsia="zh-CN"/>
                <w14:textFill>
                  <w14:solidFill>
                    <w14:schemeClr w14:val="tx1"/>
                  </w14:solidFill>
                </w14:textFill>
              </w:rPr>
              <w:t>国家电网有限公司制定的《国网鸡西供电公司突发环境事件应急预案》（编号：SGCC-HL-JX-ZN-07，第5次修订-2022年）</w:t>
            </w:r>
            <w:r>
              <w:rPr>
                <w:rFonts w:hint="eastAsia" w:cs="宋体"/>
                <w:bCs/>
                <w:color w:val="000000" w:themeColor="text1"/>
                <w:sz w:val="24"/>
                <w:lang w:val="en-US" w:eastAsia="zh-CN"/>
                <w14:textFill>
                  <w14:solidFill>
                    <w14:schemeClr w14:val="tx1"/>
                  </w14:solidFill>
                </w14:textFill>
              </w:rPr>
              <w:t>执行</w:t>
            </w:r>
            <w:r>
              <w:rPr>
                <w:rFonts w:hint="eastAsia" w:ascii="Times New Roman" w:hAnsi="Times New Roman" w:eastAsia="宋体" w:cs="宋体"/>
                <w:bCs/>
                <w:color w:val="000000" w:themeColor="text1"/>
                <w:sz w:val="24"/>
                <w:lang w:val="en-US" w:eastAsia="zh-CN"/>
                <w14:textFill>
                  <w14:solidFill>
                    <w14:schemeClr w14:val="tx1"/>
                  </w14:solidFill>
                </w14:textFill>
              </w:rPr>
              <w:t>相应措施，以应对突发环境污染事故。</w:t>
            </w:r>
            <w:r>
              <w:rPr>
                <w:rFonts w:hint="default" w:ascii="Times New Roman" w:hAnsi="Times New Roman" w:eastAsia="宋体" w:cs="宋体"/>
                <w:bCs/>
                <w:color w:val="000000" w:themeColor="text1"/>
                <w:sz w:val="24"/>
                <w:lang w:eastAsia="zh-CN"/>
                <w14:textFill>
                  <w14:solidFill>
                    <w14:schemeClr w14:val="tx1"/>
                  </w14:solidFill>
                </w14:textFill>
              </w:rPr>
              <w:t>营运期</w:t>
            </w:r>
            <w:r>
              <w:rPr>
                <w:rFonts w:hint="default" w:ascii="Times New Roman" w:hAnsi="Times New Roman" w:eastAsia="宋体" w:cs="宋体"/>
                <w:bCs/>
                <w:color w:val="000000" w:themeColor="text1"/>
                <w:sz w:val="24"/>
                <w14:textFill>
                  <w14:solidFill>
                    <w14:schemeClr w14:val="tx1"/>
                  </w14:solidFill>
                </w14:textFill>
              </w:rPr>
              <w:t>间，输电线路采取相应的污染防治措施，</w:t>
            </w:r>
            <w:r>
              <w:rPr>
                <w:rFonts w:hint="eastAsia" w:ascii="Times New Roman" w:hAnsi="Times New Roman" w:eastAsia="宋体" w:cs="宋体"/>
                <w:bCs/>
                <w:color w:val="000000" w:themeColor="text1"/>
                <w:sz w:val="24"/>
                <w:lang w:val="en-US" w:eastAsia="zh-CN"/>
                <w14:textFill>
                  <w14:solidFill>
                    <w14:schemeClr w14:val="tx1"/>
                  </w14:solidFill>
                </w14:textFill>
              </w:rPr>
              <w:t>项目</w:t>
            </w:r>
            <w:r>
              <w:rPr>
                <w:rFonts w:hint="default" w:ascii="Times New Roman" w:hAnsi="Times New Roman" w:eastAsia="宋体" w:cs="宋体"/>
                <w:bCs/>
                <w:color w:val="000000" w:themeColor="text1"/>
                <w:sz w:val="24"/>
                <w14:textFill>
                  <w14:solidFill>
                    <w14:schemeClr w14:val="tx1"/>
                  </w14:solidFill>
                </w14:textFill>
              </w:rPr>
              <w:t>风险</w:t>
            </w:r>
            <w:r>
              <w:rPr>
                <w:rFonts w:hint="eastAsia" w:ascii="Times New Roman" w:hAnsi="Times New Roman" w:eastAsia="宋体" w:cs="宋体"/>
                <w:bCs/>
                <w:color w:val="000000" w:themeColor="text1"/>
                <w:sz w:val="24"/>
                <w:lang w:val="en-US" w:eastAsia="zh-CN"/>
                <w14:textFill>
                  <w14:solidFill>
                    <w14:schemeClr w14:val="tx1"/>
                  </w14:solidFill>
                </w14:textFill>
              </w:rPr>
              <w:t>可防控</w:t>
            </w:r>
            <w:r>
              <w:rPr>
                <w:rFonts w:hint="default" w:ascii="Times New Roman" w:hAnsi="Times New Roman" w:eastAsia="宋体" w:cs="宋体"/>
                <w:bCs/>
                <w:color w:val="000000" w:themeColor="text1"/>
                <w:sz w:val="24"/>
                <w14:textFill>
                  <w14:solidFill>
                    <w14:schemeClr w14:val="tx1"/>
                  </w14:solidFill>
                </w14:textFill>
              </w:rPr>
              <w:t>。</w:t>
            </w:r>
          </w:p>
        </w:tc>
      </w:tr>
      <w:tr w14:paraId="2CA6D8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085" w:type="dxa"/>
            <w:vAlign w:val="center"/>
          </w:tcPr>
          <w:p w14:paraId="468097E7">
            <w:pPr>
              <w:pStyle w:val="25"/>
              <w:keepNext w:val="0"/>
              <w:keepLines w:val="0"/>
              <w:suppressLineNumbers w:val="0"/>
              <w:adjustRightInd w:val="0"/>
              <w:snapToGrid w:val="0"/>
              <w:spacing w:before="0" w:beforeAutospacing="0" w:after="0" w:afterAutospacing="0"/>
              <w:ind w:left="0" w:right="0"/>
              <w:jc w:val="center"/>
              <w:rPr>
                <w:rFonts w:hint="default" w:cs="宋体"/>
                <w:bCs/>
                <w:color w:val="000000" w:themeColor="text1"/>
                <w:kern w:val="2"/>
                <w14:textFill>
                  <w14:solidFill>
                    <w14:schemeClr w14:val="tx1"/>
                  </w14:solidFill>
                </w14:textFill>
              </w:rPr>
            </w:pPr>
            <w:r>
              <w:rPr>
                <w:rFonts w:hint="eastAsia" w:cs="宋体"/>
                <w:bCs/>
                <w:color w:val="000000" w:themeColor="text1"/>
                <w:kern w:val="2"/>
                <w14:textFill>
                  <w14:solidFill>
                    <w14:schemeClr w14:val="tx1"/>
                  </w14:solidFill>
                </w14:textFill>
              </w:rPr>
              <w:t>选址选线环境合理性分析</w:t>
            </w:r>
          </w:p>
        </w:tc>
        <w:tc>
          <w:tcPr>
            <w:tcW w:w="8554" w:type="dxa"/>
            <w:vAlign w:val="center"/>
          </w:tcPr>
          <w:p w14:paraId="481EEC11">
            <w:pPr>
              <w:pStyle w:val="74"/>
              <w:keepNext w:val="0"/>
              <w:keepLines w:val="0"/>
              <w:suppressLineNumbers w:val="0"/>
              <w:spacing w:before="0" w:beforeAutospacing="0" w:after="0" w:afterAutospacing="0"/>
              <w:ind w:left="0" w:right="0" w:firstLine="480"/>
              <w:jc w:val="both"/>
              <w:rPr>
                <w:rFonts w:hint="eastAsia"/>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本项目所在区域位于黑龙江省</w:t>
            </w:r>
            <w:r>
              <w:rPr>
                <w:rFonts w:hint="eastAsia"/>
                <w:color w:val="000000" w:themeColor="text1"/>
                <w:sz w:val="24"/>
                <w:lang w:val="en-US" w:eastAsia="zh-CN"/>
                <w14:textFill>
                  <w14:solidFill>
                    <w14:schemeClr w14:val="tx1"/>
                  </w14:solidFill>
                </w14:textFill>
              </w:rPr>
              <w:t>鸡西市恒山区、鸡东县</w:t>
            </w:r>
            <w:r>
              <w:rPr>
                <w:rFonts w:hint="eastAsia"/>
                <w:color w:val="000000" w:themeColor="text1"/>
                <w:sz w:val="24"/>
                <w14:textFill>
                  <w14:solidFill>
                    <w14:schemeClr w14:val="tx1"/>
                  </w14:solidFill>
                </w14:textFill>
              </w:rPr>
              <w:t>，由500kV</w:t>
            </w:r>
            <w:r>
              <w:rPr>
                <w:rFonts w:hint="eastAsia"/>
                <w:color w:val="000000" w:themeColor="text1"/>
                <w:sz w:val="24"/>
                <w:lang w:val="en-US" w:eastAsia="zh-CN"/>
                <w14:textFill>
                  <w14:solidFill>
                    <w14:schemeClr w14:val="tx1"/>
                  </w14:solidFill>
                </w14:textFill>
              </w:rPr>
              <w:t>鸡西</w:t>
            </w:r>
            <w:r>
              <w:rPr>
                <w:rFonts w:hint="eastAsia"/>
                <w:color w:val="000000" w:themeColor="text1"/>
                <w:sz w:val="24"/>
                <w14:textFill>
                  <w14:solidFill>
                    <w14:schemeClr w14:val="tx1"/>
                  </w14:solidFill>
                </w14:textFill>
              </w:rPr>
              <w:t>变220kV构架，止于220kV</w:t>
            </w:r>
            <w:r>
              <w:rPr>
                <w:rFonts w:hint="eastAsia"/>
                <w:color w:val="000000" w:themeColor="text1"/>
                <w:sz w:val="24"/>
                <w:lang w:val="en-US" w:eastAsia="zh-CN"/>
                <w14:textFill>
                  <w14:solidFill>
                    <w14:schemeClr w14:val="tx1"/>
                  </w14:solidFill>
                </w14:textFill>
              </w:rPr>
              <w:t>恒山</w:t>
            </w:r>
            <w:r>
              <w:rPr>
                <w:rFonts w:hint="eastAsia"/>
                <w:color w:val="000000" w:themeColor="text1"/>
                <w:sz w:val="24"/>
                <w14:textFill>
                  <w14:solidFill>
                    <w14:schemeClr w14:val="tx1"/>
                  </w14:solidFill>
                </w14:textFill>
              </w:rPr>
              <w:t>变。拟建输电线路边导线两侧</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0m带状范围内无居民区、学校和医院等环境敏感保护目标。项目区域无自然保护区、饮用水水源地保护区。评价区范围内植物主要为农作物和杂草，评价区域内无珍稀濒危保护植物物种，无名木古树。项目建设区域及周围无大型兽类，未发现当地分布的特有种和保护动物，也无珍稀濒危动物。</w:t>
            </w:r>
          </w:p>
          <w:p w14:paraId="2605A39C">
            <w:pPr>
              <w:pStyle w:val="74"/>
              <w:keepNext w:val="0"/>
              <w:keepLines w:val="0"/>
              <w:suppressLineNumbers w:val="0"/>
              <w:spacing w:before="0" w:beforeAutospacing="0" w:after="0" w:afterAutospacing="0"/>
              <w:ind w:left="0" w:right="0" w:firstLine="480"/>
              <w:rPr>
                <w:rFonts w:hint="eastAsia"/>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本工程方案是结合国土空间规划，地矿分部，生态红线，以及方案投资</w:t>
            </w:r>
            <w:r>
              <w:rPr>
                <w:rFonts w:hint="eastAsia" w:cs="Times New Roman"/>
                <w:color w:val="000000" w:themeColor="text1"/>
                <w:kern w:val="0"/>
                <w:sz w:val="24"/>
                <w:szCs w:val="24"/>
                <w:lang w:val="en-US" w:eastAsia="zh-CN" w:bidi="ar-SA"/>
                <w14:textFill>
                  <w14:solidFill>
                    <w14:schemeClr w14:val="tx1"/>
                  </w14:solidFill>
                </w14:textFill>
              </w:rPr>
              <w:t>综合比选</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下得出的优选方案，路径经过地区耕作面积广泛，大部分为基本农田。</w:t>
            </w: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根据</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拟建的</w:t>
            </w:r>
            <w:r>
              <w:rPr>
                <w:rFonts w:hint="eastAsia" w:cs="Times New Roman"/>
                <w:color w:val="000000" w:themeColor="text1"/>
                <w:kern w:val="0"/>
                <w:sz w:val="24"/>
                <w:szCs w:val="24"/>
                <w:lang w:val="en-US" w:eastAsia="zh-CN" w:bidi="ar-SA"/>
                <w14:textFill>
                  <w14:solidFill>
                    <w14:schemeClr w14:val="tx1"/>
                  </w14:solidFill>
                </w14:textFill>
              </w:rPr>
              <w:t>22</w:t>
            </w:r>
            <w:r>
              <w:rPr>
                <w:rFonts w:hint="eastAsia" w:eastAsia="宋体" w:cs="Times New Roman"/>
                <w:color w:val="000000" w:themeColor="text1"/>
                <w:kern w:val="0"/>
                <w:sz w:val="24"/>
                <w:szCs w:val="24"/>
                <w:lang w:val="en-US" w:eastAsia="zh-CN" w:bidi="ar-SA"/>
                <w14:textFill>
                  <w14:solidFill>
                    <w14:schemeClr w14:val="tx1"/>
                  </w14:solidFill>
                </w14:textFill>
              </w:rPr>
              <w:t>0</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千伏线路</w:t>
            </w: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确实</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无法避让大面积基本农田。</w:t>
            </w: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根据《黑龙江省自然资源厅 黑龙江省发展和改革委员会 关于简化用地管理加快电网建设的通知》（黑自然资函〔2018〕46号）中第四条中“电网线路（通信等）塔基、线杆用地，要通过优化调整线路布局，尽量少占或者不占耕地，经与当地农村经济组织及农民协商达成协议后，通过土地流转、协议补偿等方式直接使用，在工程使用期结束后恢复原地类。”以及黑龙江省人民政府常务纪要（第十六次）第四条中提出的“对于与电网建设输变电工程线路塔基类似的建设用地，如确需占用少量永久基本农田，又因未列入国家项目而无法办理项目用地预审、核准及后续用地审批的，可以享受同等简化用地管理政策，经与当地农村经济组织及农民协商达成协议后，通过土地流转、协议补偿等方式直接使用，在工程项目使用”，本项目线路工程塔基占用基本农田，采取相应的协议补偿，施工结束后，塔基下的土地功能保持不变。</w:t>
            </w:r>
          </w:p>
          <w:p w14:paraId="3ED6FF3F">
            <w:pPr>
              <w:pStyle w:val="74"/>
              <w:keepNext w:val="0"/>
              <w:keepLines w:val="0"/>
              <w:suppressLineNumbers w:val="0"/>
              <w:spacing w:before="0" w:beforeAutospacing="0" w:after="0" w:afterAutospacing="0"/>
              <w:ind w:left="0" w:right="0" w:firstLine="480"/>
              <w:jc w:val="left"/>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沿线自然条件较一般，地形起伏不大。全线的交通条件</w:t>
            </w:r>
            <w:r>
              <w:rPr>
                <w:rFonts w:hint="eastAsia"/>
                <w:color w:val="000000" w:themeColor="text1"/>
                <w:sz w:val="24"/>
                <w:lang w:val="en-US" w:eastAsia="zh-CN"/>
                <w14:textFill>
                  <w14:solidFill>
                    <w14:schemeClr w14:val="tx1"/>
                  </w14:solidFill>
                </w14:textFill>
              </w:rPr>
              <w:t>一般</w:t>
            </w:r>
            <w:r>
              <w:rPr>
                <w:rFonts w:hint="default"/>
                <w:color w:val="000000" w:themeColor="text1"/>
                <w:sz w:val="24"/>
                <w14:textFill>
                  <w14:solidFill>
                    <w14:schemeClr w14:val="tx1"/>
                  </w14:solidFill>
                </w14:textFill>
              </w:rPr>
              <w:t>，主要利用公路及田间道路。</w:t>
            </w:r>
          </w:p>
          <w:p w14:paraId="4961C2B8">
            <w:pPr>
              <w:pStyle w:val="74"/>
              <w:keepNext w:val="0"/>
              <w:keepLines w:val="0"/>
              <w:suppressLineNumbers w:val="0"/>
              <w:spacing w:before="0" w:beforeAutospacing="0" w:after="0" w:afterAutospacing="0"/>
              <w:ind w:left="0" w:right="0" w:firstLine="480"/>
              <w:jc w:val="left"/>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线路路径所过地区与通信线路交叉次数较少，均满足规程、规定要求，通过计算，当送电线路发生单相接地短路故障时，对上述通信线路不存在电磁危险影响，符合选址选线环境合理性。</w:t>
            </w:r>
          </w:p>
          <w:p w14:paraId="6D716288">
            <w:pPr>
              <w:pStyle w:val="74"/>
              <w:keepNext w:val="0"/>
              <w:keepLines w:val="0"/>
              <w:suppressLineNumbers w:val="0"/>
              <w:spacing w:before="0" w:beforeAutospacing="0" w:after="0" w:afterAutospacing="0"/>
              <w:ind w:left="0" w:right="0" w:firstLine="480"/>
              <w:jc w:val="left"/>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工程实施过程中，为满足塔基施工需要分别在每基塔基础处设置1个施工区和临时堆土场。临时堆土场用于堆放塔基区开挖临时堆土。周围采用</w:t>
            </w:r>
            <w:r>
              <w:rPr>
                <w:rFonts w:hint="eastAsia"/>
                <w:color w:val="000000" w:themeColor="text1"/>
                <w:sz w:val="24"/>
                <w:lang w:eastAsia="zh-CN"/>
                <w14:textFill>
                  <w14:solidFill>
                    <w14:schemeClr w14:val="tx1"/>
                  </w14:solidFill>
                </w14:textFill>
              </w:rPr>
              <w:t>编织袋</w:t>
            </w:r>
            <w:r>
              <w:rPr>
                <w:rFonts w:hint="default"/>
                <w:color w:val="000000" w:themeColor="text1"/>
                <w:sz w:val="24"/>
                <w14:textFill>
                  <w14:solidFill>
                    <w14:schemeClr w14:val="tx1"/>
                  </w14:solidFill>
                </w14:textFill>
              </w:rPr>
              <w:t>装土拦挡，上方采用密目网苫盖，下方采用密目网铺垫。施工结束后恢复原地貌。施工便道尽量利用既有道路，部分地段乡村道路条件不具备时需新建临时便道连接各塔基施工区，以满足施工需要。</w:t>
            </w:r>
          </w:p>
          <w:p w14:paraId="17E51EFA">
            <w:pPr>
              <w:pStyle w:val="74"/>
              <w:keepNext w:val="0"/>
              <w:keepLines w:val="0"/>
              <w:suppressLineNumbers w:val="0"/>
              <w:spacing w:before="0" w:beforeAutospacing="0" w:after="0" w:afterAutospacing="0"/>
              <w:ind w:left="0" w:right="0" w:firstLine="480"/>
              <w:jc w:val="left"/>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本工程在选址选线阶段充分征求了黑龙江省</w:t>
            </w:r>
            <w:r>
              <w:rPr>
                <w:rFonts w:hint="eastAsia"/>
                <w:color w:val="000000" w:themeColor="text1"/>
                <w:sz w:val="24"/>
                <w:lang w:val="en-US" w:eastAsia="zh-CN"/>
                <w14:textFill>
                  <w14:solidFill>
                    <w14:schemeClr w14:val="tx1"/>
                  </w14:solidFill>
                </w14:textFill>
              </w:rPr>
              <w:t>鸡西</w:t>
            </w:r>
            <w:r>
              <w:rPr>
                <w:rFonts w:hint="default"/>
                <w:color w:val="000000" w:themeColor="text1"/>
                <w:sz w:val="24"/>
                <w14:textFill>
                  <w14:solidFill>
                    <w14:schemeClr w14:val="tx1"/>
                  </w14:solidFill>
                </w14:textFill>
              </w:rPr>
              <w:t>市相关部门的意见，</w:t>
            </w:r>
            <w:r>
              <w:rPr>
                <w:rFonts w:hint="eastAsia"/>
                <w:color w:val="000000" w:themeColor="text1"/>
                <w:sz w:val="24"/>
                <w:lang w:eastAsia="zh-CN"/>
                <w14:textFill>
                  <w14:solidFill>
                    <w14:schemeClr w14:val="tx1"/>
                  </w14:solidFill>
                </w14:textFill>
              </w:rPr>
              <w:t>并</w:t>
            </w:r>
            <w:r>
              <w:rPr>
                <w:rFonts w:hint="default"/>
                <w:color w:val="000000" w:themeColor="text1"/>
                <w:sz w:val="24"/>
                <w14:textFill>
                  <w14:solidFill>
                    <w14:schemeClr w14:val="tx1"/>
                  </w14:solidFill>
                </w14:textFill>
              </w:rPr>
              <w:t>达成站址和路径协议，根据各部门意见修改确定。</w:t>
            </w:r>
            <w:r>
              <w:rPr>
                <w:rFonts w:hint="eastAsia"/>
                <w:color w:val="000000" w:themeColor="text1"/>
                <w:sz w:val="24"/>
                <w:lang w:val="en-US" w:eastAsia="zh-CN"/>
                <w14:textFill>
                  <w14:solidFill>
                    <w14:schemeClr w14:val="tx1"/>
                  </w14:solidFill>
                </w14:textFill>
              </w:rPr>
              <w:t>选址</w:t>
            </w:r>
            <w:r>
              <w:rPr>
                <w:rFonts w:hint="default"/>
                <w:color w:val="000000" w:themeColor="text1"/>
                <w:sz w:val="24"/>
                <w14:textFill>
                  <w14:solidFill>
                    <w14:schemeClr w14:val="tx1"/>
                  </w14:solidFill>
                </w14:textFill>
              </w:rPr>
              <w:t>过程中得到了当地国土、规划等部门支持和配合。依照</w:t>
            </w:r>
            <w:r>
              <w:rPr>
                <w:rFonts w:hint="eastAsia"/>
                <w:color w:val="000000" w:themeColor="text1"/>
                <w:sz w:val="24"/>
                <w:lang w:val="en-US" w:eastAsia="zh-CN"/>
                <w14:textFill>
                  <w14:solidFill>
                    <w14:schemeClr w14:val="tx1"/>
                  </w14:solidFill>
                </w14:textFill>
              </w:rPr>
              <w:t>“</w:t>
            </w:r>
            <w:r>
              <w:rPr>
                <w:rFonts w:hint="default"/>
                <w:color w:val="000000" w:themeColor="text1"/>
                <w:sz w:val="24"/>
                <w14:textFill>
                  <w14:solidFill>
                    <w14:schemeClr w14:val="tx1"/>
                  </w14:solidFill>
                </w14:textFill>
              </w:rPr>
              <w:t>尽量不占用基本农田、不影响地方乡镇规划、尽量减少民房拆迁</w:t>
            </w:r>
            <w:r>
              <w:rPr>
                <w:rFonts w:hint="eastAsia"/>
                <w:color w:val="000000" w:themeColor="text1"/>
                <w:sz w:val="24"/>
                <w:lang w:val="en-US" w:eastAsia="zh-CN"/>
                <w14:textFill>
                  <w14:solidFill>
                    <w14:schemeClr w14:val="tx1"/>
                  </w14:solidFill>
                </w14:textFill>
              </w:rPr>
              <w:t>”</w:t>
            </w:r>
            <w:r>
              <w:rPr>
                <w:rFonts w:hint="default"/>
                <w:color w:val="000000" w:themeColor="text1"/>
                <w:sz w:val="24"/>
                <w14:textFill>
                  <w14:solidFill>
                    <w14:schemeClr w14:val="tx1"/>
                  </w14:solidFill>
                </w14:textFill>
              </w:rPr>
              <w:t>等基本原则进行，结合电力系统对站址落点要求，根据当地经济发展规划、负荷分布及相关电网规划，新建</w:t>
            </w:r>
            <w:r>
              <w:rPr>
                <w:rFonts w:hint="eastAsia"/>
                <w:color w:val="000000" w:themeColor="text1"/>
                <w:sz w:val="24"/>
                <w:lang w:val="en-US" w:eastAsia="zh-CN"/>
                <w14:textFill>
                  <w14:solidFill>
                    <w14:schemeClr w14:val="tx1"/>
                  </w14:solidFill>
                </w14:textFill>
              </w:rPr>
              <w:t>22</w:t>
            </w:r>
            <w:r>
              <w:rPr>
                <w:rFonts w:hint="default"/>
                <w:color w:val="000000" w:themeColor="text1"/>
                <w:sz w:val="24"/>
                <w14:textFill>
                  <w14:solidFill>
                    <w14:schemeClr w14:val="tx1"/>
                  </w14:solidFill>
                </w14:textFill>
              </w:rPr>
              <w:t>0kV输变线线路工程用地已经过相关部门审批。</w:t>
            </w:r>
          </w:p>
          <w:p w14:paraId="72FB8F43">
            <w:pPr>
              <w:pStyle w:val="74"/>
              <w:keepNext w:val="0"/>
              <w:keepLines w:val="0"/>
              <w:suppressLineNumbers w:val="0"/>
              <w:spacing w:before="0" w:beforeAutospacing="0" w:after="0" w:afterAutospacing="0"/>
              <w:ind w:left="0" w:right="0" w:firstLine="480"/>
              <w:jc w:val="left"/>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综上所述，本项目的建设无重大环境制约因素，与规划相容，在严格落实本报告表提出的各项措施和建议的条件下，项目选址从环保角度分析基本可行。</w:t>
            </w:r>
          </w:p>
        </w:tc>
      </w:tr>
    </w:tbl>
    <w:p w14:paraId="059FFFD5">
      <w:pPr>
        <w:pStyle w:val="25"/>
        <w:jc w:val="center"/>
        <w:rPr>
          <w:rFonts w:ascii="黑体" w:hAnsi="黑体" w:eastAsia="黑体"/>
          <w:snapToGrid w:val="0"/>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0297FB8A">
      <w:pPr>
        <w:pStyle w:val="25"/>
        <w:adjustRightInd w:val="0"/>
        <w:snapToGrid w:val="0"/>
        <w:spacing w:before="0" w:beforeAutospacing="0" w:after="0" w:afterAutospacing="0" w:line="14" w:lineRule="auto"/>
        <w:jc w:val="center"/>
        <w:rPr>
          <w:rFonts w:ascii="黑体" w:hAnsi="黑体" w:eastAsia="黑体"/>
          <w:snapToGrid w:val="0"/>
        </w:rPr>
      </w:pPr>
    </w:p>
    <w:p w14:paraId="76FA9AF9">
      <w:pPr>
        <w:pStyle w:val="25"/>
        <w:jc w:val="center"/>
        <w:outlineLvl w:val="0"/>
        <w:rPr>
          <w:rFonts w:ascii="黑体" w:hAnsi="黑体" w:eastAsia="黑体"/>
          <w:snapToGrid w:val="0"/>
          <w:sz w:val="30"/>
          <w:szCs w:val="30"/>
        </w:rPr>
      </w:pPr>
      <w:bookmarkStart w:id="17" w:name="_Toc15542"/>
      <w:bookmarkStart w:id="18" w:name="_Toc25626"/>
      <w:bookmarkStart w:id="19" w:name="_Toc18317"/>
      <w:r>
        <w:rPr>
          <w:rFonts w:hint="eastAsia" w:ascii="黑体" w:hAnsi="黑体" w:eastAsia="黑体"/>
          <w:snapToGrid w:val="0"/>
          <w:sz w:val="30"/>
          <w:szCs w:val="30"/>
        </w:rPr>
        <w:t>五、主要生态环境保护措施</w:t>
      </w:r>
      <w:bookmarkEnd w:id="17"/>
      <w:bookmarkEnd w:id="18"/>
      <w:bookmarkEnd w:id="19"/>
    </w:p>
    <w:tbl>
      <w:tblPr>
        <w:tblStyle w:val="30"/>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8736"/>
      </w:tblGrid>
      <w:tr w14:paraId="43C91A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dxa"/>
            <w:tcMar>
              <w:left w:w="28" w:type="dxa"/>
              <w:right w:w="28" w:type="dxa"/>
            </w:tcMar>
            <w:vAlign w:val="center"/>
          </w:tcPr>
          <w:p w14:paraId="451BBB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bCs/>
                <w:color w:val="000000" w:themeColor="text1"/>
                <w:sz w:val="24"/>
                <w14:textFill>
                  <w14:solidFill>
                    <w14:schemeClr w14:val="tx1"/>
                  </w14:solidFill>
                </w14:textFill>
              </w:rPr>
            </w:pPr>
            <w:r>
              <w:rPr>
                <w:rFonts w:hint="eastAsia" w:ascii="宋体" w:hAnsi="宋体" w:cs="宋体"/>
                <w:bCs/>
                <w:color w:val="000000" w:themeColor="text1"/>
                <w:spacing w:val="10"/>
                <w:sz w:val="24"/>
                <w14:textFill>
                  <w14:solidFill>
                    <w14:schemeClr w14:val="tx1"/>
                  </w14:solidFill>
                </w14:textFill>
              </w:rPr>
              <w:t>施工期生态环境保护措施</w:t>
            </w:r>
          </w:p>
        </w:tc>
        <w:tc>
          <w:tcPr>
            <w:tcW w:w="0" w:type="dxa"/>
          </w:tcPr>
          <w:p w14:paraId="001C216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1、生态环境影响防控措施</w:t>
            </w:r>
          </w:p>
          <w:p w14:paraId="2D520DE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w:t>
            </w:r>
            <w:r>
              <w:rPr>
                <w:rFonts w:hint="eastAsia"/>
                <w:color w:val="000000" w:themeColor="text1"/>
                <w:sz w:val="24"/>
                <w:lang w:val="en-US" w:eastAsia="zh-CN"/>
                <w14:textFill>
                  <w14:solidFill>
                    <w14:schemeClr w14:val="tx1"/>
                  </w14:solidFill>
                </w14:textFill>
              </w:rPr>
              <w:t>恒山</w:t>
            </w:r>
            <w:r>
              <w:rPr>
                <w:rFonts w:hint="eastAsia"/>
                <w:color w:val="000000" w:themeColor="text1"/>
                <w:sz w:val="24"/>
                <w14:textFill>
                  <w14:solidFill>
                    <w14:schemeClr w14:val="tx1"/>
                  </w14:solidFill>
                </w14:textFill>
              </w:rPr>
              <w:t>变电站</w:t>
            </w:r>
            <w:r>
              <w:rPr>
                <w:rFonts w:hint="eastAsia"/>
                <w:color w:val="000000" w:themeColor="text1"/>
                <w:sz w:val="24"/>
                <w:lang w:val="en-US" w:eastAsia="zh-CN"/>
                <w14:textFill>
                  <w14:solidFill>
                    <w14:schemeClr w14:val="tx1"/>
                  </w14:solidFill>
                </w14:textFill>
              </w:rPr>
              <w:t>间隔扩建</w:t>
            </w:r>
            <w:r>
              <w:rPr>
                <w:rFonts w:hint="eastAsia"/>
                <w:color w:val="000000" w:themeColor="text1"/>
                <w:sz w:val="24"/>
                <w14:textFill>
                  <w14:solidFill>
                    <w14:schemeClr w14:val="tx1"/>
                  </w14:solidFill>
                </w14:textFill>
              </w:rPr>
              <w:t>工程</w:t>
            </w:r>
            <w:r>
              <w:rPr>
                <w:rFonts w:hint="eastAsia" w:eastAsia="宋体" w:cs="Times New Roman"/>
                <w:color w:val="auto"/>
                <w:kern w:val="2"/>
                <w:sz w:val="24"/>
                <w:szCs w:val="24"/>
                <w:highlight w:val="none"/>
                <w:lang w:val="en-US" w:eastAsia="zh-CN" w:bidi="ar-SA"/>
              </w:rPr>
              <w:t>，新增占地0.</w:t>
            </w:r>
            <w:r>
              <w:rPr>
                <w:rFonts w:hint="eastAsia" w:cs="Times New Roman"/>
                <w:color w:val="auto"/>
                <w:kern w:val="2"/>
                <w:sz w:val="24"/>
                <w:szCs w:val="24"/>
                <w:highlight w:val="none"/>
                <w:lang w:val="en-US" w:eastAsia="zh-CN" w:bidi="ar-SA"/>
              </w:rPr>
              <w:t>56</w:t>
            </w:r>
            <w:r>
              <w:rPr>
                <w:rFonts w:hint="eastAsia" w:eastAsia="宋体" w:cs="Times New Roman"/>
                <w:color w:val="auto"/>
                <w:kern w:val="2"/>
                <w:sz w:val="24"/>
                <w:szCs w:val="24"/>
                <w:highlight w:val="none"/>
                <w:lang w:val="en-US" w:eastAsia="zh-CN" w:bidi="ar-SA"/>
              </w:rPr>
              <w:t>h</w:t>
            </w:r>
            <w:r>
              <w:rPr>
                <w:rFonts w:hint="eastAsia"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vertAlign w:val="superscript"/>
                <w:lang w:val="en-US" w:eastAsia="zh-CN" w:bidi="ar-SA"/>
              </w:rPr>
              <w:t>2</w:t>
            </w:r>
            <w:r>
              <w:rPr>
                <w:rFonts w:hint="eastAsia" w:eastAsia="宋体" w:cs="Times New Roman"/>
                <w:color w:val="auto"/>
                <w:kern w:val="2"/>
                <w:sz w:val="24"/>
                <w:szCs w:val="24"/>
                <w:highlight w:val="none"/>
                <w:lang w:val="en-US" w:eastAsia="zh-CN" w:bidi="ar-SA"/>
              </w:rPr>
              <w:t>，新征占地为耕地</w:t>
            </w:r>
            <w:r>
              <w:rPr>
                <w:rFonts w:hint="eastAsia" w:cs="Times New Roman"/>
                <w:color w:val="auto"/>
                <w:kern w:val="2"/>
                <w:sz w:val="24"/>
                <w:szCs w:val="24"/>
                <w:highlight w:val="none"/>
                <w:lang w:val="en-US" w:eastAsia="zh-CN" w:bidi="ar-SA"/>
              </w:rPr>
              <w:t>（一般农田）</w:t>
            </w:r>
            <w:r>
              <w:rPr>
                <w:rFonts w:hint="eastAsia"/>
                <w:color w:val="000000" w:themeColor="text1"/>
                <w:sz w:val="24"/>
                <w14:textFill>
                  <w14:solidFill>
                    <w14:schemeClr w14:val="tx1"/>
                  </w14:solidFill>
                </w14:textFill>
              </w:rPr>
              <w:t>，输电线路工程位于</w:t>
            </w:r>
            <w:r>
              <w:rPr>
                <w:rFonts w:hint="eastAsia"/>
                <w:color w:val="000000" w:themeColor="text1"/>
                <w:sz w:val="24"/>
                <w:lang w:val="en-US" w:eastAsia="zh-CN"/>
                <w14:textFill>
                  <w14:solidFill>
                    <w14:schemeClr w14:val="tx1"/>
                  </w14:solidFill>
                </w14:textFill>
              </w:rPr>
              <w:t>鸡西市恒山区及鸡东县</w:t>
            </w:r>
            <w:r>
              <w:rPr>
                <w:rFonts w:hint="eastAsia"/>
                <w:color w:val="000000" w:themeColor="text1"/>
                <w:sz w:val="24"/>
                <w14:textFill>
                  <w14:solidFill>
                    <w14:schemeClr w14:val="tx1"/>
                  </w14:solidFill>
                </w14:textFill>
              </w:rPr>
              <w:t>境内，沿线主要地物为耕地及林地；交通条件</w:t>
            </w:r>
            <w:r>
              <w:rPr>
                <w:rFonts w:hint="eastAsia"/>
                <w:color w:val="000000" w:themeColor="text1"/>
                <w:sz w:val="24"/>
                <w:lang w:val="en-US" w:eastAsia="zh-CN"/>
                <w14:textFill>
                  <w14:solidFill>
                    <w14:schemeClr w14:val="tx1"/>
                  </w14:solidFill>
                </w14:textFill>
              </w:rPr>
              <w:t>一般</w:t>
            </w:r>
            <w:r>
              <w:rPr>
                <w:rFonts w:hint="eastAsia"/>
                <w:color w:val="000000" w:themeColor="text1"/>
                <w:sz w:val="24"/>
                <w14:textFill>
                  <w14:solidFill>
                    <w14:schemeClr w14:val="tx1"/>
                  </w14:solidFill>
                </w14:textFill>
              </w:rPr>
              <w:t>；已避开城镇规划及重要影响线路安全的设施；线路所经区域暂无自然保护区设置。施工期间对于基础开挖、土方临时堆放等应采取相应的防护和管理措施：</w:t>
            </w:r>
          </w:p>
          <w:p w14:paraId="4C9F9F2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a）施工进场前，应加强对施工人员的生态环境保护的宣传教育工作，强化施工人员的环保意识，严禁破坏施工区以外的草地及林地，划定施工作业范围和路线，限定并缩小施工作业范围，严格控制施工作业区域以外的其他活动。</w:t>
            </w:r>
          </w:p>
          <w:p w14:paraId="51DECE1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b）强化施工阶段的环境管理，在整个施工期内，检查生态保护措施的落实及施工人员的生态保护行为，加强监理及施工人员的组织管理。</w:t>
            </w:r>
          </w:p>
          <w:p w14:paraId="0E08AF1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在施工过程中对土方开挖要统筹考虑，杜绝重复挖填，开挖的土方要及时回填，减少临时堆土场的堆放量。临时堆土在大风季节要采取适当遮盖措施，防止风蚀。临时堆土设置围堰措施，围堰采用编织袋装土，按“品”字形堆砌护坡。实施最小施工作业带，减少施工临时占地。</w:t>
            </w:r>
          </w:p>
          <w:p w14:paraId="6DF0062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d）合理安排施工时序，开挖前要先放线，做到先防护、后开挖。开挖的土石方应尽可能直接堆至回填区域或指定的临时堆土场妥善堆放，做到随挖、随填、随夯，减少由于土石方中转造成的水土流失</w:t>
            </w:r>
          </w:p>
          <w:p w14:paraId="21FBFFF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e）站区外工程如供水管线、进站道路、排水沟等施工中要注意表土剥离、区间土方调配，做到边开挖边回填，土方回填后及时夯实，尽量减少土方的堆放时间，土方尽量沿管沟一侧堆放。</w:t>
            </w:r>
          </w:p>
          <w:p w14:paraId="236A3AD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f）对于运输车辆，必须按当地渣土管理部门批准的运输线路和时间运输，按当地渣土管理处指定的场地倾倒。运输车辆不得超量装载，土方不得超过运输车辆槽帮上缘。运输车辆在驶出施工现场前，必须苫盖，保证在运输线路中不泄漏、遗撒。</w:t>
            </w:r>
          </w:p>
          <w:p w14:paraId="6F5B25F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g）按指定的场地倾倒渣土，严禁在河道、沟渠、绿化带、城乡结合部及道路旁和其他非指定的场地倾倒渣土。</w:t>
            </w:r>
          </w:p>
          <w:p w14:paraId="72694E5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h）施工过程中，开挖回填土堆放于与表土分别堆放于塔基施工区，表土、回填土采取密目网苫盖措施防护。施工结束后，扰动区回覆表土，临时堆土草袋装土拦挡和防尘网苫盖、土地整治、撒播草籽的恢复措施。产生的弃土采取回填、地面平整以及种草及复耕等生态恢复等措施逐渐消除，综合利用土壤资源，不随意丢弃。</w:t>
            </w:r>
          </w:p>
          <w:p w14:paraId="275BFD0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i）本项目线路施工进行的表土剥离所产生的弃土采取回填、地面平整以及种草及复耕等生态恢复等措施逐渐消除，综合利用土壤资源，不随意丢弃。</w:t>
            </w:r>
          </w:p>
          <w:p w14:paraId="1E57692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j）本项目输电线路塔基产生的永久占地采取“只占不征”的方式，进行相关经济补偿，在施工结束后恢复原有土地功能性质，不减少基本农田总量，不触及基本农田红线。</w:t>
            </w:r>
          </w:p>
          <w:p w14:paraId="39D5E55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k）本项目线路走廊部分需要对林地进行砍伐，办理相关砍伐手续，永久砍伐部分在施工结束后，播撒草种，进行生态恢复工作；临时砍伐部分在施工结束后，重新种树，恢复原有生态功能。</w:t>
            </w:r>
          </w:p>
          <w:p w14:paraId="5B8D97B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本项目生态恢复措施主要是临时占地及线路两侧破坏面的植被恢复及周边生态保护，生态恢复一览表见表5-1，生态保护措施图例见5-1和施工平面布置图见5-1。</w:t>
            </w:r>
          </w:p>
          <w:p w14:paraId="508EA8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 xml:space="preserve">表 </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5-1</w:t>
            </w:r>
            <w:r>
              <w:rPr>
                <w:rFonts w:hint="eastAsia" w:ascii="Times New Roman" w:hAnsi="Times New Roman" w:eastAsia="宋体" w:cs="Times New Roman"/>
                <w:b/>
                <w:bCs/>
                <w:color w:val="000000" w:themeColor="text1"/>
                <w:sz w:val="24"/>
                <w:szCs w:val="24"/>
                <w14:textFill>
                  <w14:solidFill>
                    <w14:schemeClr w14:val="tx1"/>
                  </w14:solidFill>
                </w14:textFill>
              </w:rPr>
              <w:t xml:space="preserve"> 本项目典型生态恢复方案一览表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9"/>
              <w:gridCol w:w="533"/>
              <w:gridCol w:w="1566"/>
              <w:gridCol w:w="693"/>
              <w:gridCol w:w="2194"/>
              <w:gridCol w:w="1021"/>
              <w:gridCol w:w="1001"/>
              <w:gridCol w:w="1060"/>
            </w:tblGrid>
            <w:tr w14:paraId="1D22A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71" w:type="pct"/>
                  <w:gridSpan w:val="2"/>
                  <w:vAlign w:val="center"/>
                </w:tcPr>
                <w:p w14:paraId="6851A8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施工段</w:t>
                  </w:r>
                </w:p>
              </w:tc>
              <w:tc>
                <w:tcPr>
                  <w:tcW w:w="920" w:type="pct"/>
                  <w:vAlign w:val="center"/>
                </w:tcPr>
                <w:p w14:paraId="3BEA26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工程措施</w:t>
                  </w:r>
                </w:p>
              </w:tc>
              <w:tc>
                <w:tcPr>
                  <w:tcW w:w="1696" w:type="pct"/>
                  <w:gridSpan w:val="2"/>
                  <w:vAlign w:val="center"/>
                </w:tcPr>
                <w:p w14:paraId="007CE7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植物措施</w:t>
                  </w:r>
                </w:p>
              </w:tc>
              <w:tc>
                <w:tcPr>
                  <w:tcW w:w="600" w:type="pct"/>
                  <w:vAlign w:val="center"/>
                </w:tcPr>
                <w:p w14:paraId="25593E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治理目标</w:t>
                  </w:r>
                </w:p>
              </w:tc>
              <w:tc>
                <w:tcPr>
                  <w:tcW w:w="588" w:type="pct"/>
                  <w:vAlign w:val="center"/>
                </w:tcPr>
                <w:p w14:paraId="5585E4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实施面积</w:t>
                  </w:r>
                </w:p>
              </w:tc>
              <w:tc>
                <w:tcPr>
                  <w:tcW w:w="623" w:type="pct"/>
                  <w:vAlign w:val="center"/>
                </w:tcPr>
                <w:p w14:paraId="428F3B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t>实施时间</w:t>
                  </w:r>
                </w:p>
              </w:tc>
            </w:tr>
            <w:tr w14:paraId="60DC0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4" w:hRule="atLeast"/>
                <w:jc w:val="center"/>
              </w:trPr>
              <w:tc>
                <w:tcPr>
                  <w:tcW w:w="258" w:type="pct"/>
                  <w:vAlign w:val="center"/>
                </w:tcPr>
                <w:p w14:paraId="2E0B3C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站区内</w:t>
                  </w:r>
                </w:p>
              </w:tc>
              <w:tc>
                <w:tcPr>
                  <w:tcW w:w="313" w:type="pct"/>
                  <w:vAlign w:val="center"/>
                </w:tcPr>
                <w:p w14:paraId="5EDDA4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恒山</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变</w:t>
                  </w:r>
                </w:p>
              </w:tc>
              <w:tc>
                <w:tcPr>
                  <w:tcW w:w="920" w:type="pct"/>
                  <w:vAlign w:val="center"/>
                </w:tcPr>
                <w:p w14:paraId="4F5779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变电站施工前，剥离表土，单独堆存，并进行平整</w:t>
                  </w:r>
                </w:p>
              </w:tc>
              <w:tc>
                <w:tcPr>
                  <w:tcW w:w="1696" w:type="pct"/>
                  <w:gridSpan w:val="2"/>
                  <w:vAlign w:val="center"/>
                </w:tcPr>
                <w:p w14:paraId="7C0162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default" w:ascii="宋体" w:hAnsi="宋体" w:eastAsia="宋体" w:cs="宋体"/>
                      <w:color w:val="000000" w:themeColor="text1"/>
                      <w:kern w:val="0"/>
                      <w:sz w:val="21"/>
                      <w:szCs w:val="21"/>
                      <w:lang w:val="en-US" w:eastAsia="zh-CN" w:bidi="ar"/>
                      <w14:textFill>
                        <w14:solidFill>
                          <w14:schemeClr w14:val="tx1"/>
                        </w14:solidFill>
                      </w14:textFill>
                    </w:rPr>
                    <w:t>永久占地：</w:t>
                  </w:r>
                  <w:r>
                    <w:rPr>
                      <w:rFonts w:hint="eastAsia" w:ascii="宋体" w:hAnsi="宋体" w:eastAsia="宋体" w:cs="宋体"/>
                      <w:color w:val="000000" w:themeColor="text1"/>
                      <w:kern w:val="0"/>
                      <w:sz w:val="21"/>
                      <w:szCs w:val="21"/>
                      <w:lang w:val="en-US" w:eastAsia="zh-CN" w:bidi="ar"/>
                      <w14:textFill>
                        <w14:solidFill>
                          <w14:schemeClr w14:val="tx1"/>
                        </w14:solidFill>
                      </w14:textFill>
                    </w:rPr>
                    <w:t>站内绿化</w:t>
                  </w:r>
                </w:p>
              </w:tc>
              <w:tc>
                <w:tcPr>
                  <w:tcW w:w="600" w:type="pct"/>
                  <w:vAlign w:val="center"/>
                </w:tcPr>
                <w:p w14:paraId="59243E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w:t>
                  </w:r>
                </w:p>
              </w:tc>
              <w:tc>
                <w:tcPr>
                  <w:tcW w:w="588" w:type="pct"/>
                  <w:vAlign w:val="center"/>
                </w:tcPr>
                <w:p w14:paraId="452E1A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pP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0.</w:t>
                  </w:r>
                  <w:r>
                    <w:rPr>
                      <w:rFonts w:hint="eastAsia" w:cs="Times New Roman"/>
                      <w:color w:val="000000" w:themeColor="text1"/>
                      <w:kern w:val="44"/>
                      <w:sz w:val="21"/>
                      <w:szCs w:val="20"/>
                      <w:lang w:val="en-US" w:eastAsia="zh-CN" w:bidi="ar-SA"/>
                      <w14:textFill>
                        <w14:solidFill>
                          <w14:schemeClr w14:val="tx1"/>
                        </w14:solidFill>
                      </w14:textFill>
                    </w:rPr>
                    <w:t>56</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Align w:val="center"/>
                </w:tcPr>
                <w:p w14:paraId="31F562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w:t>
                  </w:r>
                </w:p>
              </w:tc>
            </w:tr>
            <w:tr w14:paraId="2946B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4" w:hRule="atLeast"/>
                <w:jc w:val="center"/>
              </w:trPr>
              <w:tc>
                <w:tcPr>
                  <w:tcW w:w="258" w:type="pct"/>
                  <w:vMerge w:val="restart"/>
                  <w:vAlign w:val="center"/>
                </w:tcPr>
                <w:p w14:paraId="38A3DB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输电线路</w:t>
                  </w:r>
                </w:p>
              </w:tc>
              <w:tc>
                <w:tcPr>
                  <w:tcW w:w="313" w:type="pct"/>
                  <w:vAlign w:val="center"/>
                </w:tcPr>
                <w:p w14:paraId="48D32C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塔基区</w:t>
                  </w:r>
                </w:p>
              </w:tc>
              <w:tc>
                <w:tcPr>
                  <w:tcW w:w="920" w:type="pct"/>
                  <w:vAlign w:val="center"/>
                </w:tcPr>
                <w:p w14:paraId="0A73D2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t>剥离表土</w:t>
                  </w:r>
                </w:p>
              </w:tc>
              <w:tc>
                <w:tcPr>
                  <w:tcW w:w="1696" w:type="pct"/>
                  <w:gridSpan w:val="2"/>
                  <w:vAlign w:val="center"/>
                </w:tcPr>
                <w:p w14:paraId="51782A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t>永久占地：</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无绿化</w:t>
                  </w:r>
                </w:p>
              </w:tc>
              <w:tc>
                <w:tcPr>
                  <w:tcW w:w="600" w:type="pct"/>
                  <w:vAlign w:val="center"/>
                </w:tcPr>
                <w:p w14:paraId="2CACB0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w:t>
                  </w:r>
                </w:p>
              </w:tc>
              <w:tc>
                <w:tcPr>
                  <w:tcW w:w="588" w:type="pct"/>
                  <w:vAlign w:val="center"/>
                </w:tcPr>
                <w:p w14:paraId="0931EC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4.76</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default"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Align w:val="center"/>
                </w:tcPr>
                <w:p w14:paraId="0DADF6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w:t>
                  </w:r>
                </w:p>
              </w:tc>
            </w:tr>
            <w:tr w14:paraId="720E7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94" w:hRule="atLeast"/>
                <w:jc w:val="center"/>
              </w:trPr>
              <w:tc>
                <w:tcPr>
                  <w:tcW w:w="258" w:type="pct"/>
                  <w:vMerge w:val="continue"/>
                  <w:vAlign w:val="center"/>
                </w:tcPr>
                <w:p w14:paraId="306226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313" w:type="pct"/>
                  <w:vMerge w:val="restart"/>
                  <w:vAlign w:val="center"/>
                </w:tcPr>
                <w:p w14:paraId="148A36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塔基施工区</w:t>
                  </w:r>
                </w:p>
              </w:tc>
              <w:tc>
                <w:tcPr>
                  <w:tcW w:w="920" w:type="pct"/>
                  <w:vMerge w:val="restart"/>
                  <w:vAlign w:val="center"/>
                </w:tcPr>
                <w:p w14:paraId="31CD89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t>施工前，</w:t>
                  </w:r>
                  <w:r>
                    <w:rPr>
                      <w:rFonts w:hint="eastAsia" w:cs="Times New Roman"/>
                      <w:color w:val="000000" w:themeColor="text1"/>
                      <w:kern w:val="44"/>
                      <w:sz w:val="21"/>
                      <w:szCs w:val="20"/>
                      <w:lang w:val="en-US" w:eastAsia="zh-CN" w:bidi="ar-SA"/>
                      <w14:textFill>
                        <w14:solidFill>
                          <w14:schemeClr w14:val="tx1"/>
                        </w14:solidFill>
                      </w14:textFill>
                    </w:rPr>
                    <w:t>土地整治、</w:t>
                  </w:r>
                  <w:r>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t>剥离表土，单独堆存，并进行平整、拍实</w:t>
                  </w:r>
                </w:p>
              </w:tc>
              <w:tc>
                <w:tcPr>
                  <w:tcW w:w="407" w:type="pct"/>
                  <w:vAlign w:val="center"/>
                </w:tcPr>
                <w:p w14:paraId="7C5121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耕地</w:t>
                  </w:r>
                </w:p>
              </w:tc>
              <w:tc>
                <w:tcPr>
                  <w:tcW w:w="1289" w:type="pct"/>
                  <w:vAlign w:val="center"/>
                </w:tcPr>
                <w:p w14:paraId="178817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施工结束后进行复耕措施（对场地进行清理、平整、翻地、人工施肥等措施后满足作物生长需要）</w:t>
                  </w:r>
                </w:p>
              </w:tc>
              <w:tc>
                <w:tcPr>
                  <w:tcW w:w="600" w:type="pct"/>
                  <w:vAlign w:val="center"/>
                </w:tcPr>
                <w:p w14:paraId="3D43D6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满足作物生长需要</w:t>
                  </w:r>
                </w:p>
              </w:tc>
              <w:tc>
                <w:tcPr>
                  <w:tcW w:w="588" w:type="pct"/>
                  <w:vAlign w:val="center"/>
                </w:tcPr>
                <w:p w14:paraId="288571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15.72</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Align w:val="center"/>
                </w:tcPr>
                <w:p w14:paraId="7D6C1B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单元施工区结束后，及时采取环保措施，待到季节适宜，进行植被恢复</w:t>
                  </w:r>
                </w:p>
              </w:tc>
            </w:tr>
            <w:tr w14:paraId="63DC9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47" w:hRule="atLeast"/>
                <w:jc w:val="center"/>
              </w:trPr>
              <w:tc>
                <w:tcPr>
                  <w:tcW w:w="258" w:type="pct"/>
                  <w:vMerge w:val="continue"/>
                  <w:vAlign w:val="center"/>
                </w:tcPr>
                <w:p w14:paraId="2B7271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313" w:type="pct"/>
                  <w:vMerge w:val="continue"/>
                  <w:tcBorders/>
                  <w:vAlign w:val="center"/>
                </w:tcPr>
                <w:p w14:paraId="088B65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920" w:type="pct"/>
                  <w:vMerge w:val="continue"/>
                  <w:tcBorders/>
                  <w:vAlign w:val="center"/>
                </w:tcPr>
                <w:p w14:paraId="1768DD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407" w:type="pct"/>
                  <w:vAlign w:val="center"/>
                </w:tcPr>
                <w:p w14:paraId="6307E0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草地</w:t>
                  </w:r>
                </w:p>
              </w:tc>
              <w:tc>
                <w:tcPr>
                  <w:tcW w:w="1289" w:type="pct"/>
                  <w:vAlign w:val="center"/>
                </w:tcPr>
                <w:p w14:paraId="3BBADD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施工结束后对场地进行清理、平整、翻地、人工施肥</w:t>
                  </w:r>
                  <w:r>
                    <w:rPr>
                      <w:rFonts w:hint="eastAsia" w:cs="Times New Roman"/>
                      <w:color w:val="000000" w:themeColor="text1"/>
                      <w:kern w:val="44"/>
                      <w:sz w:val="21"/>
                      <w:szCs w:val="20"/>
                      <w:lang w:val="en-US" w:eastAsia="zh-CN" w:bidi="ar-SA"/>
                      <w14:textFill>
                        <w14:solidFill>
                          <w14:schemeClr w14:val="tx1"/>
                        </w14:solidFill>
                      </w14:textFill>
                    </w:rPr>
                    <w:t>、撒播种草</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等措施</w:t>
                  </w:r>
                </w:p>
              </w:tc>
              <w:tc>
                <w:tcPr>
                  <w:tcW w:w="600" w:type="pct"/>
                  <w:vAlign w:val="center"/>
                </w:tcPr>
                <w:p w14:paraId="5B3E89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恢复植被至原有水平，植被覆盖度达到55%左右</w:t>
                  </w:r>
                </w:p>
              </w:tc>
              <w:tc>
                <w:tcPr>
                  <w:tcW w:w="588" w:type="pct"/>
                  <w:vAlign w:val="center"/>
                </w:tcPr>
                <w:p w14:paraId="5619A4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0.74</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Merge w:val="restart"/>
                  <w:vAlign w:val="center"/>
                </w:tcPr>
                <w:p w14:paraId="66B1D2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单元施工区结束后，及时采取环保措施，待到季节适宜，进行植被恢复</w:t>
                  </w:r>
                </w:p>
              </w:tc>
            </w:tr>
            <w:tr w14:paraId="6DEBF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47" w:hRule="atLeast"/>
                <w:jc w:val="center"/>
              </w:trPr>
              <w:tc>
                <w:tcPr>
                  <w:tcW w:w="258" w:type="pct"/>
                  <w:vMerge w:val="continue"/>
                  <w:vAlign w:val="center"/>
                </w:tcPr>
                <w:p w14:paraId="244DD8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313" w:type="pct"/>
                  <w:vMerge w:val="continue"/>
                  <w:tcBorders/>
                  <w:vAlign w:val="center"/>
                </w:tcPr>
                <w:p w14:paraId="069361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920" w:type="pct"/>
                  <w:vMerge w:val="continue"/>
                  <w:tcBorders/>
                  <w:vAlign w:val="center"/>
                </w:tcPr>
                <w:p w14:paraId="5C5E51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407" w:type="pct"/>
                  <w:vAlign w:val="center"/>
                </w:tcPr>
                <w:p w14:paraId="571399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林地</w:t>
                  </w:r>
                </w:p>
              </w:tc>
              <w:tc>
                <w:tcPr>
                  <w:tcW w:w="1289" w:type="pct"/>
                  <w:vAlign w:val="center"/>
                </w:tcPr>
                <w:p w14:paraId="2358B5C3">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施工结束后需对该区域先进行整地，种植灌木（柠条），种植标准为株行距1.5m×1.5m，灌木栽植穴规格为30cm×30cm，要求苗高50cm，生长健壮，无病虫危害。</w:t>
                  </w:r>
                </w:p>
              </w:tc>
              <w:tc>
                <w:tcPr>
                  <w:tcW w:w="600" w:type="pct"/>
                  <w:vAlign w:val="center"/>
                </w:tcPr>
                <w:p w14:paraId="41F086D7">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临时占地恢复植被至原有水平，植被覆盖度达到55%左右</w:t>
                  </w:r>
                </w:p>
              </w:tc>
              <w:tc>
                <w:tcPr>
                  <w:tcW w:w="588" w:type="pct"/>
                  <w:vAlign w:val="center"/>
                </w:tcPr>
                <w:p w14:paraId="6789B6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1.21</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Merge w:val="continue"/>
                  <w:tcBorders/>
                  <w:vAlign w:val="center"/>
                </w:tcPr>
                <w:p w14:paraId="40B790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r>
            <w:tr w14:paraId="5358F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258" w:type="pct"/>
                  <w:vMerge w:val="continue"/>
                  <w:vAlign w:val="center"/>
                </w:tcPr>
                <w:p w14:paraId="3DF67E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313" w:type="pct"/>
                  <w:vAlign w:val="center"/>
                </w:tcPr>
                <w:p w14:paraId="1BE822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牵张场地</w:t>
                  </w:r>
                </w:p>
              </w:tc>
              <w:tc>
                <w:tcPr>
                  <w:tcW w:w="920" w:type="pct"/>
                  <w:vAlign w:val="center"/>
                </w:tcPr>
                <w:p w14:paraId="496473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土地整治</w:t>
                  </w:r>
                </w:p>
              </w:tc>
              <w:tc>
                <w:tcPr>
                  <w:tcW w:w="1696" w:type="pct"/>
                  <w:gridSpan w:val="2"/>
                  <w:vAlign w:val="center"/>
                </w:tcPr>
                <w:p w14:paraId="4473DE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采用37kW拖拉机对部分扰动区域旋耕平整，要求深翻20</w:t>
                  </w:r>
                  <w:r>
                    <w:rPr>
                      <w:rFonts w:hint="default"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cm，然后</w:t>
                  </w:r>
                  <w:r>
                    <w:rPr>
                      <w:rFonts w:hint="eastAsia" w:ascii="Times New Roman" w:hAnsi="Times New Roman" w:cs="Times New Roman"/>
                      <w:color w:val="000000" w:themeColor="text1"/>
                      <w:lang w:val="en-US" w:eastAsia="zh-CN"/>
                      <w14:textFill>
                        <w14:solidFill>
                          <w14:schemeClr w14:val="tx1"/>
                        </w14:solidFill>
                      </w14:textFill>
                    </w:rPr>
                    <w:t>恢复原地貌</w:t>
                  </w:r>
                  <w:r>
                    <w:rPr>
                      <w:rFonts w:hint="default" w:ascii="Times New Roman" w:hAnsi="Times New Roman" w:cs="Times New Roman"/>
                      <w:color w:val="000000" w:themeColor="text1"/>
                      <w14:textFill>
                        <w14:solidFill>
                          <w14:schemeClr w14:val="tx1"/>
                        </w14:solidFill>
                      </w14:textFill>
                    </w:rPr>
                    <w:t>。</w:t>
                  </w:r>
                </w:p>
              </w:tc>
              <w:tc>
                <w:tcPr>
                  <w:tcW w:w="600" w:type="pct"/>
                  <w:vAlign w:val="center"/>
                </w:tcPr>
                <w:p w14:paraId="78BCD1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满足作物生长需要</w:t>
                  </w:r>
                </w:p>
              </w:tc>
              <w:tc>
                <w:tcPr>
                  <w:tcW w:w="588" w:type="pct"/>
                  <w:vAlign w:val="center"/>
                </w:tcPr>
                <w:p w14:paraId="2C3A3B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6.08</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Align w:val="center"/>
                </w:tcPr>
                <w:p w14:paraId="7A3215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单元施工区结束后，及时采取环保措施</w:t>
                  </w:r>
                </w:p>
              </w:tc>
            </w:tr>
            <w:tr w14:paraId="2015F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1" w:hRule="atLeast"/>
                <w:jc w:val="center"/>
              </w:trPr>
              <w:tc>
                <w:tcPr>
                  <w:tcW w:w="258" w:type="pct"/>
                  <w:vMerge w:val="continue"/>
                  <w:vAlign w:val="center"/>
                </w:tcPr>
                <w:p w14:paraId="716A72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313" w:type="pct"/>
                  <w:vAlign w:val="center"/>
                </w:tcPr>
                <w:p w14:paraId="05E78A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跨越施工场地</w:t>
                  </w:r>
                </w:p>
              </w:tc>
              <w:tc>
                <w:tcPr>
                  <w:tcW w:w="920" w:type="pct"/>
                  <w:vAlign w:val="center"/>
                </w:tcPr>
                <w:p w14:paraId="7747B8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土地整治</w:t>
                  </w:r>
                </w:p>
              </w:tc>
              <w:tc>
                <w:tcPr>
                  <w:tcW w:w="1696" w:type="pct"/>
                  <w:gridSpan w:val="2"/>
                  <w:vAlign w:val="center"/>
                </w:tcPr>
                <w:p w14:paraId="728C49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耕地</w:t>
                  </w:r>
                </w:p>
                <w:p w14:paraId="4590A0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采用37kW拖拉机对部分扰动区域旋耕平整，要求深翻20</w:t>
                  </w:r>
                  <w:r>
                    <w:rPr>
                      <w:rFonts w:hint="default"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cm，然后</w:t>
                  </w:r>
                  <w:r>
                    <w:rPr>
                      <w:rFonts w:hint="eastAsia" w:ascii="Times New Roman" w:hAnsi="Times New Roman" w:cs="Times New Roman"/>
                      <w:color w:val="000000" w:themeColor="text1"/>
                      <w:lang w:val="en-US" w:eastAsia="zh-CN"/>
                      <w14:textFill>
                        <w14:solidFill>
                          <w14:schemeClr w14:val="tx1"/>
                        </w14:solidFill>
                      </w14:textFill>
                    </w:rPr>
                    <w:t>恢复原地貌</w:t>
                  </w:r>
                  <w:r>
                    <w:rPr>
                      <w:rFonts w:hint="default" w:ascii="Times New Roman" w:hAnsi="Times New Roman" w:cs="Times New Roman"/>
                      <w:color w:val="000000" w:themeColor="text1"/>
                      <w14:textFill>
                        <w14:solidFill>
                          <w14:schemeClr w14:val="tx1"/>
                        </w14:solidFill>
                      </w14:textFill>
                    </w:rPr>
                    <w:t>。</w:t>
                  </w:r>
                </w:p>
              </w:tc>
              <w:tc>
                <w:tcPr>
                  <w:tcW w:w="600" w:type="pct"/>
                  <w:vAlign w:val="center"/>
                </w:tcPr>
                <w:p w14:paraId="71A6CB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满足作物生长需要</w:t>
                  </w:r>
                </w:p>
              </w:tc>
              <w:tc>
                <w:tcPr>
                  <w:tcW w:w="588" w:type="pct"/>
                  <w:vAlign w:val="center"/>
                </w:tcPr>
                <w:p w14:paraId="696F41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1.58</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Align w:val="center"/>
                </w:tcPr>
                <w:p w14:paraId="686503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单元施工区结束后，及时采取环保措施</w:t>
                  </w:r>
                </w:p>
              </w:tc>
            </w:tr>
            <w:tr w14:paraId="55AB7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6" w:hRule="atLeast"/>
                <w:jc w:val="center"/>
              </w:trPr>
              <w:tc>
                <w:tcPr>
                  <w:tcW w:w="258" w:type="pct"/>
                  <w:vMerge w:val="continue"/>
                  <w:vAlign w:val="center"/>
                </w:tcPr>
                <w:p w14:paraId="785E01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313" w:type="pct"/>
                  <w:vMerge w:val="restart"/>
                  <w:vAlign w:val="center"/>
                </w:tcPr>
                <w:p w14:paraId="540078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施工便道</w:t>
                  </w:r>
                </w:p>
              </w:tc>
              <w:tc>
                <w:tcPr>
                  <w:tcW w:w="920" w:type="pct"/>
                  <w:vMerge w:val="restart"/>
                  <w:vAlign w:val="center"/>
                </w:tcPr>
                <w:p w14:paraId="1AF2B4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土地整治、铺设钢板</w:t>
                  </w:r>
                </w:p>
              </w:tc>
              <w:tc>
                <w:tcPr>
                  <w:tcW w:w="407" w:type="pct"/>
                  <w:vAlign w:val="center"/>
                </w:tcPr>
                <w:p w14:paraId="71BC20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耕地</w:t>
                  </w:r>
                </w:p>
              </w:tc>
              <w:tc>
                <w:tcPr>
                  <w:tcW w:w="1289" w:type="pct"/>
                  <w:vAlign w:val="center"/>
                </w:tcPr>
                <w:p w14:paraId="3F531B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采用37kW拖拉机对部分扰动区域旋耕平整，要求深翻20</w:t>
                  </w:r>
                  <w:r>
                    <w:rPr>
                      <w:rFonts w:hint="default"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cm，然后</w:t>
                  </w:r>
                  <w:r>
                    <w:rPr>
                      <w:rFonts w:hint="eastAsia" w:ascii="Times New Roman" w:hAnsi="Times New Roman" w:cs="Times New Roman"/>
                      <w:color w:val="000000" w:themeColor="text1"/>
                      <w:lang w:val="en-US" w:eastAsia="zh-CN"/>
                      <w14:textFill>
                        <w14:solidFill>
                          <w14:schemeClr w14:val="tx1"/>
                        </w14:solidFill>
                      </w14:textFill>
                    </w:rPr>
                    <w:t>恢复原地貌</w:t>
                  </w:r>
                  <w:r>
                    <w:rPr>
                      <w:rFonts w:hint="default" w:ascii="Times New Roman" w:hAnsi="Times New Roman" w:cs="Times New Roman"/>
                      <w:color w:val="000000" w:themeColor="text1"/>
                      <w14:textFill>
                        <w14:solidFill>
                          <w14:schemeClr w14:val="tx1"/>
                        </w14:solidFill>
                      </w14:textFill>
                    </w:rPr>
                    <w:t>。</w:t>
                  </w:r>
                </w:p>
              </w:tc>
              <w:tc>
                <w:tcPr>
                  <w:tcW w:w="600" w:type="pct"/>
                  <w:vAlign w:val="center"/>
                </w:tcPr>
                <w:p w14:paraId="4FBE40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满足作物生长需要</w:t>
                  </w:r>
                </w:p>
              </w:tc>
              <w:tc>
                <w:tcPr>
                  <w:tcW w:w="588" w:type="pct"/>
                  <w:vAlign w:val="center"/>
                </w:tcPr>
                <w:p w14:paraId="7EAB41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38.98</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Merge w:val="restart"/>
                  <w:vAlign w:val="center"/>
                </w:tcPr>
                <w:p w14:paraId="2FA6A1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单元施工区结束后，及时采取环保措施</w:t>
                  </w:r>
                </w:p>
              </w:tc>
            </w:tr>
            <w:tr w14:paraId="75D59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6" w:hRule="atLeast"/>
                <w:jc w:val="center"/>
              </w:trPr>
              <w:tc>
                <w:tcPr>
                  <w:tcW w:w="258" w:type="pct"/>
                  <w:vMerge w:val="continue"/>
                  <w:vAlign w:val="center"/>
                </w:tcPr>
                <w:p w14:paraId="6268DB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313" w:type="pct"/>
                  <w:vMerge w:val="continue"/>
                  <w:vAlign w:val="center"/>
                </w:tcPr>
                <w:p w14:paraId="2535A0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c>
                <w:tcPr>
                  <w:tcW w:w="920" w:type="pct"/>
                  <w:vMerge w:val="continue"/>
                  <w:vAlign w:val="center"/>
                </w:tcPr>
                <w:p w14:paraId="0F1DAB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000000" w:themeColor="text1"/>
                      <w:kern w:val="44"/>
                      <w:sz w:val="21"/>
                      <w:szCs w:val="20"/>
                      <w:lang w:val="en-US" w:eastAsia="zh-CN" w:bidi="ar-SA"/>
                      <w14:textFill>
                        <w14:solidFill>
                          <w14:schemeClr w14:val="tx1"/>
                        </w14:solidFill>
                      </w14:textFill>
                    </w:rPr>
                  </w:pPr>
                </w:p>
              </w:tc>
              <w:tc>
                <w:tcPr>
                  <w:tcW w:w="693" w:type="dxa"/>
                  <w:vAlign w:val="center"/>
                </w:tcPr>
                <w:p w14:paraId="7D3DD0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林地</w:t>
                  </w:r>
                </w:p>
              </w:tc>
              <w:tc>
                <w:tcPr>
                  <w:tcW w:w="2194" w:type="dxa"/>
                  <w:vAlign w:val="center"/>
                </w:tcPr>
                <w:p w14:paraId="2B17AA79">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textAlignment w:val="auto"/>
                    <w:rPr>
                      <w:rFonts w:hint="default" w:ascii="Times New Roman" w:hAnsi="Times New Roman" w:cs="Times New Roman"/>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施工结束后需对该区域先进行整地，种植灌木（柠条），种植标准为株行距1.5m×1.5m，灌木栽植穴规格为30cm×30cm，要求苗高50cm，生长健壮，无病虫危害。</w:t>
                  </w:r>
                </w:p>
              </w:tc>
              <w:tc>
                <w:tcPr>
                  <w:tcW w:w="1021" w:type="dxa"/>
                  <w:vAlign w:val="center"/>
                </w:tcPr>
                <w:p w14:paraId="696D9ADB">
                  <w:pPr>
                    <w:pStyle w:val="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临时占地恢复植被至原有水平，植被覆盖度达到55%左右</w:t>
                  </w:r>
                </w:p>
              </w:tc>
              <w:tc>
                <w:tcPr>
                  <w:tcW w:w="1001" w:type="dxa"/>
                  <w:vAlign w:val="center"/>
                </w:tcPr>
                <w:p w14:paraId="594DB8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16.10</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Merge w:val="continue"/>
                  <w:vAlign w:val="center"/>
                </w:tcPr>
                <w:p w14:paraId="23DE5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r>
            <w:tr w14:paraId="1B83F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6" w:hRule="atLeast"/>
                <w:jc w:val="center"/>
              </w:trPr>
              <w:tc>
                <w:tcPr>
                  <w:tcW w:w="258" w:type="pct"/>
                  <w:vMerge w:val="continue"/>
                  <w:vAlign w:val="center"/>
                </w:tcPr>
                <w:p w14:paraId="55078D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p>
              </w:tc>
              <w:tc>
                <w:tcPr>
                  <w:tcW w:w="313" w:type="pct"/>
                  <w:vMerge w:val="continue"/>
                  <w:vAlign w:val="center"/>
                </w:tcPr>
                <w:p w14:paraId="5639A1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p>
              </w:tc>
              <w:tc>
                <w:tcPr>
                  <w:tcW w:w="920" w:type="pct"/>
                  <w:vMerge w:val="continue"/>
                  <w:vAlign w:val="center"/>
                </w:tcPr>
                <w:p w14:paraId="50B338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p>
              </w:tc>
              <w:tc>
                <w:tcPr>
                  <w:tcW w:w="693" w:type="dxa"/>
                  <w:vAlign w:val="center"/>
                </w:tcPr>
                <w:p w14:paraId="0421DA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草地</w:t>
                  </w:r>
                </w:p>
              </w:tc>
              <w:tc>
                <w:tcPr>
                  <w:tcW w:w="2194" w:type="dxa"/>
                  <w:vAlign w:val="center"/>
                </w:tcPr>
                <w:p w14:paraId="11814C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施工结束后对场地进行清理、平整、翻地、人工施肥</w:t>
                  </w:r>
                  <w:r>
                    <w:rPr>
                      <w:rFonts w:hint="eastAsia" w:cs="Times New Roman"/>
                      <w:color w:val="000000" w:themeColor="text1"/>
                      <w:kern w:val="44"/>
                      <w:sz w:val="21"/>
                      <w:szCs w:val="20"/>
                      <w:lang w:val="en-US" w:eastAsia="zh-CN" w:bidi="ar-SA"/>
                      <w14:textFill>
                        <w14:solidFill>
                          <w14:schemeClr w14:val="tx1"/>
                        </w14:solidFill>
                      </w14:textFill>
                    </w:rPr>
                    <w:t>、撒播种草</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等措施</w:t>
                  </w:r>
                </w:p>
              </w:tc>
              <w:tc>
                <w:tcPr>
                  <w:tcW w:w="1021" w:type="dxa"/>
                  <w:vAlign w:val="center"/>
                </w:tcPr>
                <w:p w14:paraId="4BC3D4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恢复植被至原有水平，植被覆盖度达到55%左右</w:t>
                  </w:r>
                </w:p>
              </w:tc>
              <w:tc>
                <w:tcPr>
                  <w:tcW w:w="1001" w:type="dxa"/>
                  <w:vAlign w:val="center"/>
                </w:tcPr>
                <w:p w14:paraId="7C39F8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pPr>
                  <w:r>
                    <w:rPr>
                      <w:rFonts w:hint="eastAsia" w:cs="Times New Roman"/>
                      <w:color w:val="000000" w:themeColor="text1"/>
                      <w:kern w:val="44"/>
                      <w:sz w:val="21"/>
                      <w:szCs w:val="20"/>
                      <w:lang w:val="en-US" w:eastAsia="zh-CN" w:bidi="ar-SA"/>
                      <w14:textFill>
                        <w14:solidFill>
                          <w14:schemeClr w14:val="tx1"/>
                        </w14:solidFill>
                      </w14:textFill>
                    </w:rPr>
                    <w:t>1.92</w:t>
                  </w:r>
                  <w:r>
                    <w:rPr>
                      <w:rFonts w:hint="eastAsia" w:ascii="Times New Roman" w:hAnsi="Times New Roman" w:cs="Times New Roman"/>
                      <w:color w:val="000000" w:themeColor="text1"/>
                      <w:kern w:val="44"/>
                      <w:sz w:val="21"/>
                      <w:szCs w:val="20"/>
                      <w:lang w:val="en-US" w:eastAsia="zh-CN" w:bidi="ar-SA"/>
                      <w14:textFill>
                        <w14:solidFill>
                          <w14:schemeClr w14:val="tx1"/>
                        </w14:solidFill>
                      </w14:textFill>
                    </w:rPr>
                    <w:t>h</w:t>
                  </w:r>
                  <w:r>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44"/>
                      <w:sz w:val="21"/>
                      <w:szCs w:val="20"/>
                      <w:vertAlign w:val="superscript"/>
                      <w:lang w:val="en-US" w:eastAsia="zh-CN" w:bidi="ar-SA"/>
                      <w14:textFill>
                        <w14:solidFill>
                          <w14:schemeClr w14:val="tx1"/>
                        </w14:solidFill>
                      </w14:textFill>
                    </w:rPr>
                    <w:t>2</w:t>
                  </w:r>
                </w:p>
              </w:tc>
              <w:tc>
                <w:tcPr>
                  <w:tcW w:w="623" w:type="pct"/>
                  <w:vMerge w:val="continue"/>
                  <w:vAlign w:val="center"/>
                </w:tcPr>
                <w:p w14:paraId="39290B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000000" w:themeColor="text1"/>
                      <w:kern w:val="44"/>
                      <w:sz w:val="21"/>
                      <w:szCs w:val="20"/>
                      <w:lang w:val="en-US" w:eastAsia="zh-CN" w:bidi="ar-SA"/>
                      <w14:textFill>
                        <w14:solidFill>
                          <w14:schemeClr w14:val="tx1"/>
                        </w14:solidFill>
                      </w14:textFill>
                    </w:rPr>
                  </w:pPr>
                </w:p>
              </w:tc>
            </w:tr>
          </w:tbl>
          <w:p w14:paraId="1C795AC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eastAsia="宋体"/>
                <w:color w:val="000000" w:themeColor="text1"/>
                <w:sz w:val="24"/>
                <w:lang w:eastAsia="zh-CN"/>
                <w14:textFill>
                  <w14:solidFill>
                    <w14:schemeClr w14:val="tx1"/>
                  </w14:solidFill>
                </w14:textFill>
              </w:rPr>
            </w:pPr>
            <w:r>
              <w:rPr>
                <w:rFonts w:hint="eastAsia" w:eastAsia="宋体"/>
                <w:color w:val="000000" w:themeColor="text1"/>
                <w:sz w:val="24"/>
                <w:lang w:eastAsia="zh-CN"/>
                <w14:textFill>
                  <w14:solidFill>
                    <w14:schemeClr w14:val="tx1"/>
                  </w14:solidFill>
                </w14:textFill>
              </w:rPr>
              <w:drawing>
                <wp:inline distT="0" distB="0" distL="114300" distR="114300">
                  <wp:extent cx="4105275" cy="3239135"/>
                  <wp:effectExtent l="0" t="0" r="9525" b="18415"/>
                  <wp:docPr id="3" name="图片 15" descr="bfc04cc1063037abfb186767b152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 descr="bfc04cc1063037abfb186767b152d12"/>
                          <pic:cNvPicPr>
                            <a:picLocks noChangeAspect="1"/>
                          </pic:cNvPicPr>
                        </pic:nvPicPr>
                        <pic:blipFill>
                          <a:blip r:embed="rId28"/>
                          <a:stretch>
                            <a:fillRect/>
                          </a:stretch>
                        </pic:blipFill>
                        <pic:spPr>
                          <a:xfrm>
                            <a:off x="0" y="0"/>
                            <a:ext cx="4105275" cy="3239135"/>
                          </a:xfrm>
                          <a:prstGeom prst="rect">
                            <a:avLst/>
                          </a:prstGeom>
                          <a:noFill/>
                          <a:ln>
                            <a:noFill/>
                          </a:ln>
                        </pic:spPr>
                      </pic:pic>
                    </a:graphicData>
                  </a:graphic>
                </wp:inline>
              </w:drawing>
            </w:r>
          </w:p>
          <w:p w14:paraId="363FDFC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center"/>
              <w:textAlignment w:val="auto"/>
              <w:rPr>
                <w:rFonts w:hint="eastAsia"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图</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 xml:space="preserve">5-1 </w:t>
            </w:r>
            <w:r>
              <w:rPr>
                <w:rFonts w:hint="eastAsia" w:ascii="Times New Roman" w:hAnsi="Times New Roman" w:eastAsia="宋体" w:cs="Times New Roman"/>
                <w:b/>
                <w:bCs/>
                <w:color w:val="000000" w:themeColor="text1"/>
                <w:sz w:val="24"/>
                <w:szCs w:val="24"/>
                <w14:textFill>
                  <w14:solidFill>
                    <w14:schemeClr w14:val="tx1"/>
                  </w14:solidFill>
                </w14:textFill>
              </w:rPr>
              <w:t xml:space="preserve"> 塔基四周典型生态保护措施平面布置示意图</w:t>
            </w:r>
          </w:p>
          <w:p w14:paraId="457B84B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eastAsia="宋体" w:cs="Times New Roman"/>
                <w:b/>
                <w:bCs/>
                <w:color w:val="000000" w:themeColor="text1"/>
                <w:sz w:val="24"/>
                <w:szCs w:val="24"/>
                <w:lang w:eastAsia="zh-CN"/>
                <w14:textFill>
                  <w14:solidFill>
                    <w14:schemeClr w14:val="tx1"/>
                  </w14:solidFill>
                </w14:textFill>
              </w:rPr>
            </w:pPr>
            <w:r>
              <w:rPr>
                <w:rFonts w:hint="default"/>
              </w:rPr>
              <w:drawing>
                <wp:inline distT="0" distB="0" distL="114300" distR="114300">
                  <wp:extent cx="5187950" cy="2492375"/>
                  <wp:effectExtent l="0" t="0" r="12700" b="3175"/>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29"/>
                          <a:stretch>
                            <a:fillRect/>
                          </a:stretch>
                        </pic:blipFill>
                        <pic:spPr>
                          <a:xfrm>
                            <a:off x="0" y="0"/>
                            <a:ext cx="5187950" cy="2492375"/>
                          </a:xfrm>
                          <a:prstGeom prst="rect">
                            <a:avLst/>
                          </a:prstGeom>
                          <a:noFill/>
                          <a:ln>
                            <a:noFill/>
                          </a:ln>
                        </pic:spPr>
                      </pic:pic>
                    </a:graphicData>
                  </a:graphic>
                </wp:inline>
              </w:drawing>
            </w:r>
          </w:p>
          <w:p w14:paraId="696BA80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center"/>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图</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5-</w:t>
            </w:r>
            <w:r>
              <w:rPr>
                <w:rFonts w:hint="eastAsia" w:cs="Times New Roman"/>
                <w:b/>
                <w:bCs/>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4"/>
                <w:szCs w:val="24"/>
                <w14:textFill>
                  <w14:solidFill>
                    <w14:schemeClr w14:val="tx1"/>
                  </w14:solidFill>
                </w14:textFill>
              </w:rPr>
              <w:t xml:space="preserve"> 施工平面布置示意图</w:t>
            </w:r>
          </w:p>
          <w:p w14:paraId="5433C83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eastAsia"/>
                <w:b/>
                <w:bCs/>
                <w:color w:val="FF0000"/>
                <w:sz w:val="24"/>
              </w:rPr>
            </w:pPr>
            <w:r>
              <w:rPr>
                <w:rFonts w:hint="eastAsia"/>
                <w:b/>
                <w:bCs/>
                <w:color w:val="FF0000"/>
                <w:sz w:val="24"/>
              </w:rPr>
              <w:t>2、农田生态系统保护措施</w:t>
            </w:r>
          </w:p>
          <w:p w14:paraId="4FA369D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1）合理布设铁塔，塔基尽量少占用永久基本农田；合理安排施工期，尽量选择休耕期进行施工。合理规划设计施工便道，利用现有的道路进行施工；施工前进行表土剥离，表土单独存放，要分层开挖，分层剥离，分层回填，施工结束后进行表土回填，并及时对施工场地进行土地平整、生态恢复，除塔基支撑腿外均可恢复耕作。</w:t>
            </w:r>
          </w:p>
          <w:p w14:paraId="42D48CC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2）占用一般耕地保护措施</w:t>
            </w:r>
          </w:p>
          <w:p w14:paraId="1597EC1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为了保护耕地，应进一步优化塔形设计、减少耕地占地面积，且占用耕地要以边角田为主。及时复耕。对于占用的农业用地，在施工中应保存表层的土壤，分层堆放，用于新开垦耕地，劣质地或者其他耕地的土壤改良。施工结束后，及时复耕。</w:t>
            </w:r>
          </w:p>
          <w:p w14:paraId="0383730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加强对施工队伍的管理。严格各项规章制度，教育施工人员注意保护环境、提高其环保意识，避免施工机械、人员对占用场地周围其他农田的破坏。</w:t>
            </w:r>
          </w:p>
          <w:p w14:paraId="63D46E0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3）占用黑土地保护措施</w:t>
            </w:r>
          </w:p>
          <w:p w14:paraId="129E17E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施工过程中尽量保护土地资源，不打乱土层，表土剥离厚度30cm，表土单独堆存，耕作层剥离，与底层土分开堆放，复原时分层回填，即底土回填在下，表土回填在上，尽量不破坏土壤结构，以便尽快恢复土地原貌。</w:t>
            </w:r>
          </w:p>
          <w:p w14:paraId="5256915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①划定施工范围，尽可能少占用耕地。施工结束后做好农田的恢复工作。</w:t>
            </w:r>
          </w:p>
          <w:p w14:paraId="64B9504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②尽量避开基本农田，节约、集约使用土地资源。</w:t>
            </w:r>
          </w:p>
          <w:p w14:paraId="2E55720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③保护黑土资源，表土单独堆存，耕作层剥离，坚持“谁用地、谁承担，谁剥离、谁受益”原则，施工结束后，用于土地整治、恢复临时工程用地等。</w:t>
            </w:r>
          </w:p>
          <w:p w14:paraId="2EE1EF5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④本项目剥离表土暂存至临时占地表土堆场内，表土剥离、运输、存储过程中，应采取水土保持和扬尘防治措施。剥离表土堆场施工前设置相应的防护及排水设施，周边设置围挡措施，表土按照要求层层堆置、逐层碾压，并经常洒水、苫盖，大风天气应暂停堆土场施工。</w:t>
            </w:r>
          </w:p>
          <w:p w14:paraId="03859E6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 xml:space="preserve">⑤开挖采取分层开挖、分层堆放、分层回填的作业方式。即土方挖掘时，应执行分层开挖的操作制度，表层耕作土与底层耕作土分开堆放；土方回填时，也应分层回填，即底土回填在下，表土回填在上。分层回填前应清理留在土壤中的固体废物，还应留足适宜的堆积层，防止因降水、径流造成地表下陷和水土流失。     </w:t>
            </w:r>
          </w:p>
          <w:p w14:paraId="0D8EE22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⑥施工时结合黑土地管理办法保存开挖处的熟化土和表层土，对土壤进行土质划分，采取同性质剥离单元，分质分类储存。在农田区域施工过程中的临时堆土应堆放在田埂或田头边坡上，不得覆压征用范围外的农田，以最大限度地减少对土壤的影响，恢复其原有土地使用功能。</w:t>
            </w:r>
          </w:p>
          <w:p w14:paraId="700B5AC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4）占用永久永久基本农田保护措施</w:t>
            </w:r>
          </w:p>
          <w:p w14:paraId="081A3D4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A:施工布置应严格执行尽量不占、少占基本农田的用地原则，在施工阶段针对工程临时用地（塔基施工区、跨越设施场区、牵张场、施工便道等区域）进行进一步优化，在途经永久基本农田片区时，可利用先进的无人机挂线工艺，减少临时占地，将占用的基本农田数量最小化，减少耕地占地面积，且占用耕地要以边角田地为主。</w:t>
            </w:r>
          </w:p>
          <w:p w14:paraId="4585447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B:对于永久占用的基本农田，在施工中应保存表层的土壤，分层堆放，塔基施工结束后，将剥离的表土全部回覆，在塔基基础区域及塔基下方区域播撒草籽，用于植被恢复和水土保持。对于临时占用的基本农田，施工结束后，要采取土壤恢复措施，恢复土壤肥力；且施工前应明确耕地质量等级，确保复耕后可恢复原有耕地种植水平。</w:t>
            </w:r>
          </w:p>
          <w:p w14:paraId="2D2B9AC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C:加强对施工队伍的管理，严格各项规章制度，教育施工人员注意保护环境、提高其环保意识，避免施工机械、人员对占用场地周围其他农田的破坏。</w:t>
            </w:r>
          </w:p>
          <w:p w14:paraId="153BAF3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D:对剥离的表土和开挖土进行密目网苫盖和袋装土拦挡，施工结束后及时回填，回填时按照土层的顺序分层回填、松土及施肥，以缩短植被恢复时间和增加恢复效果，保持土壤原有结构。</w:t>
            </w:r>
          </w:p>
          <w:p w14:paraId="7BDB16D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E:根据《黑龙江省自然资源厅 黑龙江省发展和改革委员会关于简化用地管理加快电网建设的通知》（黑自然资函〔2018〕46号）和黑龙江省人民政府办公厅关于印发《黑龙江省进一步推动电网高质量发展工作方案》的通知（黑政办发〔2023〕41号）中要求：输电线路工程部分（包括水泥杆、铁塔基础）参照《黑龙江省自然资源厅黑龙江省发展和改革委员会关于简化用地管理加快电网建设的通知》（黑自然资函〔2018〕46号〕，对电力线路塔基用地只作一次性经济补偿，补偿标准由设区的市（地）政府（行署）制定。</w:t>
            </w:r>
          </w:p>
          <w:p w14:paraId="3B9030C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本项目永久占地耕地部分全部进行耕地补偿，临时占地部分在施工结束后及时进行土地平整、表土回覆、复耕等生态恢复，从而恢复其原有土地使用功能。</w:t>
            </w:r>
          </w:p>
          <w:p w14:paraId="7A31908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③施工过程中，加强施工管理，减少土壤风蚀沙化。区域蒸发强烈，大风天气多，天气易变、松散土料极易受风沙侵蚀，避免露天大量堆放。</w:t>
            </w:r>
          </w:p>
          <w:p w14:paraId="0E0CD47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④运输含尘量大的物质时必须有蓬遮盖，减少粉尘飞扬。</w:t>
            </w:r>
          </w:p>
          <w:p w14:paraId="393126D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eastAsia" w:ascii="Times New Roman" w:hAnsi="Times New Roman" w:eastAsia="宋体" w:cs="Times New Roman"/>
                <w:color w:val="FF0000"/>
                <w:sz w:val="24"/>
              </w:rPr>
            </w:pPr>
            <w:r>
              <w:rPr>
                <w:rFonts w:hint="eastAsia" w:ascii="Times New Roman" w:hAnsi="Times New Roman" w:eastAsia="宋体" w:cs="Times New Roman"/>
                <w:color w:val="FF0000"/>
                <w:sz w:val="24"/>
              </w:rPr>
              <w:t>⑤对施工及管理人员进行培训，严禁狩猎捕鸟，确定施工方案及施工范围，对施工场地等设置围拦、警示标志，各种施工活动应控制在施工征地范围内，不得随意扩大施工场地范围。</w:t>
            </w:r>
          </w:p>
          <w:p w14:paraId="6C6BD3C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3、</w:t>
            </w:r>
            <w:r>
              <w:rPr>
                <w:rFonts w:hint="eastAsia" w:ascii="Times New Roman" w:hAnsi="Times New Roman" w:eastAsia="宋体" w:cs="Times New Roman"/>
                <w:b/>
                <w:bCs/>
                <w:color w:val="000000" w:themeColor="text1"/>
                <w:sz w:val="24"/>
                <w14:textFill>
                  <w14:solidFill>
                    <w14:schemeClr w14:val="tx1"/>
                  </w14:solidFill>
                </w14:textFill>
              </w:rPr>
              <w:t>声环境保护措施</w:t>
            </w:r>
          </w:p>
          <w:p w14:paraId="61D406B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施工单位严格执行《建筑施工场界环境噪声排放标准》（GB 12523-2011）的规定，对于施工期所产生的噪声污染采取以下措施：</w:t>
            </w:r>
          </w:p>
          <w:p w14:paraId="363E6DC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1）合理布局施工现场，避免在同一地点安排大量动力机械，如若施工需要，则应采用局部隔声降噪措施，在施工场界处设置实心围挡措施，固定的施工器械周边设置隔声板及机械防振措施，作为临时声屏障阻挡施工噪声的传播。</w:t>
            </w:r>
          </w:p>
          <w:p w14:paraId="17B2F42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2）合理安排施工时间，在夜间22：00～次日凌晨6：00间禁止施工作业；午休限制高噪声施工作业，尽可能避免高噪声设备同时施工。如因施工工艺需要进行夜间施工的话，需要取得当地生态环境主管部门的批准同意并告知周边居民。</w:t>
            </w:r>
          </w:p>
          <w:p w14:paraId="2D06A16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3）降低设备声级，选用低噪声施工工艺、设备和施工机械，施工过程中，施工单位应定期对设备进行保养和维护，保证运输车辆及施工机械处于良好的工作状态，同时严格按照操作规程使用各类设备，从源头上控制高噪声产生。</w:t>
            </w:r>
          </w:p>
          <w:p w14:paraId="46A4E40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（4）施工期间应当注意运输建材车辆通往施工现场对沿途居民的影响，应采取防范措施减少对居民点影响，如</w:t>
            </w:r>
            <w:r>
              <w:rPr>
                <w:rFonts w:hint="eastAsia"/>
                <w:color w:val="000000" w:themeColor="text1"/>
                <w:sz w:val="24"/>
                <w:lang w:eastAsia="zh-CN"/>
                <w14:textFill>
                  <w14:solidFill>
                    <w14:schemeClr w14:val="tx1"/>
                  </w14:solidFill>
                </w14:textFill>
              </w:rPr>
              <w:t>途经</w:t>
            </w:r>
            <w:r>
              <w:rPr>
                <w:rFonts w:hint="default"/>
                <w:color w:val="000000" w:themeColor="text1"/>
                <w:sz w:val="24"/>
                <w14:textFill>
                  <w14:solidFill>
                    <w14:schemeClr w14:val="tx1"/>
                  </w14:solidFill>
                </w14:textFill>
              </w:rPr>
              <w:t>居民密集区时禁止鸣笛和减缓车速。施工车辆在途经城区路段时，采取限时、限速行驶、不高音鸣号等措施。</w:t>
            </w:r>
          </w:p>
          <w:p w14:paraId="4A71EDB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4</w:t>
            </w:r>
            <w:r>
              <w:rPr>
                <w:rFonts w:hint="eastAsia"/>
                <w:b/>
                <w:bCs/>
                <w:color w:val="000000" w:themeColor="text1"/>
                <w:sz w:val="24"/>
                <w14:textFill>
                  <w14:solidFill>
                    <w14:schemeClr w14:val="tx1"/>
                  </w14:solidFill>
                </w14:textFill>
              </w:rPr>
              <w:t>、</w:t>
            </w:r>
            <w:r>
              <w:rPr>
                <w:rFonts w:hint="eastAsia" w:ascii="Times New Roman" w:hAnsi="Times New Roman" w:eastAsia="宋体" w:cs="Times New Roman"/>
                <w:b/>
                <w:bCs/>
                <w:color w:val="000000" w:themeColor="text1"/>
                <w:sz w:val="24"/>
                <w14:textFill>
                  <w14:solidFill>
                    <w14:schemeClr w14:val="tx1"/>
                  </w14:solidFill>
                </w14:textFill>
              </w:rPr>
              <w:t>大气环境保护措施</w:t>
            </w:r>
          </w:p>
          <w:p w14:paraId="32A31E7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（1）施工过程中，应当加强对施工现场和物料运输的管理，在施工</w:t>
            </w:r>
            <w:r>
              <w:rPr>
                <w:rFonts w:hint="eastAsia" w:ascii="Times New Roman" w:hAnsi="Times New Roman" w:eastAsia="宋体" w:cs="Times New Roman"/>
                <w:color w:val="000000" w:themeColor="text1"/>
                <w:sz w:val="24"/>
                <w:lang w:eastAsia="zh-CN"/>
                <w14:textFill>
                  <w14:solidFill>
                    <w14:schemeClr w14:val="tx1"/>
                  </w14:solidFill>
                </w14:textFill>
              </w:rPr>
              <w:t>场地</w:t>
            </w:r>
            <w:r>
              <w:rPr>
                <w:rFonts w:hint="eastAsia" w:ascii="Times New Roman" w:hAnsi="Times New Roman" w:eastAsia="宋体" w:cs="Times New Roman"/>
                <w:color w:val="000000" w:themeColor="text1"/>
                <w:sz w:val="24"/>
                <w14:textFill>
                  <w14:solidFill>
                    <w14:schemeClr w14:val="tx1"/>
                  </w14:solidFill>
                </w14:textFill>
              </w:rPr>
              <w:t>设置硬质围挡，保持路面清洁，每天定期洒水，及时清扫、冲洗，管控堆料和渣土堆放，做好</w:t>
            </w:r>
            <w:r>
              <w:rPr>
                <w:rFonts w:hint="default" w:ascii="Times New Roman" w:hAnsi="Times New Roman" w:eastAsia="宋体" w:cs="Times New Roman"/>
                <w:color w:val="000000" w:themeColor="text1"/>
                <w:sz w:val="24"/>
                <w14:textFill>
                  <w14:solidFill>
                    <w14:schemeClr w14:val="tx1"/>
                  </w14:solidFill>
                </w14:textFill>
              </w:rPr>
              <w:t>苫</w:t>
            </w:r>
            <w:r>
              <w:rPr>
                <w:rFonts w:hint="eastAsia" w:ascii="Times New Roman" w:hAnsi="Times New Roman" w:eastAsia="宋体" w:cs="Times New Roman"/>
                <w:color w:val="000000" w:themeColor="text1"/>
                <w:sz w:val="24"/>
                <w14:textFill>
                  <w14:solidFill>
                    <w14:schemeClr w14:val="tx1"/>
                  </w14:solidFill>
                </w14:textFill>
              </w:rPr>
              <w:t>盖工作</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冬季气温基本处于零下温度，不易产生扬尘污染，在施工过程中，施工现场用密目网进行苫盖，从根源上减少扬尘，不采取洒水降尘的措施，以防结冰引起其他事故。</w:t>
            </w:r>
          </w:p>
          <w:p w14:paraId="1D6379A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（2）施工时应使用商品混凝土，然后用罐装车运至施工点进行浇筑，避免因混凝土拌制产生扬尘和噪声。</w:t>
            </w:r>
          </w:p>
          <w:p w14:paraId="655D65C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（3）车辆运输散体材料和废弃物时，必须密闭、包扎、覆盖，避免沿途漏撒；运载土方的车辆必须在规定的时间内，按指定路段行驶，控制扬尘污染。</w:t>
            </w:r>
          </w:p>
          <w:p w14:paraId="5069AB4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（4）</w:t>
            </w:r>
            <w:r>
              <w:rPr>
                <w:rFonts w:hint="default" w:ascii="Times New Roman" w:hAnsi="Times New Roman" w:eastAsia="宋体" w:cs="Times New Roman"/>
                <w:color w:val="000000" w:themeColor="text1"/>
                <w:sz w:val="24"/>
                <w14:textFill>
                  <w14:solidFill>
                    <w14:schemeClr w14:val="tx1"/>
                  </w14:solidFill>
                </w14:textFill>
              </w:rPr>
              <w:t>加强对机械、车辆的维修保养，减少烟度和颗粒物排放</w:t>
            </w:r>
            <w:r>
              <w:rPr>
                <w:rFonts w:hint="eastAsia" w:ascii="Times New Roman" w:hAnsi="Times New Roman" w:eastAsia="宋体" w:cs="Times New Roman"/>
                <w:color w:val="000000" w:themeColor="text1"/>
                <w:sz w:val="24"/>
                <w:lang w:eastAsia="zh-CN"/>
                <w14:textFill>
                  <w14:solidFill>
                    <w14:schemeClr w14:val="tx1"/>
                  </w14:solidFill>
                </w14:textFill>
              </w:rPr>
              <w:t>。</w:t>
            </w:r>
          </w:p>
          <w:p w14:paraId="2CFA9BF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（5）施工现场禁止将包装物、可燃垃圾等固体废弃物就地焚烧；输电线路塔基基础浇筑采用商品混凝土，不设置临时拌合站。</w:t>
            </w:r>
          </w:p>
          <w:p w14:paraId="71D805D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ascii="Times New Roman" w:hAnsi="Times New Roman" w:eastAsia="宋体" w:cs="Times New Roman"/>
                <w:bCs/>
                <w:color w:val="000000" w:themeColor="text1"/>
                <w:spacing w:val="10"/>
                <w:sz w:val="24"/>
                <w14:textFill>
                  <w14:solidFill>
                    <w14:schemeClr w14:val="tx1"/>
                  </w14:solidFill>
                </w14:textFill>
              </w:rPr>
              <w:t>施工扬尘</w:t>
            </w:r>
            <w:r>
              <w:rPr>
                <w:rFonts w:hint="eastAsia" w:ascii="Times New Roman" w:hAnsi="Times New Roman" w:eastAsia="宋体" w:cs="Times New Roman"/>
                <w:color w:val="000000" w:themeColor="text1"/>
                <w:sz w:val="24"/>
                <w14:textFill>
                  <w14:solidFill>
                    <w14:schemeClr w14:val="tx1"/>
                  </w14:solidFill>
                </w14:textFill>
              </w:rPr>
              <w:t>造成的污染是短期和局部的影响，施工完成后便会消失。经过严格采取上述一系列措施，施工期扬尘可控制在合理范围内。</w:t>
            </w:r>
          </w:p>
          <w:p w14:paraId="03A7016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5</w:t>
            </w:r>
            <w:r>
              <w:rPr>
                <w:rFonts w:hint="eastAsia"/>
                <w:b/>
                <w:bCs/>
                <w:color w:val="000000" w:themeColor="text1"/>
                <w:sz w:val="24"/>
                <w14:textFill>
                  <w14:solidFill>
                    <w14:schemeClr w14:val="tx1"/>
                  </w14:solidFill>
                </w14:textFill>
              </w:rPr>
              <w:t>、</w:t>
            </w:r>
            <w:r>
              <w:rPr>
                <w:rFonts w:hint="eastAsia" w:ascii="Times New Roman" w:hAnsi="Times New Roman" w:eastAsia="宋体" w:cs="Times New Roman"/>
                <w:b/>
                <w:bCs/>
                <w:color w:val="000000" w:themeColor="text1"/>
                <w:sz w:val="24"/>
                <w14:textFill>
                  <w14:solidFill>
                    <w14:schemeClr w14:val="tx1"/>
                  </w14:solidFill>
                </w14:textFill>
              </w:rPr>
              <w:t>水环境保护措施</w:t>
            </w:r>
          </w:p>
          <w:p w14:paraId="6DF90E9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（1）</w:t>
            </w:r>
            <w:r>
              <w:rPr>
                <w:rFonts w:hint="eastAsia" w:ascii="Times New Roman" w:hAnsi="Times New Roman" w:eastAsia="宋体" w:cs="Times New Roman"/>
                <w:color w:val="000000" w:themeColor="text1"/>
                <w:sz w:val="24"/>
                <w:lang w:val="en-US" w:eastAsia="zh-CN"/>
                <w14:textFill>
                  <w14:solidFill>
                    <w14:schemeClr w14:val="tx1"/>
                  </w14:solidFill>
                </w14:textFill>
              </w:rPr>
              <w:t>做好施工场地周围的拦挡措施，尽量避免雨季开挖作业；砂石料加工废水、施工车辆清洗废水经收集、沉砂、澄清处理后回用，不外排。泥浆废水经</w:t>
            </w:r>
            <w:r>
              <w:rPr>
                <w:rFonts w:hint="eastAsia" w:cs="Times New Roman"/>
                <w:color w:val="000000" w:themeColor="text1"/>
                <w:sz w:val="24"/>
                <w:lang w:val="en-US" w:eastAsia="zh-CN"/>
                <w14:textFill>
                  <w14:solidFill>
                    <w14:schemeClr w14:val="tx1"/>
                  </w14:solidFill>
                </w14:textFill>
              </w:rPr>
              <w:t>沉砂池</w:t>
            </w:r>
            <w:r>
              <w:rPr>
                <w:rFonts w:hint="eastAsia" w:ascii="Times New Roman" w:hAnsi="Times New Roman" w:eastAsia="宋体" w:cs="Times New Roman"/>
                <w:color w:val="000000" w:themeColor="text1"/>
                <w:sz w:val="24"/>
                <w:lang w:val="en-US" w:eastAsia="zh-CN"/>
                <w14:textFill>
                  <w14:solidFill>
                    <w14:schemeClr w14:val="tx1"/>
                  </w14:solidFill>
                </w14:textFill>
              </w:rPr>
              <w:t>沉淀后用于施工场地降尘以及施工用水。</w:t>
            </w:r>
          </w:p>
          <w:p w14:paraId="6AC5527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（2）施工废水严禁以渗坑、渗井或漫流方式排放，需通过有组织收集后上层清液用于施工场地洒水抑尘，沉淀物质随施工场地内固体废物运至指定地点</w:t>
            </w:r>
            <w:r>
              <w:rPr>
                <w:rFonts w:hint="eastAsia" w:ascii="Times New Roman" w:hAnsi="Times New Roman" w:eastAsia="宋体" w:cs="Times New Roman"/>
                <w:color w:val="000000" w:themeColor="text1"/>
                <w:sz w:val="24"/>
                <w:lang w:eastAsia="zh-CN"/>
                <w14:textFill>
                  <w14:solidFill>
                    <w14:schemeClr w14:val="tx1"/>
                  </w14:solidFill>
                </w14:textFill>
              </w:rPr>
              <w:t>。</w:t>
            </w:r>
          </w:p>
          <w:p w14:paraId="1B0182C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（3）施工场地不设置厨房，施工人员就餐为外购，无餐饮废水产生。输电线路塔基施工中产生生活污水</w:t>
            </w:r>
            <w:r>
              <w:rPr>
                <w:rFonts w:hint="eastAsia" w:cs="Times New Roman"/>
                <w:color w:val="000000" w:themeColor="text1"/>
                <w:sz w:val="24"/>
                <w:lang w:eastAsia="zh-CN"/>
                <w14:textFill>
                  <w14:solidFill>
                    <w14:schemeClr w14:val="tx1"/>
                  </w14:solidFill>
                </w14:textFill>
              </w:rPr>
              <w:t>依托</w:t>
            </w:r>
            <w:r>
              <w:rPr>
                <w:rFonts w:hint="default" w:ascii="Times New Roman" w:hAnsi="Times New Roman" w:cs="Times New Roman"/>
                <w:color w:val="000000" w:themeColor="text1"/>
                <w:sz w:val="24"/>
                <w14:textFill>
                  <w14:solidFill>
                    <w14:schemeClr w14:val="tx1"/>
                  </w14:solidFill>
                </w14:textFill>
              </w:rPr>
              <w:t>周边村庄现有旱厕</w:t>
            </w:r>
            <w:r>
              <w:rPr>
                <w:rFonts w:hint="eastAsia" w:ascii="Times New Roman" w:hAnsi="Times New Roman" w:cs="Times New Roman"/>
                <w:color w:val="000000" w:themeColor="text1"/>
                <w:sz w:val="24"/>
                <w14:textFill>
                  <w14:solidFill>
                    <w14:schemeClr w14:val="tx1"/>
                  </w14:solidFill>
                </w14:textFill>
              </w:rPr>
              <w:t>，集中收集、定期清掏。</w:t>
            </w:r>
          </w:p>
          <w:p w14:paraId="5D270C5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施工废水产生量较小，生活污水集中收集、定期清掏，不会对周围水环境产生不利影响。</w:t>
            </w:r>
          </w:p>
          <w:p w14:paraId="7047433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4</w:t>
            </w:r>
            <w:r>
              <w:rPr>
                <w:rFonts w:hint="eastAsia" w:ascii="Times New Roman" w:hAnsi="Times New Roman" w:eastAsia="宋体" w:cs="Times New Roman"/>
                <w:color w:val="000000" w:themeColor="text1"/>
                <w:sz w:val="24"/>
                <w:lang w:eastAsia="zh-CN"/>
                <w14:textFill>
                  <w14:solidFill>
                    <w14:schemeClr w14:val="tx1"/>
                  </w14:solidFill>
                </w14:textFill>
              </w:rPr>
              <w:t>）加强对施工人员的教育，贯彻文明施工的原则，</w:t>
            </w:r>
            <w:r>
              <w:rPr>
                <w:rFonts w:hint="eastAsia" w:cs="Times New Roman"/>
                <w:color w:val="000000" w:themeColor="text1"/>
                <w:sz w:val="24"/>
                <w:lang w:eastAsia="zh-CN"/>
                <w14:textFill>
                  <w14:solidFill>
                    <w14:schemeClr w14:val="tx1"/>
                  </w14:solidFill>
                </w14:textFill>
              </w:rPr>
              <w:t>不乱</w:t>
            </w:r>
            <w:r>
              <w:rPr>
                <w:rFonts w:hint="eastAsia" w:ascii="Times New Roman" w:hAnsi="Times New Roman" w:eastAsia="宋体" w:cs="Times New Roman"/>
                <w:color w:val="000000" w:themeColor="text1"/>
                <w:sz w:val="24"/>
                <w:lang w:eastAsia="zh-CN"/>
                <w14:textFill>
                  <w14:solidFill>
                    <w14:schemeClr w14:val="tx1"/>
                  </w14:solidFill>
                </w14:textFill>
              </w:rPr>
              <w:t>排施工废水。</w:t>
            </w:r>
          </w:p>
          <w:p w14:paraId="68FD011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lang w:eastAsia="zh-CN"/>
                <w14:textFill>
                  <w14:solidFill>
                    <w14:schemeClr w14:val="tx1"/>
                  </w14:solidFill>
                </w14:textFill>
              </w:rPr>
              <w:t>）跨越或邻近水域的线路施工，应严格关注施工废水、堆土弃渣的处理处置情况，确保不对水体造成污染。</w:t>
            </w:r>
          </w:p>
          <w:p w14:paraId="486DCF0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firstLineChars="200"/>
              <w:textAlignment w:val="auto"/>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6</w:t>
            </w:r>
            <w:r>
              <w:rPr>
                <w:rFonts w:hint="eastAsia"/>
                <w:b/>
                <w:bCs/>
                <w:color w:val="000000" w:themeColor="text1"/>
                <w:sz w:val="24"/>
                <w14:textFill>
                  <w14:solidFill>
                    <w14:schemeClr w14:val="tx1"/>
                  </w14:solidFill>
                </w14:textFill>
              </w:rPr>
              <w:t>、</w:t>
            </w:r>
            <w:r>
              <w:rPr>
                <w:rFonts w:hint="eastAsia" w:ascii="Times New Roman" w:hAnsi="Times New Roman" w:eastAsia="宋体" w:cs="Times New Roman"/>
                <w:b/>
                <w:bCs/>
                <w:color w:val="000000" w:themeColor="text1"/>
                <w:sz w:val="24"/>
                <w14:textFill>
                  <w14:solidFill>
                    <w14:schemeClr w14:val="tx1"/>
                  </w14:solidFill>
                </w14:textFill>
              </w:rPr>
              <w:t>固体废物环境保护措施</w:t>
            </w:r>
          </w:p>
          <w:p w14:paraId="7007F3D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施工期固体废物主要为施工垃圾和生活垃圾，施工期固体废物环境保护措施如下：</w:t>
            </w:r>
          </w:p>
          <w:p w14:paraId="4FC5EFF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bCs/>
                <w:color w:val="000000" w:themeColor="text1"/>
                <w:sz w:val="24"/>
                <w:lang w:eastAsia="zh-CN"/>
                <w14:textFill>
                  <w14:solidFill>
                    <w14:schemeClr w14:val="tx1"/>
                  </w14:solidFill>
                </w14:textFill>
              </w:rPr>
            </w:pPr>
            <w:r>
              <w:rPr>
                <w:rFonts w:hint="eastAsia" w:ascii="Times New Roman" w:hAnsi="Times New Roman" w:eastAsia="宋体" w:cs="Times New Roman"/>
                <w:bCs/>
                <w:color w:val="000000" w:themeColor="text1"/>
                <w:sz w:val="24"/>
                <w14:textFill>
                  <w14:solidFill>
                    <w14:schemeClr w14:val="tx1"/>
                  </w14:solidFill>
                </w14:textFill>
              </w:rPr>
              <w:t>（1）施工过程中产生的土石方、建筑垃圾、生活垃圾应分类集中收集</w:t>
            </w:r>
            <w:r>
              <w:rPr>
                <w:rFonts w:hint="eastAsia" w:ascii="Times New Roman" w:hAnsi="Times New Roman" w:eastAsia="宋体" w:cs="Times New Roman"/>
                <w:bCs/>
                <w:color w:val="000000" w:themeColor="text1"/>
                <w:sz w:val="24"/>
                <w:lang w:val="en-US" w:eastAsia="zh-CN"/>
                <w14:textFill>
                  <w14:solidFill>
                    <w14:schemeClr w14:val="tx1"/>
                  </w14:solidFill>
                </w14:textFill>
              </w:rPr>
              <w:t>并运至指定地点</w:t>
            </w:r>
            <w:r>
              <w:rPr>
                <w:rFonts w:hint="eastAsia" w:ascii="Times New Roman" w:hAnsi="Times New Roman" w:eastAsia="宋体" w:cs="Times New Roman"/>
                <w:bCs/>
                <w:color w:val="000000" w:themeColor="text1"/>
                <w:sz w:val="24"/>
                <w14:textFill>
                  <w14:solidFill>
                    <w14:schemeClr w14:val="tx1"/>
                  </w14:solidFill>
                </w14:textFill>
              </w:rPr>
              <w:t>，对其进行定期清运处置，施工完成后及时做好迹地清理工作</w:t>
            </w:r>
            <w:r>
              <w:rPr>
                <w:rFonts w:hint="eastAsia" w:ascii="Times New Roman" w:hAnsi="Times New Roman" w:eastAsia="宋体" w:cs="Times New Roman"/>
                <w:bCs/>
                <w:color w:val="000000" w:themeColor="text1"/>
                <w:sz w:val="24"/>
                <w:lang w:eastAsia="zh-CN"/>
                <w14:textFill>
                  <w14:solidFill>
                    <w14:schemeClr w14:val="tx1"/>
                  </w14:solidFill>
                </w14:textFill>
              </w:rPr>
              <w:t>。</w:t>
            </w:r>
          </w:p>
          <w:p w14:paraId="56A1E53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ascii="Times New Roman" w:hAnsi="Times New Roman" w:eastAsia="宋体" w:cs="Times New Roman"/>
                <w:bCs/>
                <w:color w:val="000000" w:themeColor="text1"/>
                <w:sz w:val="24"/>
                <w14:textFill>
                  <w14:solidFill>
                    <w14:schemeClr w14:val="tx1"/>
                  </w14:solidFill>
                </w14:textFill>
              </w:rPr>
            </w:pPr>
            <w:r>
              <w:rPr>
                <w:rFonts w:hint="eastAsia" w:ascii="Times New Roman" w:hAnsi="Times New Roman" w:eastAsia="宋体" w:cs="Times New Roman"/>
                <w:bCs/>
                <w:color w:val="000000" w:themeColor="text1"/>
                <w:sz w:val="24"/>
                <w14:textFill>
                  <w14:solidFill>
                    <w14:schemeClr w14:val="tx1"/>
                  </w14:solidFill>
                </w14:textFill>
              </w:rPr>
              <w:t>（2）</w:t>
            </w:r>
            <w:r>
              <w:rPr>
                <w:rFonts w:hint="eastAsia" w:ascii="Times New Roman" w:hAnsi="Times New Roman" w:eastAsia="宋体" w:cs="Times New Roman"/>
                <w:bCs/>
                <w:color w:val="000000" w:themeColor="text1"/>
                <w:sz w:val="24"/>
                <w:lang w:val="en-US" w:eastAsia="zh-CN"/>
                <w14:textFill>
                  <w14:solidFill>
                    <w14:schemeClr w14:val="tx1"/>
                  </w14:solidFill>
                </w14:textFill>
              </w:rPr>
              <w:t>输电线路开挖的土方石就地于线路低洼处填垫后，平整压实，不设弃土场。</w:t>
            </w:r>
            <w:r>
              <w:rPr>
                <w:rFonts w:hint="default" w:ascii="Times New Roman" w:hAnsi="Times New Roman" w:eastAsia="宋体" w:cs="Times New Roman"/>
                <w:bCs/>
                <w:color w:val="000000" w:themeColor="text1"/>
                <w:sz w:val="24"/>
                <w14:textFill>
                  <w14:solidFill>
                    <w14:schemeClr w14:val="tx1"/>
                  </w14:solidFill>
                </w14:textFill>
              </w:rPr>
              <w:t>建设项目塔基基础施工尽量做到场内挖填平衡，</w:t>
            </w:r>
            <w:r>
              <w:rPr>
                <w:rFonts w:hint="eastAsia" w:ascii="Times New Roman" w:hAnsi="Times New Roman" w:eastAsia="宋体" w:cs="Times New Roman"/>
                <w:bCs/>
                <w:color w:val="000000" w:themeColor="text1"/>
                <w:sz w:val="24"/>
                <w14:textFill>
                  <w14:solidFill>
                    <w14:schemeClr w14:val="tx1"/>
                  </w14:solidFill>
                </w14:textFill>
              </w:rPr>
              <w:t>或将余料和残渣及时清除，以免影响后期土地功能的恢复。</w:t>
            </w:r>
          </w:p>
          <w:p w14:paraId="10C1144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ascii="Times New Roman" w:hAnsi="Times New Roman" w:eastAsia="宋体" w:cs="Times New Roman"/>
                <w:bCs/>
                <w:color w:val="000000" w:themeColor="text1"/>
                <w:sz w:val="24"/>
                <w:lang w:eastAsia="zh-CN"/>
                <w14:textFill>
                  <w14:solidFill>
                    <w14:schemeClr w14:val="tx1"/>
                  </w14:solidFill>
                </w14:textFill>
              </w:rPr>
              <w:t>（</w:t>
            </w:r>
            <w:r>
              <w:rPr>
                <w:rFonts w:hint="eastAsia" w:ascii="Times New Roman" w:hAnsi="Times New Roman" w:eastAsia="宋体" w:cs="Times New Roman"/>
                <w:bCs/>
                <w:color w:val="000000" w:themeColor="text1"/>
                <w:sz w:val="24"/>
                <w:lang w:val="en-US" w:eastAsia="zh-CN"/>
                <w14:textFill>
                  <w14:solidFill>
                    <w14:schemeClr w14:val="tx1"/>
                  </w14:solidFill>
                </w14:textFill>
              </w:rPr>
              <w:t>3</w:t>
            </w:r>
            <w:r>
              <w:rPr>
                <w:rFonts w:hint="eastAsia" w:ascii="Times New Roman" w:hAnsi="Times New Roman" w:eastAsia="宋体" w:cs="Times New Roman"/>
                <w:bCs/>
                <w:color w:val="000000" w:themeColor="text1"/>
                <w:sz w:val="24"/>
                <w:lang w:eastAsia="zh-CN"/>
                <w14:textFill>
                  <w14:solidFill>
                    <w14:schemeClr w14:val="tx1"/>
                  </w14:solidFill>
                </w14:textFill>
              </w:rPr>
              <w:t>）采用架空方式架设时，架空线路塔基已经优化设计，塔基施工开挖的土石方尽量回填，回填的土壤应按表层土在上的顺序堆放至塔基中间，用于植被恢复。</w:t>
            </w:r>
          </w:p>
          <w:p w14:paraId="33B75C9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b/>
                <w:bCs/>
                <w:color w:val="000000" w:themeColor="text1"/>
                <w:sz w:val="24"/>
                <w:highlight w:val="yellow"/>
                <w14:textFill>
                  <w14:solidFill>
                    <w14:schemeClr w14:val="tx1"/>
                  </w14:solidFill>
                </w14:textFill>
              </w:rPr>
            </w:pPr>
            <w:r>
              <w:rPr>
                <w:rFonts w:hint="eastAsia"/>
                <w:b/>
                <w:bCs/>
                <w:color w:val="000000" w:themeColor="text1"/>
                <w:sz w:val="24"/>
                <w:lang w:val="en-US" w:eastAsia="zh-CN"/>
                <w14:textFill>
                  <w14:solidFill>
                    <w14:schemeClr w14:val="tx1"/>
                  </w14:solidFill>
                </w14:textFill>
              </w:rPr>
              <w:t>7</w:t>
            </w:r>
            <w:r>
              <w:rPr>
                <w:rFonts w:hint="eastAsia"/>
                <w:b/>
                <w:bCs/>
                <w:color w:val="000000" w:themeColor="text1"/>
                <w:sz w:val="24"/>
                <w14:textFill>
                  <w14:solidFill>
                    <w14:schemeClr w14:val="tx1"/>
                  </w14:solidFill>
                </w14:textFill>
              </w:rPr>
              <w:t>、土地利用保护措施</w:t>
            </w:r>
          </w:p>
          <w:p w14:paraId="339BD6C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kern w:val="0"/>
                <w:sz w:val="24"/>
                <w14:textFill>
                  <w14:solidFill>
                    <w14:schemeClr w14:val="tx1"/>
                  </w14:solidFill>
                </w14:textFill>
              </w:rPr>
            </w:pPr>
            <w:r>
              <w:rPr>
                <w:rFonts w:hint="eastAsia"/>
                <w:color w:val="000000" w:themeColor="text1"/>
                <w:kern w:val="0"/>
                <w:sz w:val="24"/>
                <w:vertAlign w:val="baseline"/>
                <w:lang w:val="en-US" w:eastAsia="zh-CN"/>
                <w14:textFill>
                  <w14:solidFill>
                    <w14:schemeClr w14:val="tx1"/>
                  </w14:solidFill>
                </w14:textFill>
              </w:rPr>
              <w:t>本工程总占地面积为85.86hm</w:t>
            </w:r>
            <w:r>
              <w:rPr>
                <w:rFonts w:hint="eastAsia"/>
                <w:color w:val="000000" w:themeColor="text1"/>
                <w:kern w:val="0"/>
                <w:sz w:val="24"/>
                <w:vertAlign w:val="superscript"/>
                <w:lang w:val="en-US" w:eastAsia="zh-CN"/>
                <w14:textFill>
                  <w14:solidFill>
                    <w14:schemeClr w14:val="tx1"/>
                  </w14:solidFill>
                </w14:textFill>
              </w:rPr>
              <w:t>2</w:t>
            </w:r>
            <w:r>
              <w:rPr>
                <w:rFonts w:hint="eastAsia"/>
                <w:color w:val="000000" w:themeColor="text1"/>
                <w:kern w:val="0"/>
                <w:sz w:val="24"/>
                <w:vertAlign w:val="baseline"/>
                <w:lang w:val="en-US" w:eastAsia="zh-CN"/>
                <w14:textFill>
                  <w14:solidFill>
                    <w14:schemeClr w14:val="tx1"/>
                  </w14:solidFill>
                </w14:textFill>
              </w:rPr>
              <w:t>，其中永久占地面积5.32hm</w:t>
            </w:r>
            <w:r>
              <w:rPr>
                <w:rFonts w:hint="eastAsia"/>
                <w:color w:val="000000" w:themeColor="text1"/>
                <w:kern w:val="0"/>
                <w:sz w:val="24"/>
                <w:vertAlign w:val="superscript"/>
                <w:lang w:val="en-US" w:eastAsia="zh-CN"/>
                <w14:textFill>
                  <w14:solidFill>
                    <w14:schemeClr w14:val="tx1"/>
                  </w14:solidFill>
                </w14:textFill>
              </w:rPr>
              <w:t>2</w:t>
            </w:r>
            <w:r>
              <w:rPr>
                <w:rFonts w:hint="eastAsia"/>
                <w:color w:val="000000" w:themeColor="text1"/>
                <w:kern w:val="0"/>
                <w:sz w:val="24"/>
                <w:vertAlign w:val="baseline"/>
                <w:lang w:val="en-US" w:eastAsia="zh-CN"/>
                <w14:textFill>
                  <w14:solidFill>
                    <w14:schemeClr w14:val="tx1"/>
                  </w14:solidFill>
                </w14:textFill>
              </w:rPr>
              <w:t>，临时占地面积80.54hm</w:t>
            </w:r>
            <w:r>
              <w:rPr>
                <w:rFonts w:hint="eastAsia"/>
                <w:color w:val="000000" w:themeColor="text1"/>
                <w:kern w:val="0"/>
                <w:sz w:val="24"/>
                <w:vertAlign w:val="superscript"/>
                <w:lang w:val="en-US" w:eastAsia="zh-CN"/>
                <w14:textFill>
                  <w14:solidFill>
                    <w14:schemeClr w14:val="tx1"/>
                  </w14:solidFill>
                </w14:textFill>
              </w:rPr>
              <w:t>2</w:t>
            </w:r>
            <w:r>
              <w:rPr>
                <w:rFonts w:hint="eastAsia"/>
                <w:color w:val="000000" w:themeColor="text1"/>
                <w:kern w:val="0"/>
                <w:sz w:val="24"/>
                <w:vertAlign w:val="baseline"/>
                <w:lang w:val="en-US" w:eastAsia="zh-CN"/>
                <w14:textFill>
                  <w14:solidFill>
                    <w14:schemeClr w14:val="tx1"/>
                  </w14:solidFill>
                </w14:textFill>
              </w:rPr>
              <w:t>。永久占地主要为耕地（基本农田，1.08h</w:t>
            </w:r>
            <w:r>
              <w:rPr>
                <w:rFonts w:hint="default"/>
                <w:color w:val="000000" w:themeColor="text1"/>
                <w:kern w:val="0"/>
                <w:sz w:val="24"/>
                <w14:textFill>
                  <w14:solidFill>
                    <w14:schemeClr w14:val="tx1"/>
                  </w14:solidFill>
                </w14:textFill>
              </w:rPr>
              <w:t>m</w:t>
            </w:r>
            <w:r>
              <w:rPr>
                <w:rFonts w:hint="default"/>
                <w:color w:val="000000" w:themeColor="text1"/>
                <w:kern w:val="0"/>
                <w:sz w:val="24"/>
                <w:vertAlign w:val="superscript"/>
                <w14:textFill>
                  <w14:solidFill>
                    <w14:schemeClr w14:val="tx1"/>
                  </w14:solidFill>
                </w14:textFill>
              </w:rPr>
              <w:t>2</w:t>
            </w:r>
            <w:r>
              <w:rPr>
                <w:rFonts w:hint="eastAsia"/>
                <w:color w:val="000000" w:themeColor="text1"/>
                <w:kern w:val="0"/>
                <w:sz w:val="24"/>
                <w:vertAlign w:val="baseline"/>
                <w:lang w:eastAsia="zh-CN"/>
                <w14:textFill>
                  <w14:solidFill>
                    <w14:schemeClr w14:val="tx1"/>
                  </w14:solidFill>
                </w14:textFill>
              </w:rPr>
              <w:t>；</w:t>
            </w:r>
            <w:r>
              <w:rPr>
                <w:rFonts w:hint="eastAsia"/>
                <w:color w:val="000000" w:themeColor="text1"/>
                <w:kern w:val="0"/>
                <w:sz w:val="24"/>
                <w:vertAlign w:val="baseline"/>
                <w:lang w:val="en-US" w:eastAsia="zh-CN"/>
                <w14:textFill>
                  <w14:solidFill>
                    <w14:schemeClr w14:val="tx1"/>
                  </w14:solidFill>
                </w14:textFill>
              </w:rPr>
              <w:t>一般农田，2.29h</w:t>
            </w:r>
            <w:r>
              <w:rPr>
                <w:rFonts w:hint="default"/>
                <w:color w:val="000000" w:themeColor="text1"/>
                <w:kern w:val="0"/>
                <w:sz w:val="24"/>
                <w14:textFill>
                  <w14:solidFill>
                    <w14:schemeClr w14:val="tx1"/>
                  </w14:solidFill>
                </w14:textFill>
              </w:rPr>
              <w:t>m</w:t>
            </w:r>
            <w:r>
              <w:rPr>
                <w:rFonts w:hint="default"/>
                <w:color w:val="000000" w:themeColor="text1"/>
                <w:kern w:val="0"/>
                <w:sz w:val="24"/>
                <w:vertAlign w:val="superscript"/>
                <w14:textFill>
                  <w14:solidFill>
                    <w14:schemeClr w14:val="tx1"/>
                  </w14:solidFill>
                </w14:textFill>
              </w:rPr>
              <w:t>2</w:t>
            </w:r>
            <w:r>
              <w:rPr>
                <w:rFonts w:hint="eastAsia"/>
                <w:color w:val="000000" w:themeColor="text1"/>
                <w:kern w:val="0"/>
                <w:sz w:val="24"/>
                <w:vertAlign w:val="baseline"/>
                <w:lang w:eastAsia="zh-CN"/>
                <w14:textFill>
                  <w14:solidFill>
                    <w14:schemeClr w14:val="tx1"/>
                  </w14:solidFill>
                </w14:textFill>
              </w:rPr>
              <w:t>；</w:t>
            </w:r>
            <w:r>
              <w:rPr>
                <w:rFonts w:hint="eastAsia"/>
                <w:color w:val="000000" w:themeColor="text1"/>
                <w:kern w:val="0"/>
                <w:sz w:val="24"/>
                <w:vertAlign w:val="baseline"/>
                <w:lang w:val="en-US" w:eastAsia="zh-CN"/>
                <w14:textFill>
                  <w14:solidFill>
                    <w14:schemeClr w14:val="tx1"/>
                  </w14:solidFill>
                </w14:textFill>
              </w:rPr>
              <w:t>其他林地，1.21h</w:t>
            </w:r>
            <w:r>
              <w:rPr>
                <w:rFonts w:hint="default"/>
                <w:color w:val="000000" w:themeColor="text1"/>
                <w:kern w:val="0"/>
                <w:sz w:val="24"/>
                <w14:textFill>
                  <w14:solidFill>
                    <w14:schemeClr w14:val="tx1"/>
                  </w14:solidFill>
                </w14:textFill>
              </w:rPr>
              <w:t>m</w:t>
            </w:r>
            <w:r>
              <w:rPr>
                <w:rFonts w:hint="default"/>
                <w:color w:val="000000" w:themeColor="text1"/>
                <w:kern w:val="0"/>
                <w:sz w:val="24"/>
                <w:vertAlign w:val="superscript"/>
                <w14:textFill>
                  <w14:solidFill>
                    <w14:schemeClr w14:val="tx1"/>
                  </w14:solidFill>
                </w14:textFill>
              </w:rPr>
              <w:t>2</w:t>
            </w:r>
            <w:r>
              <w:rPr>
                <w:rFonts w:hint="eastAsia"/>
                <w:color w:val="000000" w:themeColor="text1"/>
                <w:kern w:val="0"/>
                <w:sz w:val="24"/>
                <w:vertAlign w:val="baseline"/>
                <w:lang w:eastAsia="zh-CN"/>
                <w14:textFill>
                  <w14:solidFill>
                    <w14:schemeClr w14:val="tx1"/>
                  </w14:solidFill>
                </w14:textFill>
              </w:rPr>
              <w:t>；</w:t>
            </w:r>
            <w:r>
              <w:rPr>
                <w:rFonts w:hint="eastAsia"/>
                <w:color w:val="000000" w:themeColor="text1"/>
                <w:kern w:val="0"/>
                <w:sz w:val="24"/>
                <w:vertAlign w:val="baseline"/>
                <w:lang w:val="en-US" w:eastAsia="zh-CN"/>
                <w14:textFill>
                  <w14:solidFill>
                    <w14:schemeClr w14:val="tx1"/>
                  </w14:solidFill>
                </w14:textFill>
              </w:rPr>
              <w:t>草地，0.74h</w:t>
            </w:r>
            <w:r>
              <w:rPr>
                <w:rFonts w:hint="default"/>
                <w:color w:val="000000" w:themeColor="text1"/>
                <w:kern w:val="0"/>
                <w:sz w:val="24"/>
                <w14:textFill>
                  <w14:solidFill>
                    <w14:schemeClr w14:val="tx1"/>
                  </w14:solidFill>
                </w14:textFill>
              </w:rPr>
              <w:t>m</w:t>
            </w:r>
            <w:r>
              <w:rPr>
                <w:rFonts w:hint="default"/>
                <w:color w:val="000000" w:themeColor="text1"/>
                <w:kern w:val="0"/>
                <w:sz w:val="24"/>
                <w:vertAlign w:val="superscript"/>
                <w14:textFill>
                  <w14:solidFill>
                    <w14:schemeClr w14:val="tx1"/>
                  </w14:solidFill>
                </w14:textFill>
              </w:rPr>
              <w:t>2</w:t>
            </w:r>
            <w:r>
              <w:rPr>
                <w:rFonts w:hint="eastAsia"/>
                <w:color w:val="000000" w:themeColor="text1"/>
                <w:kern w:val="0"/>
                <w:sz w:val="24"/>
                <w:vertAlign w:val="baseline"/>
                <w:lang w:val="en-US" w:eastAsia="zh-CN"/>
                <w14:textFill>
                  <w14:solidFill>
                    <w14:schemeClr w14:val="tx1"/>
                  </w14:solidFill>
                </w14:textFill>
              </w:rPr>
              <w:t>），临时占地主要为林地（其他林地，26.33h</w:t>
            </w:r>
            <w:r>
              <w:rPr>
                <w:rFonts w:hint="default"/>
                <w:color w:val="000000" w:themeColor="text1"/>
                <w:kern w:val="0"/>
                <w:sz w:val="24"/>
                <w14:textFill>
                  <w14:solidFill>
                    <w14:schemeClr w14:val="tx1"/>
                  </w14:solidFill>
                </w14:textFill>
              </w:rPr>
              <w:t>m</w:t>
            </w:r>
            <w:r>
              <w:rPr>
                <w:rFonts w:hint="default"/>
                <w:color w:val="000000" w:themeColor="text1"/>
                <w:kern w:val="0"/>
                <w:sz w:val="24"/>
                <w:vertAlign w:val="superscript"/>
                <w14:textFill>
                  <w14:solidFill>
                    <w14:schemeClr w14:val="tx1"/>
                  </w14:solidFill>
                </w14:textFill>
              </w:rPr>
              <w:t>2</w:t>
            </w:r>
            <w:r>
              <w:rPr>
                <w:rFonts w:hint="eastAsia"/>
                <w:color w:val="000000" w:themeColor="text1"/>
                <w:kern w:val="0"/>
                <w:sz w:val="24"/>
                <w:vertAlign w:val="baseline"/>
                <w:lang w:val="en-US" w:eastAsia="zh-CN"/>
                <w14:textFill>
                  <w14:solidFill>
                    <w14:schemeClr w14:val="tx1"/>
                  </w14:solidFill>
                </w14:textFill>
              </w:rPr>
              <w:t>）、耕地（基本农田，11.33</w:t>
            </w:r>
            <w:r>
              <w:rPr>
                <w:rFonts w:hint="default"/>
                <w:color w:val="000000" w:themeColor="text1"/>
                <w:kern w:val="0"/>
                <w:sz w:val="24"/>
                <w14:textFill>
                  <w14:solidFill>
                    <w14:schemeClr w14:val="tx1"/>
                  </w14:solidFill>
                </w14:textFill>
              </w:rPr>
              <w:t>m</w:t>
            </w:r>
            <w:r>
              <w:rPr>
                <w:rFonts w:hint="default"/>
                <w:color w:val="000000" w:themeColor="text1"/>
                <w:kern w:val="0"/>
                <w:sz w:val="24"/>
                <w:vertAlign w:val="superscript"/>
                <w14:textFill>
                  <w14:solidFill>
                    <w14:schemeClr w14:val="tx1"/>
                  </w14:solidFill>
                </w14:textFill>
              </w:rPr>
              <w:t>2</w:t>
            </w:r>
            <w:r>
              <w:rPr>
                <w:rFonts w:hint="eastAsia"/>
                <w:color w:val="000000" w:themeColor="text1"/>
                <w:kern w:val="0"/>
                <w:sz w:val="24"/>
                <w:vertAlign w:val="baseline"/>
                <w:lang w:eastAsia="zh-CN"/>
                <w14:textFill>
                  <w14:solidFill>
                    <w14:schemeClr w14:val="tx1"/>
                  </w14:solidFill>
                </w14:textFill>
              </w:rPr>
              <w:t>；</w:t>
            </w:r>
            <w:r>
              <w:rPr>
                <w:rFonts w:hint="eastAsia"/>
                <w:color w:val="000000" w:themeColor="text1"/>
                <w:kern w:val="0"/>
                <w:sz w:val="24"/>
                <w:vertAlign w:val="baseline"/>
                <w:lang w:val="en-US" w:eastAsia="zh-CN"/>
                <w14:textFill>
                  <w14:solidFill>
                    <w14:schemeClr w14:val="tx1"/>
                  </w14:solidFill>
                </w14:textFill>
              </w:rPr>
              <w:t>一般农田，42.88h</w:t>
            </w:r>
            <w:r>
              <w:rPr>
                <w:rFonts w:hint="default"/>
                <w:color w:val="000000" w:themeColor="text1"/>
                <w:kern w:val="0"/>
                <w:sz w:val="24"/>
                <w14:textFill>
                  <w14:solidFill>
                    <w14:schemeClr w14:val="tx1"/>
                  </w14:solidFill>
                </w14:textFill>
              </w:rPr>
              <w:t>m</w:t>
            </w:r>
            <w:r>
              <w:rPr>
                <w:rFonts w:hint="default"/>
                <w:color w:val="000000" w:themeColor="text1"/>
                <w:kern w:val="0"/>
                <w:sz w:val="24"/>
                <w:vertAlign w:val="superscript"/>
                <w14:textFill>
                  <w14:solidFill>
                    <w14:schemeClr w14:val="tx1"/>
                  </w14:solidFill>
                </w14:textFill>
              </w:rPr>
              <w:t>2</w:t>
            </w:r>
            <w:r>
              <w:rPr>
                <w:rFonts w:hint="eastAsia"/>
                <w:color w:val="000000" w:themeColor="text1"/>
                <w:kern w:val="0"/>
                <w:sz w:val="24"/>
                <w:vertAlign w:val="baseline"/>
                <w:lang w:val="en-US" w:eastAsia="zh-CN"/>
                <w14:textFill>
                  <w14:solidFill>
                    <w14:schemeClr w14:val="tx1"/>
                  </w14:solidFill>
                </w14:textFill>
              </w:rPr>
              <w:t>）、草地（其他草地，3.14h</w:t>
            </w:r>
            <w:r>
              <w:rPr>
                <w:rFonts w:hint="default"/>
                <w:color w:val="000000" w:themeColor="text1"/>
                <w:kern w:val="0"/>
                <w:sz w:val="24"/>
                <w14:textFill>
                  <w14:solidFill>
                    <w14:schemeClr w14:val="tx1"/>
                  </w14:solidFill>
                </w14:textFill>
              </w:rPr>
              <w:t>m</w:t>
            </w:r>
            <w:r>
              <w:rPr>
                <w:rFonts w:hint="default"/>
                <w:color w:val="000000" w:themeColor="text1"/>
                <w:kern w:val="0"/>
                <w:sz w:val="24"/>
                <w:vertAlign w:val="superscript"/>
                <w14:textFill>
                  <w14:solidFill>
                    <w14:schemeClr w14:val="tx1"/>
                  </w14:solidFill>
                </w14:textFill>
              </w:rPr>
              <w:t>2</w:t>
            </w:r>
            <w:r>
              <w:rPr>
                <w:rFonts w:hint="eastAsia"/>
                <w:color w:val="000000" w:themeColor="text1"/>
                <w:kern w:val="0"/>
                <w:sz w:val="24"/>
                <w:vertAlign w:val="baseline"/>
                <w:lang w:val="en-US" w:eastAsia="zh-CN"/>
                <w14:textFill>
                  <w14:solidFill>
                    <w14:schemeClr w14:val="tx1"/>
                  </w14:solidFill>
                </w14:textFill>
              </w:rPr>
              <w:t>）</w:t>
            </w:r>
            <w:r>
              <w:rPr>
                <w:rFonts w:hint="default"/>
                <w:color w:val="000000" w:themeColor="text1"/>
                <w:kern w:val="0"/>
                <w:sz w:val="24"/>
                <w14:textFill>
                  <w14:solidFill>
                    <w14:schemeClr w14:val="tx1"/>
                  </w14:solidFill>
                </w14:textFill>
              </w:rPr>
              <w:t>。</w:t>
            </w:r>
          </w:p>
          <w:p w14:paraId="783FAE7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highlight w:val="yellow"/>
                <w14:textFill>
                  <w14:solidFill>
                    <w14:schemeClr w14:val="tx1"/>
                  </w14:solidFill>
                </w14:textFill>
              </w:rPr>
            </w:pPr>
            <w:r>
              <w:rPr>
                <w:rFonts w:hint="eastAsia"/>
                <w:color w:val="000000" w:themeColor="text1"/>
                <w:kern w:val="0"/>
                <w:sz w:val="24"/>
                <w:lang w:val="en-US" w:eastAsia="zh-CN"/>
                <w14:textFill>
                  <w14:solidFill>
                    <w14:schemeClr w14:val="tx1"/>
                  </w14:solidFill>
                </w14:textFill>
              </w:rPr>
              <w:t>根据《黑龙江省自然资源厅 黑龙江省发展和改革委员会关于简化用地管理加快电网建设的通知》（黑自然资函〔2008〕46号）：电网线路（通信等）塔基、线杆用地，要通过优化调整线路布局，尽量少占或者不占耕地，经与当地农村经济组织及农民协商达成协议后，通过协议补偿方式直接使用在工程使用期结束后恢复原地类。</w:t>
            </w:r>
          </w:p>
          <w:p w14:paraId="57E5F79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划定施工范围，尽可能少占用耕地。施工结束后做好农田的恢复工作，应按国务院发布的《土地复垦规定》进行复垦。凡受到施工车辆、机械破坏的地方，都要及时修整、恢复原貌，植被（自然的、人工的）破坏应在施工结束后的当年或来年予以恢复；</w:t>
            </w:r>
          </w:p>
          <w:p w14:paraId="4417FAC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（2）清理施工作业区域内产生的废弃物；</w:t>
            </w:r>
          </w:p>
          <w:p w14:paraId="09DE9CF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（3）施工应尽量避开作物生长季节，减少农业生产的损失。要保护农田林网，使农田生态系统的功能相对稳定；</w:t>
            </w:r>
          </w:p>
          <w:p w14:paraId="1CEF600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）建设单位在项目施工前要依法办理相关占地手续。</w:t>
            </w:r>
          </w:p>
          <w:p w14:paraId="6345C14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8</w:t>
            </w:r>
            <w:r>
              <w:rPr>
                <w:rFonts w:hint="eastAsia"/>
                <w:b/>
                <w:bCs/>
                <w:color w:val="000000" w:themeColor="text1"/>
                <w:sz w:val="24"/>
                <w14:textFill>
                  <w14:solidFill>
                    <w14:schemeClr w14:val="tx1"/>
                  </w14:solidFill>
                </w14:textFill>
              </w:rPr>
              <w:t>、动、植被保护措施</w:t>
            </w:r>
          </w:p>
          <w:p w14:paraId="7C8BEB5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（1）线路工程植被防护</w:t>
            </w:r>
          </w:p>
          <w:p w14:paraId="0502346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工程线路经过的区域地形主要以平地为主，沿线集中林区林木较多。线路为节约林木资源，减少对植被的破坏，全线采用跨树设计，跨树自然生长高度按各小班树种树高分区块考虑。树林中塔位周围也尽可能少的砍伐施工位置，充分利用树木之间的空地。</w:t>
            </w:r>
          </w:p>
          <w:p w14:paraId="0A5309B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本项目输电线路塔基的占地类型为耕地</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少量林地</w:t>
            </w:r>
            <w:r>
              <w:rPr>
                <w:rFonts w:hint="eastAsia" w:cs="Times New Roman"/>
                <w:color w:val="000000" w:themeColor="text1"/>
                <w:sz w:val="24"/>
                <w:lang w:val="en-US" w:eastAsia="zh-CN"/>
                <w14:textFill>
                  <w14:solidFill>
                    <w14:schemeClr w14:val="tx1"/>
                  </w14:solidFill>
                </w14:textFill>
              </w:rPr>
              <w:t>及少量草地</w:t>
            </w:r>
            <w:r>
              <w:rPr>
                <w:rFonts w:hint="default" w:ascii="Times New Roman" w:hAnsi="Times New Roman" w:eastAsia="宋体" w:cs="Times New Roman"/>
                <w:color w:val="000000" w:themeColor="text1"/>
                <w:sz w:val="24"/>
                <w14:textFill>
                  <w14:solidFill>
                    <w14:schemeClr w14:val="tx1"/>
                  </w14:solidFill>
                </w14:textFill>
              </w:rPr>
              <w:t>，项目所在地植被主要为农作物、田间杂草及林地。由于输电线路与线下树木垂直距离小于4.5m时，不能满足架空送电线路设计技术规程导线与树木间净空要求的较高树木进行去顶砍伐，使林草植被遭到一定程度的破坏。对于砍伐的树木，施工人员应在当地有关负责人或林木的所有者的认可下，采取树木移植或砍伐，执行国家相关赔偿政策。</w:t>
            </w:r>
          </w:p>
          <w:p w14:paraId="69810A7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所在地貌以农田平地为主，野生动物出没较少，对其影响不大。本项目建设区域及周围无大型兽类，无国家保护物种，主要陆生动物包括小型动物（如鼠类）、昆虫类、鸟类（麻雀、家燕等）。施工期施工人员的施工活动，将对以上陆生动物造成影响，主要体现为施工活动中的人员嘈杂声、工程施工噪声等使动物产生趋避反应，远离施工现场，缩小活动区域，但不会对其种群生存产生危害。</w:t>
            </w:r>
          </w:p>
          <w:p w14:paraId="5F83810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因此，项目建设对区域附近陆生动物影响比较小，随着施工期活动的结束，对动物的影响也随之消失。</w:t>
            </w:r>
          </w:p>
          <w:p w14:paraId="42DD514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（2）塔基植被防护措施</w:t>
            </w:r>
          </w:p>
          <w:p w14:paraId="037344D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随着全方位</w:t>
            </w:r>
            <w:r>
              <w:rPr>
                <w:rFonts w:hint="eastAsia" w:cs="Times New Roman"/>
                <w:color w:val="000000" w:themeColor="text1"/>
                <w:sz w:val="24"/>
                <w:lang w:val="en-US" w:eastAsia="zh-CN"/>
                <w14:textFill>
                  <w14:solidFill>
                    <w14:schemeClr w14:val="tx1"/>
                  </w14:solidFill>
                </w14:textFill>
              </w:rPr>
              <w:t>塔</w:t>
            </w:r>
            <w:r>
              <w:rPr>
                <w:rFonts w:hint="default" w:ascii="Times New Roman" w:hAnsi="Times New Roman" w:eastAsia="宋体" w:cs="Times New Roman"/>
                <w:color w:val="000000" w:themeColor="text1"/>
                <w:sz w:val="24"/>
                <w14:textFill>
                  <w14:solidFill>
                    <w14:schemeClr w14:val="tx1"/>
                  </w14:solidFill>
                </w14:textFill>
              </w:rPr>
              <w:t>、原状土高低基础等技术的广泛应用，线路工程的土石方量较过去大大减少，但还是难以避免高陡边坡的出现。生态植被护坡是利用植被涵水固土的原理稳定岩土边坡同时美化生态环境的一种新技术，在送电线路工程中，结合线路工程的特点，有选择的采用生态护坡。表土剥离，施工完成后，恢复原有植被。</w:t>
            </w:r>
          </w:p>
          <w:p w14:paraId="4110110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9、水土流失防控措施</w:t>
            </w:r>
          </w:p>
          <w:p w14:paraId="485B915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①</w:t>
            </w:r>
            <w:r>
              <w:rPr>
                <w:rFonts w:hint="default"/>
                <w:color w:val="000000" w:themeColor="text1"/>
                <w:sz w:val="24"/>
                <w:lang w:val="en-US" w:eastAsia="zh-CN"/>
                <w14:textFill>
                  <w14:solidFill>
                    <w14:schemeClr w14:val="tx1"/>
                  </w14:solidFill>
                </w14:textFill>
              </w:rPr>
              <w:t>修筑临时施工道路、线路塔基施工等过程中合理调配利用开挖土方，并对开挖土方采取拦挡、</w:t>
            </w:r>
            <w:r>
              <w:rPr>
                <w:rFonts w:hint="eastAsia"/>
                <w:color w:val="000000" w:themeColor="text1"/>
                <w:sz w:val="24"/>
                <w:lang w:val="en-US" w:eastAsia="zh-CN"/>
                <w14:textFill>
                  <w14:solidFill>
                    <w14:schemeClr w14:val="tx1"/>
                  </w14:solidFill>
                </w14:textFill>
              </w:rPr>
              <w:t>苫盖</w:t>
            </w:r>
            <w:r>
              <w:rPr>
                <w:rFonts w:hint="default"/>
                <w:color w:val="000000" w:themeColor="text1"/>
                <w:sz w:val="24"/>
                <w:lang w:val="en-US" w:eastAsia="zh-CN"/>
                <w14:textFill>
                  <w14:solidFill>
                    <w14:schemeClr w14:val="tx1"/>
                  </w14:solidFill>
                </w14:textFill>
              </w:rPr>
              <w:t>等临时防护措施</w:t>
            </w:r>
            <w:r>
              <w:rPr>
                <w:rFonts w:hint="eastAsia"/>
                <w:color w:val="000000" w:themeColor="text1"/>
                <w:sz w:val="24"/>
                <w:lang w:val="en-US" w:eastAsia="zh-CN"/>
                <w14:textFill>
                  <w14:solidFill>
                    <w14:schemeClr w14:val="tx1"/>
                  </w14:solidFill>
                </w14:textFill>
              </w:rPr>
              <w:t>：</w:t>
            </w:r>
            <w:r>
              <w:rPr>
                <w:rFonts w:hint="default"/>
                <w:color w:val="000000" w:themeColor="text1"/>
                <w:sz w:val="24"/>
                <w:lang w:val="en-US" w:eastAsia="zh-CN"/>
                <w14:textFill>
                  <w14:solidFill>
                    <w14:schemeClr w14:val="tx1"/>
                  </w14:solidFill>
                </w14:textFill>
              </w:rPr>
              <w:t>对各材料堆放点采取拦挡、</w:t>
            </w:r>
            <w:r>
              <w:rPr>
                <w:rFonts w:hint="eastAsia"/>
                <w:color w:val="000000" w:themeColor="text1"/>
                <w:sz w:val="24"/>
                <w:lang w:val="en-US" w:eastAsia="zh-CN"/>
                <w14:textFill>
                  <w14:solidFill>
                    <w14:schemeClr w14:val="tx1"/>
                  </w14:solidFill>
                </w14:textFill>
              </w:rPr>
              <w:t>苫盖</w:t>
            </w:r>
            <w:r>
              <w:rPr>
                <w:rFonts w:hint="default"/>
                <w:color w:val="000000" w:themeColor="text1"/>
                <w:sz w:val="24"/>
                <w:lang w:val="en-US" w:eastAsia="zh-CN"/>
                <w14:textFill>
                  <w14:solidFill>
                    <w14:schemeClr w14:val="tx1"/>
                  </w14:solidFill>
                </w14:textFill>
              </w:rPr>
              <w:t>等措施进行防护，防止产生新的水土流失。</w:t>
            </w:r>
          </w:p>
          <w:p w14:paraId="530B59D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②</w:t>
            </w:r>
            <w:r>
              <w:rPr>
                <w:rFonts w:hint="default"/>
                <w:color w:val="000000" w:themeColor="text1"/>
                <w:sz w:val="24"/>
                <w:lang w:val="en-US" w:eastAsia="zh-CN"/>
                <w14:textFill>
                  <w14:solidFill>
                    <w14:schemeClr w14:val="tx1"/>
                  </w14:solidFill>
                </w14:textFill>
              </w:rPr>
              <w:t>尽量维持塔位处原自然地形，减少土石方的开挖，避免大开挖，保护植被</w:t>
            </w:r>
            <w:r>
              <w:rPr>
                <w:rFonts w:hint="eastAsia"/>
                <w:color w:val="000000" w:themeColor="text1"/>
                <w:sz w:val="24"/>
                <w:lang w:val="en-US" w:eastAsia="zh-CN"/>
                <w14:textFill>
                  <w14:solidFill>
                    <w14:schemeClr w14:val="tx1"/>
                  </w14:solidFill>
                </w14:textFill>
              </w:rPr>
              <w:t>；</w:t>
            </w:r>
            <w:r>
              <w:rPr>
                <w:rFonts w:hint="default"/>
                <w:color w:val="000000" w:themeColor="text1"/>
                <w:sz w:val="24"/>
                <w:lang w:val="en-US" w:eastAsia="zh-CN"/>
                <w14:textFill>
                  <w14:solidFill>
                    <w14:schemeClr w14:val="tx1"/>
                  </w14:solidFill>
                </w14:textFill>
              </w:rPr>
              <w:t>土石方应于指定地点按要求堆放，严禁乱堆乱放，随意抛洒压覆基础周围植被。</w:t>
            </w:r>
          </w:p>
          <w:p w14:paraId="50DDD0C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③</w:t>
            </w:r>
            <w:r>
              <w:rPr>
                <w:rFonts w:hint="default"/>
                <w:color w:val="000000" w:themeColor="text1"/>
                <w:sz w:val="24"/>
                <w:lang w:val="en-US" w:eastAsia="zh-CN"/>
                <w14:textFill>
                  <w14:solidFill>
                    <w14:schemeClr w14:val="tx1"/>
                  </w14:solidFill>
                </w14:textFill>
              </w:rPr>
              <w:t>妥善处理施工过程中产生的建筑垃圾，防止乱堆乱弃影响周边环境。</w:t>
            </w:r>
          </w:p>
          <w:p w14:paraId="580A1ED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④</w:t>
            </w:r>
            <w:r>
              <w:rPr>
                <w:rFonts w:hint="default"/>
                <w:color w:val="000000" w:themeColor="text1"/>
                <w:sz w:val="24"/>
                <w:lang w:val="en-US" w:eastAsia="zh-CN"/>
                <w14:textFill>
                  <w14:solidFill>
                    <w14:schemeClr w14:val="tx1"/>
                  </w14:solidFill>
                </w14:textFill>
              </w:rPr>
              <w:t>施工结束后，应尽快清理施工场地，按照因地制宜的原则对施工占地区域裸露地进行土地功能恢复，植被恢复和绿化。针对不同的占地类型应采取有针对性的生态恢复措施，如</w:t>
            </w:r>
            <w:r>
              <w:rPr>
                <w:rFonts w:hint="eastAsia"/>
                <w:color w:val="000000" w:themeColor="text1"/>
                <w:sz w:val="24"/>
                <w:lang w:val="en-US" w:eastAsia="zh-CN"/>
                <w14:textFill>
                  <w14:solidFill>
                    <w14:schemeClr w14:val="tx1"/>
                  </w14:solidFill>
                </w14:textFill>
              </w:rPr>
              <w:t>：</w:t>
            </w:r>
            <w:r>
              <w:rPr>
                <w:rFonts w:hint="default"/>
                <w:color w:val="000000" w:themeColor="text1"/>
                <w:sz w:val="24"/>
                <w:lang w:val="en-US" w:eastAsia="zh-CN"/>
                <w14:textFill>
                  <w14:solidFill>
                    <w14:schemeClr w14:val="tx1"/>
                  </w14:solidFill>
                </w14:textFill>
              </w:rPr>
              <w:t>施工前应对工程占用区域可利用的表土进行剥离</w:t>
            </w:r>
            <w:r>
              <w:rPr>
                <w:rFonts w:hint="eastAsia"/>
                <w:color w:val="000000" w:themeColor="text1"/>
                <w:sz w:val="24"/>
                <w:lang w:val="en-US" w:eastAsia="zh-CN"/>
                <w14:textFill>
                  <w14:solidFill>
                    <w14:schemeClr w14:val="tx1"/>
                  </w14:solidFill>
                </w14:textFill>
              </w:rPr>
              <w:t>，表土和熟化土分开单独存放并采取遮盖措施；需加强表土堆存防护及管理，确保有效回用；施工结束后进行表土回填，采取自然恢复的方式进行植被恢复，确有必要时，撒播适宜当地环境的草籽进行植被恢复，使临时占地恢复其原有使用功能。</w:t>
            </w:r>
          </w:p>
        </w:tc>
      </w:tr>
      <w:tr w14:paraId="599A4F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dxa"/>
            <w:tcMar>
              <w:left w:w="28" w:type="dxa"/>
              <w:right w:w="28" w:type="dxa"/>
            </w:tcMar>
            <w:vAlign w:val="center"/>
          </w:tcPr>
          <w:p w14:paraId="72EB43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bCs/>
                <w:color w:val="000000" w:themeColor="text1"/>
                <w:spacing w:val="10"/>
                <w:sz w:val="24"/>
                <w14:textFill>
                  <w14:solidFill>
                    <w14:schemeClr w14:val="tx1"/>
                  </w14:solidFill>
                </w14:textFill>
              </w:rPr>
            </w:pPr>
            <w:r>
              <w:rPr>
                <w:rFonts w:hint="eastAsia" w:ascii="宋体" w:hAnsi="宋体" w:cs="宋体"/>
                <w:bCs/>
                <w:color w:val="000000" w:themeColor="text1"/>
                <w:spacing w:val="10"/>
                <w:sz w:val="24"/>
                <w14:textFill>
                  <w14:solidFill>
                    <w14:schemeClr w14:val="tx1"/>
                  </w14:solidFill>
                </w14:textFill>
              </w:rPr>
              <w:t>运营期生态环境保护措施</w:t>
            </w:r>
          </w:p>
        </w:tc>
        <w:tc>
          <w:tcPr>
            <w:tcW w:w="0" w:type="dxa"/>
            <w:vAlign w:val="top"/>
          </w:tcPr>
          <w:p w14:paraId="36F1A4E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14:textFill>
                  <w14:solidFill>
                    <w14:schemeClr w14:val="tx1"/>
                  </w14:solidFill>
                </w14:textFill>
              </w:rPr>
              <w:t>、电磁辐射保护措施</w:t>
            </w:r>
          </w:p>
          <w:p w14:paraId="77208F9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1</w:t>
            </w:r>
            <w:r>
              <w:rPr>
                <w:rFonts w:hint="eastAsia"/>
                <w:color w:val="000000" w:themeColor="text1"/>
                <w:sz w:val="24"/>
                <w14:textFill>
                  <w14:solidFill>
                    <w14:schemeClr w14:val="tx1"/>
                  </w14:solidFill>
                </w14:textFill>
              </w:rPr>
              <w:t>）在安装高压设备时，保证所有的固定螺栓都可靠拧紧，导电元件尽可能接地或连接导线点位。</w:t>
            </w:r>
          </w:p>
          <w:p w14:paraId="474A968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（2）加强所区围墙侧的绿化，在墙侧种植一定宽度的绿化隔离带，以减小所区围墙外的电磁强度。</w:t>
            </w:r>
          </w:p>
          <w:p w14:paraId="6A1AA85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3</w:t>
            </w:r>
            <w:r>
              <w:rPr>
                <w:rFonts w:hint="eastAsia"/>
                <w:color w:val="000000" w:themeColor="text1"/>
                <w:sz w:val="24"/>
                <w14:textFill>
                  <w14:solidFill>
                    <w14:schemeClr w14:val="tx1"/>
                  </w14:solidFill>
                </w14:textFill>
              </w:rPr>
              <w:t>）所内良好接地，提高屏蔽效果。</w:t>
            </w:r>
          </w:p>
          <w:p w14:paraId="0B94535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（4）使用设计合理的绝缘子，要特别关注绝缘子的几何形状及材质，尽量改善绝缘子表面或沿绝缘子串电压分布的保护措施。</w:t>
            </w:r>
          </w:p>
          <w:p w14:paraId="3608839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（5）变电站附近高压危险区域设置警示标志，在铁塔上设置高压警示标志及有关注意事项</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标注</w:t>
            </w:r>
            <w:r>
              <w:rPr>
                <w:rFonts w:hint="eastAsia"/>
                <w:color w:val="000000" w:themeColor="text1"/>
                <w:sz w:val="24"/>
                <w14:textFill>
                  <w14:solidFill>
                    <w14:schemeClr w14:val="tx1"/>
                  </w14:solidFill>
                </w14:textFill>
              </w:rPr>
              <w:t>输电线路已放电，注意安全距离。</w:t>
            </w:r>
          </w:p>
          <w:p w14:paraId="76A8742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6</w:t>
            </w:r>
            <w:r>
              <w:rPr>
                <w:rFonts w:hint="eastAsia"/>
                <w:color w:val="000000" w:themeColor="text1"/>
                <w:sz w:val="24"/>
                <w14:textFill>
                  <w14:solidFill>
                    <w14:schemeClr w14:val="tx1"/>
                  </w14:solidFill>
                </w14:textFill>
              </w:rPr>
              <w:t>）对当地群众进行有关输电线路和设备方面的知识及环境宣传工作，帮助群众建立环境保护意识和自我安全防护意识；</w:t>
            </w:r>
          </w:p>
          <w:p w14:paraId="2067972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7</w:t>
            </w:r>
            <w:r>
              <w:rPr>
                <w:rFonts w:hint="eastAsia"/>
                <w:color w:val="000000" w:themeColor="text1"/>
                <w:sz w:val="24"/>
                <w14:textFill>
                  <w14:solidFill>
                    <w14:schemeClr w14:val="tx1"/>
                  </w14:solidFill>
                </w14:textFill>
              </w:rPr>
              <w:t>）竣工环保验收时对</w:t>
            </w:r>
            <w:r>
              <w:rPr>
                <w:rFonts w:hint="eastAsia"/>
                <w:color w:val="000000" w:themeColor="text1"/>
                <w:sz w:val="24"/>
                <w:lang w:val="en-US" w:eastAsia="zh-CN"/>
                <w14:textFill>
                  <w14:solidFill>
                    <w14:schemeClr w14:val="tx1"/>
                  </w14:solidFill>
                </w14:textFill>
              </w:rPr>
              <w:t>本</w:t>
            </w:r>
            <w:r>
              <w:rPr>
                <w:rFonts w:hint="eastAsia"/>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站址周边、线路沿线</w:t>
            </w:r>
            <w:r>
              <w:rPr>
                <w:rFonts w:hint="eastAsia"/>
                <w:color w:val="000000" w:themeColor="text1"/>
                <w:sz w:val="24"/>
                <w14:textFill>
                  <w14:solidFill>
                    <w14:schemeClr w14:val="tx1"/>
                  </w14:solidFill>
                </w14:textFill>
              </w:rPr>
              <w:t>的工频电场强度、工频磁感应强度和等效声级进行监测。</w:t>
            </w:r>
          </w:p>
          <w:p w14:paraId="2872864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14:textFill>
                  <w14:solidFill>
                    <w14:schemeClr w14:val="tx1"/>
                  </w14:solidFill>
                </w14:textFill>
              </w:rPr>
              <w:t>、声环境保护措施</w:t>
            </w:r>
          </w:p>
          <w:p w14:paraId="5BB1862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1</w:t>
            </w:r>
            <w:r>
              <w:rPr>
                <w:rFonts w:hint="eastAsia"/>
                <w:color w:val="000000" w:themeColor="text1"/>
                <w:sz w:val="24"/>
                <w14:textFill>
                  <w14:solidFill>
                    <w14:schemeClr w14:val="tx1"/>
                  </w14:solidFill>
                </w14:textFill>
              </w:rPr>
              <w:t>）需选用低噪声设备；</w:t>
            </w:r>
          </w:p>
          <w:p w14:paraId="0FC8001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）拟建输电线路在运营后无明显噪声产生，不会对沿线环境产生影响，</w:t>
            </w:r>
            <w:r>
              <w:rPr>
                <w:rFonts w:hint="eastAsia"/>
                <w:color w:val="000000" w:themeColor="text1"/>
                <w:sz w:val="24"/>
                <w:lang w:eastAsia="zh-CN"/>
                <w14:textFill>
                  <w14:solidFill>
                    <w14:schemeClr w14:val="tx1"/>
                  </w14:solidFill>
                </w14:textFill>
              </w:rPr>
              <w:t>无需设置</w:t>
            </w:r>
            <w:r>
              <w:rPr>
                <w:rFonts w:hint="eastAsia"/>
                <w:color w:val="000000" w:themeColor="text1"/>
                <w:sz w:val="24"/>
                <w14:textFill>
                  <w14:solidFill>
                    <w14:schemeClr w14:val="tx1"/>
                  </w14:solidFill>
                </w14:textFill>
              </w:rPr>
              <w:t>相关保护措施。</w:t>
            </w:r>
          </w:p>
          <w:p w14:paraId="6861ED3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3</w:t>
            </w:r>
            <w:r>
              <w:rPr>
                <w:rFonts w:hint="default"/>
                <w:b/>
                <w:bCs/>
                <w:color w:val="000000" w:themeColor="text1"/>
                <w:sz w:val="24"/>
                <w14:textFill>
                  <w14:solidFill>
                    <w14:schemeClr w14:val="tx1"/>
                  </w14:solidFill>
                </w14:textFill>
              </w:rPr>
              <w:t>、生态恢复措施</w:t>
            </w:r>
          </w:p>
          <w:p w14:paraId="55CF0BA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lang w:val="en-US" w:eastAsia="zh-CN"/>
                <w14:textFill>
                  <w14:solidFill>
                    <w14:schemeClr w14:val="tx1"/>
                  </w14:solidFill>
                </w14:textFill>
              </w:rPr>
            </w:pPr>
            <w:r>
              <w:rPr>
                <w:rFonts w:hint="default"/>
                <w:color w:val="000000" w:themeColor="text1"/>
                <w:sz w:val="24"/>
                <w:lang w:val="en-US" w:eastAsia="zh-CN"/>
                <w14:textFill>
                  <w14:solidFill>
                    <w14:schemeClr w14:val="tx1"/>
                  </w14:solidFill>
                </w14:textFill>
              </w:rPr>
              <w:t>项目运营期对临时施工用地进行植被恢复的土地加强抚育管理，使之恢复原有的生态功能。对各路段裸露地面进行覆土恢复植被，根据立地条件，对于占用耕地区进行土地整治。施工结束后，对塔基施工区、牵张场地区的施工迹地进行土地整治，土地平整后回覆表土，改善施工迹地的理化性质，土地平整后。根据当地水源条件，加强后期的灌溉与维护工作，保障恢复效果。</w:t>
            </w:r>
          </w:p>
          <w:p w14:paraId="2AD9CC9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lang w:val="en-US" w:eastAsia="zh-CN"/>
                <w14:textFill>
                  <w14:solidFill>
                    <w14:schemeClr w14:val="tx1"/>
                  </w14:solidFill>
                </w14:textFill>
              </w:rPr>
            </w:pPr>
            <w:r>
              <w:rPr>
                <w:rFonts w:hint="default"/>
                <w:color w:val="000000" w:themeColor="text1"/>
                <w:sz w:val="24"/>
                <w:lang w:val="en-US" w:eastAsia="zh-CN"/>
                <w14:textFill>
                  <w14:solidFill>
                    <w14:schemeClr w14:val="tx1"/>
                  </w14:solidFill>
                </w14:textFill>
              </w:rPr>
              <w:t>在输电塔位和输电线路设立明显警示标志，在铁塔及输电线路上各类驱鸟器，防鸟刺等，加强对线路维护人员的环保教育，严禁捕猎野生动物。</w:t>
            </w:r>
          </w:p>
          <w:p w14:paraId="2412930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lang w:val="en-US" w:eastAsia="zh-CN"/>
                <w14:textFill>
                  <w14:solidFill>
                    <w14:schemeClr w14:val="tx1"/>
                  </w14:solidFill>
                </w14:textFill>
              </w:rPr>
            </w:pPr>
            <w:r>
              <w:rPr>
                <w:rFonts w:hint="default"/>
                <w:color w:val="000000" w:themeColor="text1"/>
                <w:sz w:val="24"/>
                <w:lang w:val="en-US" w:eastAsia="zh-CN"/>
                <w14:textFill>
                  <w14:solidFill>
                    <w14:schemeClr w14:val="tx1"/>
                  </w14:solidFill>
                </w14:textFill>
              </w:rPr>
              <w:t>在采取以上措施后，可将本项目对生态产生的不良影响降低到最低程度。</w:t>
            </w:r>
          </w:p>
        </w:tc>
      </w:tr>
      <w:tr w14:paraId="06028C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dxa"/>
            <w:vAlign w:val="center"/>
          </w:tcPr>
          <w:p w14:paraId="568C79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bCs/>
                <w:color w:val="000000" w:themeColor="text1"/>
                <w:spacing w:val="10"/>
                <w:sz w:val="24"/>
                <w14:textFill>
                  <w14:solidFill>
                    <w14:schemeClr w14:val="tx1"/>
                  </w14:solidFill>
                </w14:textFill>
              </w:rPr>
            </w:pPr>
            <w:r>
              <w:rPr>
                <w:rFonts w:hint="eastAsia" w:ascii="宋体" w:hAnsi="宋体"/>
                <w:bCs/>
                <w:color w:val="000000" w:themeColor="text1"/>
                <w:sz w:val="24"/>
                <w14:textFill>
                  <w14:solidFill>
                    <w14:schemeClr w14:val="tx1"/>
                  </w14:solidFill>
                </w14:textFill>
              </w:rPr>
              <w:t>其他</w:t>
            </w:r>
          </w:p>
        </w:tc>
        <w:tc>
          <w:tcPr>
            <w:tcW w:w="0" w:type="dxa"/>
            <w:vAlign w:val="top"/>
          </w:tcPr>
          <w:p w14:paraId="5EE35BA4">
            <w:pPr>
              <w:keepNext w:val="0"/>
              <w:keepLines w:val="0"/>
              <w:pageBreakBefore w:val="0"/>
              <w:widowControl w:val="0"/>
              <w:suppressLineNumbers w:val="0"/>
              <w:kinsoku/>
              <w:wordWrap/>
              <w:overflowPunct/>
              <w:topLinePunct w:val="0"/>
              <w:autoSpaceDE/>
              <w:autoSpaceDN/>
              <w:bidi w:val="0"/>
              <w:adjustRightInd/>
              <w:snapToGrid/>
              <w:spacing w:before="120" w:beforeLines="50" w:beforeAutospacing="0" w:after="0" w:afterAutospacing="0" w:line="360" w:lineRule="auto"/>
              <w:ind w:left="0" w:right="0" w:firstLine="482" w:firstLineChars="200"/>
              <w:textAlignment w:val="auto"/>
              <w:rPr>
                <w:rFonts w:hint="default"/>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w:t>
            </w:r>
            <w:r>
              <w:rPr>
                <w:rFonts w:hint="default"/>
                <w:b/>
                <w:bCs/>
                <w:color w:val="000000" w:themeColor="text1"/>
                <w:sz w:val="24"/>
                <w14:textFill>
                  <w14:solidFill>
                    <w14:schemeClr w14:val="tx1"/>
                  </w14:solidFill>
                </w14:textFill>
              </w:rPr>
              <w:t>、施工期的环境管理和监督</w:t>
            </w:r>
          </w:p>
          <w:p w14:paraId="7CA3CD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中华人民共和国环境保护法》和《电力工业环境保护管理办法》及相关规定，制定本工程环境管理和环境监理计划，环境监理人员对施工中每一道工序都应严格检查是否满足环保要求，并不定期地对施工点进行抽样监督检查。</w:t>
            </w:r>
          </w:p>
          <w:p w14:paraId="73DB0E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施工期环境保护监理及环境管理的职责和任务如下：</w:t>
            </w:r>
          </w:p>
          <w:p w14:paraId="33AE1C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（1）本工程施工单位应按建设单位要求制定所采取的环境管理和监督措施；</w:t>
            </w:r>
          </w:p>
          <w:p w14:paraId="49B074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（2）本工程管理部门应设置专门人员进行检查；</w:t>
            </w:r>
          </w:p>
          <w:p w14:paraId="619FAA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（3）收集、整理、推广和实施工程建设中各项环境保护的先进工作经验和技术；</w:t>
            </w:r>
          </w:p>
          <w:p w14:paraId="534475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（4）组织和开展对施工人员进行施工活动中应遵循的环保法规、知识的培训，提高全体员工文明施工的认识；</w:t>
            </w:r>
          </w:p>
          <w:p w14:paraId="26B81C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（5）负责日常施工活动中的环境监理工作，做好工程用地区域的环境特征调查，对于环境保护目标要做到心中有数；</w:t>
            </w:r>
          </w:p>
          <w:p w14:paraId="12C6DA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（6）在施工计划中应适当计划设备运输道路，以避免影响当地居民生活，施工中应考虑保护生态和避免水土流失，合理组织施工，不在站外设置临时施工用地；</w:t>
            </w:r>
          </w:p>
          <w:p w14:paraId="223A29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（7）做好施工中各种环境问题的收集、记录、建档和处理工作；</w:t>
            </w:r>
          </w:p>
          <w:p w14:paraId="312718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（8）监督施工单位，使设计、施工过程的各项环境保护措施与主体工程同步实施。</w:t>
            </w:r>
          </w:p>
          <w:p w14:paraId="393BEC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rFonts w:hint="default"/>
                <w:b/>
                <w:bCs/>
                <w:color w:val="000000" w:themeColor="text1"/>
                <w:sz w:val="24"/>
                <w14:textFill>
                  <w14:solidFill>
                    <w14:schemeClr w14:val="tx1"/>
                  </w14:solidFill>
                </w14:textFill>
              </w:rPr>
              <w:t>、运行期的环境管理和监督</w:t>
            </w:r>
          </w:p>
          <w:p w14:paraId="3B755D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根据项目所在区域的环境特点，必须在运行主管单位设环境管理部门，配备相应的专业管理人员不少于1人，该部门的职能为：</w:t>
            </w:r>
          </w:p>
          <w:p w14:paraId="56ED75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（1）制定和实施各项环境监督管理计划；</w:t>
            </w:r>
          </w:p>
          <w:p w14:paraId="495E4A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（2）建立变电站电磁环境影响监测的数据档案，并定期与当地环境保护行政主管部门进行沟通；</w:t>
            </w:r>
          </w:p>
          <w:p w14:paraId="21ACC1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（3）经常检查环保治理设施的运行情况，及时处理出现的问题；</w:t>
            </w:r>
          </w:p>
          <w:p w14:paraId="55D6AD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（4）协调配合上级环保主管部门进行的环境调查等活动；</w:t>
            </w:r>
          </w:p>
          <w:p w14:paraId="349C45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（5）本工程环保设施必须与</w:t>
            </w:r>
            <w:r>
              <w:rPr>
                <w:rFonts w:hint="eastAsia"/>
                <w:color w:val="000000" w:themeColor="text1"/>
                <w:sz w:val="24"/>
                <w:lang w:eastAsia="zh-CN"/>
                <w14:textFill>
                  <w14:solidFill>
                    <w14:schemeClr w14:val="tx1"/>
                  </w14:solidFill>
                </w14:textFill>
              </w:rPr>
              <w:t>本工程</w:t>
            </w:r>
            <w:r>
              <w:rPr>
                <w:rFonts w:hint="default"/>
                <w:color w:val="000000" w:themeColor="text1"/>
                <w:sz w:val="24"/>
                <w14:textFill>
                  <w14:solidFill>
                    <w14:schemeClr w14:val="tx1"/>
                  </w14:solidFill>
                </w14:textFill>
              </w:rPr>
              <w:t>同时设计、同时施工、同时投产使用。</w:t>
            </w:r>
          </w:p>
          <w:p w14:paraId="2CFB426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textAlignment w:val="auto"/>
              <w:rPr>
                <w:rFonts w:hint="default"/>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3</w:t>
            </w:r>
            <w:r>
              <w:rPr>
                <w:rFonts w:hint="default"/>
                <w:b/>
                <w:bCs/>
                <w:color w:val="000000" w:themeColor="text1"/>
                <w:sz w:val="24"/>
                <w14:textFill>
                  <w14:solidFill>
                    <w14:schemeClr w14:val="tx1"/>
                  </w14:solidFill>
                </w14:textFill>
              </w:rPr>
              <w:t>、运行期环境</w:t>
            </w:r>
            <w:r>
              <w:rPr>
                <w:rFonts w:hint="eastAsia"/>
                <w:b/>
                <w:bCs/>
                <w:color w:val="000000" w:themeColor="text1"/>
                <w:sz w:val="24"/>
                <w14:textFill>
                  <w14:solidFill>
                    <w14:schemeClr w14:val="tx1"/>
                  </w14:solidFill>
                </w14:textFill>
              </w:rPr>
              <w:t>监测计划</w:t>
            </w:r>
          </w:p>
          <w:p w14:paraId="6186A29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本项目运行期</w:t>
            </w:r>
            <w:r>
              <w:rPr>
                <w:rFonts w:hint="default"/>
                <w:color w:val="000000" w:themeColor="text1"/>
                <w:sz w:val="24"/>
                <w14:textFill>
                  <w14:solidFill>
                    <w14:schemeClr w14:val="tx1"/>
                  </w14:solidFill>
                </w14:textFill>
              </w:rPr>
              <w:t>环境监测计划的制定依据《排污单位自行监测技术指南</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总则》（HJ</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819-2017）</w:t>
            </w:r>
            <w:r>
              <w:rPr>
                <w:rFonts w:hint="eastAsia"/>
                <w:color w:val="000000" w:themeColor="text1"/>
                <w:sz w:val="24"/>
                <w:lang w:val="en-US" w:eastAsia="zh-CN"/>
                <w14:textFill>
                  <w14:solidFill>
                    <w14:schemeClr w14:val="tx1"/>
                  </w14:solidFill>
                </w14:textFill>
              </w:rPr>
              <w:t>及《输变电建设项目环境保护技术要求》（HJ 1113-2020）</w:t>
            </w:r>
            <w:r>
              <w:rPr>
                <w:rFonts w:hint="default"/>
                <w:color w:val="000000" w:themeColor="text1"/>
                <w:sz w:val="24"/>
                <w14:textFill>
                  <w14:solidFill>
                    <w14:schemeClr w14:val="tx1"/>
                  </w14:solidFill>
                </w14:textFill>
              </w:rPr>
              <w:t>，并且结合项目内容和公司实际情况，制定相应切实可行的方案，监测执行该区域相应的功能区环境质量标准及污染物排放达标标准。</w:t>
            </w:r>
          </w:p>
          <w:p w14:paraId="1E77247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环境监测范围</w:t>
            </w:r>
          </w:p>
          <w:p w14:paraId="49CE274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重点监测本</w:t>
            </w:r>
            <w:r>
              <w:rPr>
                <w:rFonts w:hint="eastAsia"/>
                <w:color w:val="000000" w:themeColor="text1"/>
                <w:sz w:val="24"/>
                <w:lang w:val="en-US" w:eastAsia="zh-CN"/>
                <w14:textFill>
                  <w14:solidFill>
                    <w14:schemeClr w14:val="tx1"/>
                  </w14:solidFill>
                </w14:textFill>
              </w:rPr>
              <w:t>项目</w:t>
            </w:r>
            <w:r>
              <w:rPr>
                <w:rFonts w:hint="default"/>
                <w:color w:val="000000" w:themeColor="text1"/>
                <w:sz w:val="24"/>
                <w14:textFill>
                  <w14:solidFill>
                    <w14:schemeClr w14:val="tx1"/>
                  </w14:solidFill>
                </w14:textFill>
              </w:rPr>
              <w:t>污染源的污染物排放状况。</w:t>
            </w:r>
          </w:p>
          <w:p w14:paraId="7D26013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监测</w:t>
            </w:r>
            <w:r>
              <w:rPr>
                <w:rFonts w:hint="eastAsia"/>
                <w:color w:val="000000" w:themeColor="text1"/>
                <w:sz w:val="24"/>
                <w14:textFill>
                  <w14:solidFill>
                    <w14:schemeClr w14:val="tx1"/>
                  </w14:solidFill>
                </w14:textFill>
              </w:rPr>
              <w:t>因子</w:t>
            </w:r>
          </w:p>
          <w:p w14:paraId="6CA5E407">
            <w:pPr>
              <w:pStyle w:val="7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left="0" w:right="0"/>
              <w:textAlignment w:val="auto"/>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5-1 环境监测因子</w:t>
            </w:r>
          </w:p>
          <w:tbl>
            <w:tblPr>
              <w:tblStyle w:val="30"/>
              <w:tblW w:w="4998" w:type="pct"/>
              <w:jc w:val="center"/>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91"/>
              <w:gridCol w:w="1936"/>
              <w:gridCol w:w="5285"/>
            </w:tblGrid>
            <w:tr w14:paraId="5BAC6D1D">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tcBorders>
                    <w:left w:val="single" w:color="auto" w:sz="0" w:space="0"/>
                    <w:bottom w:val="single" w:color="auto" w:sz="4" w:space="0"/>
                    <w:right w:val="single" w:color="auto" w:sz="4" w:space="0"/>
                  </w:tcBorders>
                  <w:noWrap w:val="0"/>
                  <w:vAlign w:val="center"/>
                </w:tcPr>
                <w:p w14:paraId="25CF07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调查对象</w:t>
                  </w:r>
                </w:p>
              </w:tc>
              <w:tc>
                <w:tcPr>
                  <w:tcW w:w="1137" w:type="pct"/>
                  <w:tcBorders>
                    <w:left w:val="single" w:color="auto" w:sz="4" w:space="0"/>
                    <w:bottom w:val="single" w:color="auto" w:sz="4" w:space="0"/>
                    <w:right w:val="single" w:color="auto" w:sz="4" w:space="0"/>
                  </w:tcBorders>
                  <w:noWrap w:val="0"/>
                  <w:vAlign w:val="center"/>
                </w:tcPr>
                <w:p w14:paraId="03AA6C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环境监测因子</w:t>
                  </w:r>
                </w:p>
              </w:tc>
              <w:tc>
                <w:tcPr>
                  <w:tcW w:w="3104" w:type="pct"/>
                  <w:tcBorders>
                    <w:left w:val="single" w:color="auto" w:sz="4" w:space="0"/>
                    <w:bottom w:val="single" w:color="auto" w:sz="4" w:space="0"/>
                    <w:right w:val="single" w:color="auto" w:sz="4" w:space="0"/>
                  </w:tcBorders>
                  <w:noWrap w:val="0"/>
                  <w:vAlign w:val="center"/>
                </w:tcPr>
                <w:p w14:paraId="7DB66C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监测指标及单位</w:t>
                  </w:r>
                </w:p>
              </w:tc>
            </w:tr>
            <w:tr w14:paraId="09CB8520">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restart"/>
                  <w:tcBorders>
                    <w:top w:val="single" w:color="auto" w:sz="4" w:space="0"/>
                    <w:left w:val="single" w:color="auto" w:sz="4" w:space="0"/>
                    <w:bottom w:val="single" w:color="auto" w:sz="4" w:space="0"/>
                    <w:right w:val="single" w:color="auto" w:sz="4" w:space="0"/>
                  </w:tcBorders>
                  <w:noWrap w:val="0"/>
                  <w:vAlign w:val="center"/>
                </w:tcPr>
                <w:p w14:paraId="3AA706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变电站</w:t>
                  </w:r>
                </w:p>
              </w:tc>
              <w:tc>
                <w:tcPr>
                  <w:tcW w:w="1137" w:type="pct"/>
                  <w:tcBorders>
                    <w:top w:val="single" w:color="auto" w:sz="4" w:space="0"/>
                    <w:left w:val="single" w:color="auto" w:sz="4" w:space="0"/>
                    <w:bottom w:val="single" w:color="auto" w:sz="4" w:space="0"/>
                    <w:right w:val="single" w:color="auto" w:sz="4" w:space="0"/>
                  </w:tcBorders>
                  <w:noWrap w:val="0"/>
                  <w:vAlign w:val="center"/>
                </w:tcPr>
                <w:p w14:paraId="0504C7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工频电场</w:t>
                  </w:r>
                </w:p>
              </w:tc>
              <w:tc>
                <w:tcPr>
                  <w:tcW w:w="3104" w:type="pct"/>
                  <w:tcBorders>
                    <w:top w:val="single" w:color="auto" w:sz="4" w:space="0"/>
                    <w:left w:val="single" w:color="auto" w:sz="4" w:space="0"/>
                    <w:bottom w:val="single" w:color="auto" w:sz="4" w:space="0"/>
                    <w:right w:val="single" w:color="auto" w:sz="4" w:space="0"/>
                  </w:tcBorders>
                  <w:noWrap w:val="0"/>
                  <w:vAlign w:val="center"/>
                </w:tcPr>
                <w:p w14:paraId="09421B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工频电场强度，V/m</w:t>
                  </w:r>
                </w:p>
              </w:tc>
            </w:tr>
            <w:tr w14:paraId="10523833">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continue"/>
                  <w:tcBorders>
                    <w:top w:val="single" w:color="auto" w:sz="4" w:space="0"/>
                    <w:left w:val="single" w:color="auto" w:sz="4" w:space="0"/>
                    <w:bottom w:val="single" w:color="auto" w:sz="4" w:space="0"/>
                    <w:right w:val="single" w:color="auto" w:sz="4" w:space="0"/>
                  </w:tcBorders>
                  <w:noWrap w:val="0"/>
                  <w:vAlign w:val="center"/>
                </w:tcPr>
                <w:p w14:paraId="329CE1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p>
              </w:tc>
              <w:tc>
                <w:tcPr>
                  <w:tcW w:w="1137" w:type="pct"/>
                  <w:tcBorders>
                    <w:top w:val="single" w:color="auto" w:sz="4" w:space="0"/>
                    <w:left w:val="single" w:color="auto" w:sz="4" w:space="0"/>
                    <w:bottom w:val="single" w:color="auto" w:sz="4" w:space="0"/>
                    <w:right w:val="single" w:color="auto" w:sz="4" w:space="0"/>
                  </w:tcBorders>
                  <w:noWrap w:val="0"/>
                  <w:vAlign w:val="center"/>
                </w:tcPr>
                <w:p w14:paraId="60139E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工频磁场</w:t>
                  </w:r>
                </w:p>
              </w:tc>
              <w:tc>
                <w:tcPr>
                  <w:tcW w:w="3104" w:type="pct"/>
                  <w:tcBorders>
                    <w:top w:val="single" w:color="auto" w:sz="4" w:space="0"/>
                    <w:left w:val="single" w:color="auto" w:sz="4" w:space="0"/>
                    <w:bottom w:val="single" w:color="auto" w:sz="4" w:space="0"/>
                    <w:right w:val="single" w:color="auto" w:sz="4" w:space="0"/>
                  </w:tcBorders>
                  <w:noWrap w:val="0"/>
                  <w:vAlign w:val="center"/>
                </w:tcPr>
                <w:p w14:paraId="1A53E0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工频磁感应强度，μT</w:t>
                  </w:r>
                </w:p>
              </w:tc>
            </w:tr>
            <w:tr w14:paraId="0D979A1C">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continue"/>
                  <w:tcBorders>
                    <w:top w:val="single" w:color="auto" w:sz="4" w:space="0"/>
                    <w:left w:val="single" w:color="auto" w:sz="4" w:space="0"/>
                    <w:bottom w:val="single" w:color="auto" w:sz="4" w:space="0"/>
                    <w:right w:val="single" w:color="auto" w:sz="4" w:space="0"/>
                  </w:tcBorders>
                  <w:noWrap w:val="0"/>
                  <w:vAlign w:val="center"/>
                </w:tcPr>
                <w:p w14:paraId="501D2C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p>
              </w:tc>
              <w:tc>
                <w:tcPr>
                  <w:tcW w:w="1137" w:type="pct"/>
                  <w:tcBorders>
                    <w:top w:val="single" w:color="auto" w:sz="4" w:space="0"/>
                    <w:left w:val="single" w:color="auto" w:sz="4" w:space="0"/>
                    <w:bottom w:val="single" w:color="auto" w:sz="4" w:space="0"/>
                    <w:right w:val="single" w:color="auto" w:sz="4" w:space="0"/>
                  </w:tcBorders>
                  <w:noWrap w:val="0"/>
                  <w:vAlign w:val="center"/>
                </w:tcPr>
                <w:p w14:paraId="126658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噪</w:t>
                  </w:r>
                  <w:r>
                    <w:rPr>
                      <w:rFonts w:hint="eastAsia" w:ascii="Times New Roman" w:hAnsi="Times New Roman" w:eastAsia="宋体" w:cs="Times New Roman"/>
                      <w:b w:val="0"/>
                      <w:bCs w:val="0"/>
                      <w:color w:val="000000" w:themeColor="text1"/>
                      <w:szCs w:val="21"/>
                      <w14:textFill>
                        <w14:solidFill>
                          <w14:schemeClr w14:val="tx1"/>
                        </w14:solidFill>
                      </w14:textFill>
                    </w:rPr>
                    <w:t xml:space="preserve">   </w:t>
                  </w:r>
                  <w:r>
                    <w:rPr>
                      <w:rFonts w:hint="default" w:ascii="Times New Roman" w:hAnsi="Times New Roman" w:eastAsia="宋体" w:cs="Times New Roman"/>
                      <w:b w:val="0"/>
                      <w:bCs w:val="0"/>
                      <w:color w:val="000000" w:themeColor="text1"/>
                      <w:szCs w:val="21"/>
                      <w14:textFill>
                        <w14:solidFill>
                          <w14:schemeClr w14:val="tx1"/>
                        </w14:solidFill>
                      </w14:textFill>
                    </w:rPr>
                    <w:t xml:space="preserve"> 声</w:t>
                  </w:r>
                </w:p>
              </w:tc>
              <w:tc>
                <w:tcPr>
                  <w:tcW w:w="3104" w:type="pct"/>
                  <w:tcBorders>
                    <w:top w:val="single" w:color="auto" w:sz="4" w:space="0"/>
                    <w:left w:val="single" w:color="auto" w:sz="4" w:space="0"/>
                    <w:bottom w:val="single" w:color="auto" w:sz="4" w:space="0"/>
                    <w:right w:val="single" w:color="auto" w:sz="4" w:space="0"/>
                  </w:tcBorders>
                  <w:noWrap w:val="0"/>
                  <w:vAlign w:val="center"/>
                </w:tcPr>
                <w:p w14:paraId="3B2FFA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昼间、夜间等效声级，Leq，dB（A）</w:t>
                  </w:r>
                </w:p>
              </w:tc>
            </w:tr>
            <w:tr w14:paraId="4AB1D576">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restart"/>
                  <w:tcBorders>
                    <w:top w:val="single" w:color="auto" w:sz="4" w:space="0"/>
                    <w:left w:val="single" w:color="auto" w:sz="4" w:space="0"/>
                    <w:right w:val="single" w:color="auto" w:sz="4" w:space="0"/>
                  </w:tcBorders>
                  <w:noWrap w:val="0"/>
                  <w:vAlign w:val="center"/>
                </w:tcPr>
                <w:p w14:paraId="333415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eastAsia" w:ascii="Times New Roman" w:hAnsi="Times New Roman" w:eastAsia="宋体" w:cs="Times New Roman"/>
                      <w:b w:val="0"/>
                      <w:bCs w:val="0"/>
                      <w:color w:val="000000" w:themeColor="text1"/>
                      <w:szCs w:val="21"/>
                      <w14:textFill>
                        <w14:solidFill>
                          <w14:schemeClr w14:val="tx1"/>
                        </w14:solidFill>
                      </w14:textFill>
                    </w:rPr>
                    <w:t>输电线路</w:t>
                  </w:r>
                </w:p>
              </w:tc>
              <w:tc>
                <w:tcPr>
                  <w:tcW w:w="1137" w:type="pct"/>
                  <w:tcBorders>
                    <w:top w:val="single" w:color="auto" w:sz="4" w:space="0"/>
                    <w:left w:val="single" w:color="auto" w:sz="4" w:space="0"/>
                    <w:bottom w:val="single" w:color="auto" w:sz="4" w:space="0"/>
                    <w:right w:val="single" w:color="auto" w:sz="4" w:space="0"/>
                  </w:tcBorders>
                  <w:noWrap w:val="0"/>
                  <w:vAlign w:val="center"/>
                </w:tcPr>
                <w:p w14:paraId="1A111C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工频电场</w:t>
                  </w:r>
                </w:p>
              </w:tc>
              <w:tc>
                <w:tcPr>
                  <w:tcW w:w="3104" w:type="pct"/>
                  <w:tcBorders>
                    <w:top w:val="single" w:color="auto" w:sz="4" w:space="0"/>
                    <w:left w:val="single" w:color="auto" w:sz="4" w:space="0"/>
                    <w:bottom w:val="single" w:color="auto" w:sz="4" w:space="0"/>
                    <w:right w:val="single" w:color="auto" w:sz="4" w:space="0"/>
                  </w:tcBorders>
                  <w:noWrap w:val="0"/>
                  <w:vAlign w:val="center"/>
                </w:tcPr>
                <w:p w14:paraId="56552D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工频电场强度，V/m</w:t>
                  </w:r>
                </w:p>
              </w:tc>
            </w:tr>
            <w:tr w14:paraId="0E6459C2">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continue"/>
                  <w:tcBorders>
                    <w:left w:val="single" w:color="auto" w:sz="4" w:space="0"/>
                    <w:right w:val="single" w:color="auto" w:sz="4" w:space="0"/>
                  </w:tcBorders>
                  <w:noWrap w:val="0"/>
                  <w:vAlign w:val="center"/>
                </w:tcPr>
                <w:p w14:paraId="7E35F4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 w:val="0"/>
                      <w:bCs w:val="0"/>
                      <w:color w:val="000000" w:themeColor="text1"/>
                      <w:szCs w:val="21"/>
                      <w14:textFill>
                        <w14:solidFill>
                          <w14:schemeClr w14:val="tx1"/>
                        </w14:solidFill>
                      </w14:textFill>
                    </w:rPr>
                  </w:pPr>
                </w:p>
              </w:tc>
              <w:tc>
                <w:tcPr>
                  <w:tcW w:w="1137" w:type="pct"/>
                  <w:tcBorders>
                    <w:top w:val="single" w:color="auto" w:sz="4" w:space="0"/>
                    <w:left w:val="single" w:color="auto" w:sz="4" w:space="0"/>
                    <w:bottom w:val="single" w:color="auto" w:sz="4" w:space="0"/>
                    <w:right w:val="single" w:color="auto" w:sz="4" w:space="0"/>
                  </w:tcBorders>
                  <w:noWrap w:val="0"/>
                  <w:vAlign w:val="center"/>
                </w:tcPr>
                <w:p w14:paraId="1CB2AF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工频磁场</w:t>
                  </w:r>
                </w:p>
              </w:tc>
              <w:tc>
                <w:tcPr>
                  <w:tcW w:w="3104" w:type="pct"/>
                  <w:tcBorders>
                    <w:top w:val="single" w:color="auto" w:sz="4" w:space="0"/>
                    <w:left w:val="single" w:color="auto" w:sz="4" w:space="0"/>
                    <w:bottom w:val="single" w:color="auto" w:sz="4" w:space="0"/>
                    <w:right w:val="single" w:color="auto" w:sz="4" w:space="0"/>
                  </w:tcBorders>
                  <w:noWrap w:val="0"/>
                  <w:vAlign w:val="center"/>
                </w:tcPr>
                <w:p w14:paraId="2FFA11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工频磁感应强度，μT</w:t>
                  </w:r>
                </w:p>
              </w:tc>
            </w:tr>
            <w:tr w14:paraId="71E2E0EE">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continue"/>
                  <w:tcBorders>
                    <w:left w:val="single" w:color="auto" w:sz="4" w:space="0"/>
                    <w:right w:val="single" w:color="auto" w:sz="4" w:space="0"/>
                  </w:tcBorders>
                  <w:noWrap w:val="0"/>
                  <w:vAlign w:val="center"/>
                </w:tcPr>
                <w:p w14:paraId="1EA4A8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 w:val="0"/>
                      <w:bCs w:val="0"/>
                      <w:color w:val="000000" w:themeColor="text1"/>
                      <w:szCs w:val="21"/>
                      <w14:textFill>
                        <w14:solidFill>
                          <w14:schemeClr w14:val="tx1"/>
                        </w14:solidFill>
                      </w14:textFill>
                    </w:rPr>
                  </w:pPr>
                </w:p>
              </w:tc>
              <w:tc>
                <w:tcPr>
                  <w:tcW w:w="1137" w:type="pct"/>
                  <w:tcBorders>
                    <w:top w:val="single" w:color="auto" w:sz="4" w:space="0"/>
                    <w:left w:val="single" w:color="auto" w:sz="4" w:space="0"/>
                    <w:bottom w:val="single" w:color="auto" w:sz="4" w:space="0"/>
                    <w:right w:val="single" w:color="auto" w:sz="4" w:space="0"/>
                  </w:tcBorders>
                  <w:noWrap w:val="0"/>
                  <w:vAlign w:val="center"/>
                </w:tcPr>
                <w:p w14:paraId="31CF2D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噪</w:t>
                  </w:r>
                  <w:r>
                    <w:rPr>
                      <w:rFonts w:hint="eastAsia" w:ascii="Times New Roman" w:hAnsi="Times New Roman" w:eastAsia="宋体" w:cs="Times New Roman"/>
                      <w:b w:val="0"/>
                      <w:bCs w:val="0"/>
                      <w:color w:val="000000" w:themeColor="text1"/>
                      <w:szCs w:val="21"/>
                      <w14:textFill>
                        <w14:solidFill>
                          <w14:schemeClr w14:val="tx1"/>
                        </w14:solidFill>
                      </w14:textFill>
                    </w:rPr>
                    <w:t xml:space="preserve">   </w:t>
                  </w:r>
                  <w:r>
                    <w:rPr>
                      <w:rFonts w:hint="default" w:ascii="Times New Roman" w:hAnsi="Times New Roman" w:eastAsia="宋体" w:cs="Times New Roman"/>
                      <w:b w:val="0"/>
                      <w:bCs w:val="0"/>
                      <w:color w:val="000000" w:themeColor="text1"/>
                      <w:szCs w:val="21"/>
                      <w14:textFill>
                        <w14:solidFill>
                          <w14:schemeClr w14:val="tx1"/>
                        </w14:solidFill>
                      </w14:textFill>
                    </w:rPr>
                    <w:t xml:space="preserve"> 声</w:t>
                  </w:r>
                </w:p>
              </w:tc>
              <w:tc>
                <w:tcPr>
                  <w:tcW w:w="3104" w:type="pct"/>
                  <w:tcBorders>
                    <w:top w:val="single" w:color="auto" w:sz="4" w:space="0"/>
                    <w:left w:val="single" w:color="auto" w:sz="4" w:space="0"/>
                    <w:bottom w:val="single" w:color="auto" w:sz="4" w:space="0"/>
                    <w:right w:val="single" w:color="auto" w:sz="4" w:space="0"/>
                  </w:tcBorders>
                  <w:noWrap w:val="0"/>
                  <w:vAlign w:val="center"/>
                </w:tcPr>
                <w:p w14:paraId="651F66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昼间、夜间等效声级，Leq，dB（A）</w:t>
                  </w:r>
                </w:p>
              </w:tc>
            </w:tr>
            <w:tr w14:paraId="41F9B8B8">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restart"/>
                  <w:tcBorders>
                    <w:left w:val="single" w:color="auto" w:sz="4" w:space="0"/>
                    <w:right w:val="single" w:color="auto" w:sz="4" w:space="0"/>
                  </w:tcBorders>
                  <w:noWrap w:val="0"/>
                  <w:vAlign w:val="center"/>
                </w:tcPr>
                <w:p w14:paraId="6244C9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cs="Times New Roman"/>
                      <w:b w:val="0"/>
                      <w:bCs w:val="0"/>
                      <w:color w:val="000000" w:themeColor="text1"/>
                      <w:szCs w:val="21"/>
                      <w:lang w:val="en-US" w:eastAsia="zh-CN"/>
                      <w14:textFill>
                        <w14:solidFill>
                          <w14:schemeClr w14:val="tx1"/>
                        </w14:solidFill>
                      </w14:textFill>
                    </w:rPr>
                    <w:t>环境敏感目标</w:t>
                  </w:r>
                </w:p>
              </w:tc>
              <w:tc>
                <w:tcPr>
                  <w:tcW w:w="1936" w:type="dxa"/>
                  <w:tcBorders>
                    <w:top w:val="single" w:color="auto" w:sz="4" w:space="0"/>
                    <w:left w:val="single" w:color="auto" w:sz="4" w:space="0"/>
                    <w:bottom w:val="single" w:color="auto" w:sz="4" w:space="0"/>
                    <w:right w:val="single" w:color="auto" w:sz="4" w:space="0"/>
                  </w:tcBorders>
                  <w:noWrap w:val="0"/>
                  <w:vAlign w:val="center"/>
                </w:tcPr>
                <w:p w14:paraId="2D6F7E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工频电场</w:t>
                  </w:r>
                </w:p>
              </w:tc>
              <w:tc>
                <w:tcPr>
                  <w:tcW w:w="5285" w:type="dxa"/>
                  <w:tcBorders>
                    <w:top w:val="single" w:color="auto" w:sz="4" w:space="0"/>
                    <w:left w:val="single" w:color="auto" w:sz="4" w:space="0"/>
                    <w:bottom w:val="single" w:color="auto" w:sz="4" w:space="0"/>
                    <w:right w:val="single" w:color="auto" w:sz="4" w:space="0"/>
                  </w:tcBorders>
                  <w:noWrap w:val="0"/>
                  <w:vAlign w:val="center"/>
                </w:tcPr>
                <w:p w14:paraId="4EB611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工频电场强度，V/m</w:t>
                  </w:r>
                </w:p>
              </w:tc>
            </w:tr>
            <w:tr w14:paraId="0FA0D51C">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continue"/>
                  <w:tcBorders>
                    <w:left w:val="single" w:color="auto" w:sz="4" w:space="0"/>
                    <w:right w:val="single" w:color="auto" w:sz="4" w:space="0"/>
                  </w:tcBorders>
                  <w:noWrap w:val="0"/>
                  <w:vAlign w:val="center"/>
                </w:tcPr>
                <w:p w14:paraId="432452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 w:val="0"/>
                      <w:bCs w:val="0"/>
                      <w:color w:val="000000" w:themeColor="text1"/>
                      <w:szCs w:val="21"/>
                      <w14:textFill>
                        <w14:solidFill>
                          <w14:schemeClr w14:val="tx1"/>
                        </w14:solidFill>
                      </w14:textFill>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616D91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工频磁场</w:t>
                  </w:r>
                </w:p>
              </w:tc>
              <w:tc>
                <w:tcPr>
                  <w:tcW w:w="5285" w:type="dxa"/>
                  <w:tcBorders>
                    <w:top w:val="single" w:color="auto" w:sz="4" w:space="0"/>
                    <w:left w:val="single" w:color="auto" w:sz="4" w:space="0"/>
                    <w:bottom w:val="single" w:color="auto" w:sz="4" w:space="0"/>
                    <w:right w:val="single" w:color="auto" w:sz="4" w:space="0"/>
                  </w:tcBorders>
                  <w:noWrap w:val="0"/>
                  <w:vAlign w:val="center"/>
                </w:tcPr>
                <w:p w14:paraId="31BED5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工频磁感应强度，μT</w:t>
                  </w:r>
                </w:p>
              </w:tc>
            </w:tr>
            <w:tr w14:paraId="48BDC0FD">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58" w:type="pct"/>
                  <w:vMerge w:val="continue"/>
                  <w:tcBorders>
                    <w:left w:val="single" w:color="auto" w:sz="4" w:space="0"/>
                    <w:right w:val="single" w:color="auto" w:sz="4" w:space="0"/>
                  </w:tcBorders>
                  <w:noWrap w:val="0"/>
                  <w:vAlign w:val="center"/>
                </w:tcPr>
                <w:p w14:paraId="2E651A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 w:val="0"/>
                      <w:bCs w:val="0"/>
                      <w:color w:val="000000" w:themeColor="text1"/>
                      <w:szCs w:val="21"/>
                      <w14:textFill>
                        <w14:solidFill>
                          <w14:schemeClr w14:val="tx1"/>
                        </w14:solidFill>
                      </w14:textFill>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216229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噪</w:t>
                  </w:r>
                  <w:r>
                    <w:rPr>
                      <w:rFonts w:hint="eastAsia" w:ascii="Times New Roman" w:hAnsi="Times New Roman" w:eastAsia="宋体" w:cs="Times New Roman"/>
                      <w:b w:val="0"/>
                      <w:bCs w:val="0"/>
                      <w:color w:val="000000" w:themeColor="text1"/>
                      <w:szCs w:val="21"/>
                      <w14:textFill>
                        <w14:solidFill>
                          <w14:schemeClr w14:val="tx1"/>
                        </w14:solidFill>
                      </w14:textFill>
                    </w:rPr>
                    <w:t xml:space="preserve">   </w:t>
                  </w:r>
                  <w:r>
                    <w:rPr>
                      <w:rFonts w:hint="default" w:ascii="Times New Roman" w:hAnsi="Times New Roman" w:eastAsia="宋体" w:cs="Times New Roman"/>
                      <w:b w:val="0"/>
                      <w:bCs w:val="0"/>
                      <w:color w:val="000000" w:themeColor="text1"/>
                      <w:szCs w:val="21"/>
                      <w14:textFill>
                        <w14:solidFill>
                          <w14:schemeClr w14:val="tx1"/>
                        </w14:solidFill>
                      </w14:textFill>
                    </w:rPr>
                    <w:t xml:space="preserve"> 声</w:t>
                  </w:r>
                </w:p>
              </w:tc>
              <w:tc>
                <w:tcPr>
                  <w:tcW w:w="5285" w:type="dxa"/>
                  <w:tcBorders>
                    <w:top w:val="single" w:color="auto" w:sz="4" w:space="0"/>
                    <w:left w:val="single" w:color="auto" w:sz="4" w:space="0"/>
                    <w:bottom w:val="single" w:color="auto" w:sz="4" w:space="0"/>
                    <w:right w:val="single" w:color="auto" w:sz="4" w:space="0"/>
                  </w:tcBorders>
                  <w:noWrap w:val="0"/>
                  <w:vAlign w:val="center"/>
                </w:tcPr>
                <w:p w14:paraId="1459FC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Cs w:val="21"/>
                      <w14:textFill>
                        <w14:solidFill>
                          <w14:schemeClr w14:val="tx1"/>
                        </w14:solidFill>
                      </w14:textFill>
                    </w:rPr>
                    <w:t>昼间、夜间等效声级，Leq，dB（A）</w:t>
                  </w:r>
                </w:p>
              </w:tc>
            </w:tr>
          </w:tbl>
          <w:p w14:paraId="0F73A77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3</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监测</w:t>
            </w:r>
            <w:r>
              <w:rPr>
                <w:rFonts w:hint="eastAsia"/>
                <w:color w:val="000000" w:themeColor="text1"/>
                <w:sz w:val="24"/>
                <w14:textFill>
                  <w14:solidFill>
                    <w14:schemeClr w14:val="tx1"/>
                  </w14:solidFill>
                </w14:textFill>
              </w:rPr>
              <w:t>点位</w:t>
            </w:r>
          </w:p>
          <w:p w14:paraId="7CFF839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噪声监测点：变电站四周厂界外1m处；在输电线路档距中央导线距离地面最低处，以线路中心导线的地面投影点为监测原点沿垂直于线路方向进行延伸，分别在距离投影点0m、10m、20m、30m、40m、50m处布置测点。</w:t>
            </w:r>
          </w:p>
          <w:p w14:paraId="3D4575E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工频电场强度、磁感应强度监测点：变电站四周厂界外5m处；输电线路以线路中心导线的地面投影点位监测原点，沿垂直于线路方向进行布点，监测点距为5m，延伸至50m。</w:t>
            </w:r>
            <w:r>
              <w:rPr>
                <w:rFonts w:hint="eastAsia"/>
                <w:color w:val="000000" w:themeColor="text1"/>
                <w:sz w:val="24"/>
                <w14:textFill>
                  <w14:solidFill>
                    <w14:schemeClr w14:val="tx1"/>
                  </w14:solidFill>
                </w14:textFill>
              </w:rPr>
              <w:t>电磁</w:t>
            </w:r>
            <w:r>
              <w:rPr>
                <w:rFonts w:hint="eastAsia"/>
                <w:color w:val="000000" w:themeColor="text1"/>
                <w:kern w:val="0"/>
                <w:sz w:val="24"/>
                <w:lang w:val="en-US" w:eastAsia="zh-CN"/>
                <w14:textFill>
                  <w14:solidFill>
                    <w14:schemeClr w14:val="tx1"/>
                  </w14:solidFill>
                </w14:textFill>
              </w:rPr>
              <w:t>保护</w:t>
            </w:r>
            <w:r>
              <w:rPr>
                <w:rFonts w:hint="eastAsia"/>
                <w:color w:val="000000" w:themeColor="text1"/>
                <w:sz w:val="24"/>
                <w14:textFill>
                  <w14:solidFill>
                    <w14:schemeClr w14:val="tx1"/>
                  </w14:solidFill>
                </w14:textFill>
              </w:rPr>
              <w:t>目标处</w:t>
            </w:r>
            <w:r>
              <w:rPr>
                <w:rFonts w:hint="default"/>
                <w:color w:val="000000" w:themeColor="text1"/>
                <w:sz w:val="24"/>
                <w14:textFill>
                  <w14:solidFill>
                    <w14:schemeClr w14:val="tx1"/>
                  </w14:solidFill>
                </w14:textFill>
              </w:rPr>
              <w:t>选择在输电线路档距中央导线距离地面最低处，以线路中心导线的地面投影点位监测原点，沿垂直于线路方向进行布点，监测点距为5m，延伸至50m。</w:t>
            </w:r>
          </w:p>
          <w:p w14:paraId="60598D1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4</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监测频</w:t>
            </w:r>
            <w:r>
              <w:rPr>
                <w:rFonts w:hint="eastAsia"/>
                <w:color w:val="000000" w:themeColor="text1"/>
                <w:sz w:val="24"/>
                <w14:textFill>
                  <w14:solidFill>
                    <w14:schemeClr w14:val="tx1"/>
                  </w14:solidFill>
                </w14:textFill>
              </w:rPr>
              <w:t>次</w:t>
            </w:r>
          </w:p>
          <w:p w14:paraId="66D8CCF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FF0000"/>
                <w:sz w:val="24"/>
              </w:rPr>
            </w:pPr>
            <w:r>
              <w:rPr>
                <w:rFonts w:hint="default"/>
                <w:color w:val="000000" w:themeColor="text1"/>
                <w:sz w:val="24"/>
                <w14:textFill>
                  <w14:solidFill>
                    <w14:schemeClr w14:val="tx1"/>
                  </w14:solidFill>
                </w14:textFill>
              </w:rPr>
              <w:t>噪声监测：</w:t>
            </w:r>
            <w:r>
              <w:rPr>
                <w:rFonts w:hint="default"/>
                <w:color w:val="000000" w:themeColor="text1"/>
                <w:sz w:val="24"/>
                <w:lang w:eastAsia="zh-CN"/>
                <w14:textFill>
                  <w14:solidFill>
                    <w14:schemeClr w14:val="tx1"/>
                  </w14:solidFill>
                </w14:textFill>
              </w:rPr>
              <w:t>工程建成</w:t>
            </w:r>
            <w:r>
              <w:rPr>
                <w:rFonts w:hint="eastAsia"/>
                <w:color w:val="000000" w:themeColor="text1"/>
                <w:sz w:val="24"/>
                <w:lang w:eastAsia="zh-CN"/>
                <w14:textFill>
                  <w14:solidFill>
                    <w14:schemeClr w14:val="tx1"/>
                  </w14:solidFill>
                </w14:textFill>
              </w:rPr>
              <w:t>试运行</w:t>
            </w:r>
            <w:r>
              <w:rPr>
                <w:rFonts w:hint="default"/>
                <w:color w:val="000000" w:themeColor="text1"/>
                <w:sz w:val="24"/>
                <w:lang w:eastAsia="zh-CN"/>
                <w14:textFill>
                  <w14:solidFill>
                    <w14:schemeClr w14:val="tx1"/>
                  </w14:solidFill>
                </w14:textFill>
              </w:rPr>
              <w:t>后第一年结合竣工环境保护验收监测一次；</w:t>
            </w:r>
            <w:r>
              <w:rPr>
                <w:rFonts w:hint="default"/>
                <w:color w:val="FF0000"/>
                <w:sz w:val="24"/>
                <w:lang w:eastAsia="zh-CN"/>
              </w:rPr>
              <w:t>正常运行后，按照行业主管部门要求一年一次进行监测。</w:t>
            </w:r>
          </w:p>
          <w:p w14:paraId="04CA3D5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工频电场强度、磁感应强度监测点：</w:t>
            </w:r>
            <w:r>
              <w:rPr>
                <w:rFonts w:hint="default"/>
                <w:color w:val="000000" w:themeColor="text1"/>
                <w:sz w:val="24"/>
                <w:lang w:eastAsia="zh-CN"/>
                <w14:textFill>
                  <w14:solidFill>
                    <w14:schemeClr w14:val="tx1"/>
                  </w14:solidFill>
                </w14:textFill>
              </w:rPr>
              <w:t>工程建成</w:t>
            </w:r>
            <w:r>
              <w:rPr>
                <w:rFonts w:hint="eastAsia"/>
                <w:color w:val="000000" w:themeColor="text1"/>
                <w:sz w:val="24"/>
                <w:lang w:eastAsia="zh-CN"/>
                <w14:textFill>
                  <w14:solidFill>
                    <w14:schemeClr w14:val="tx1"/>
                  </w14:solidFill>
                </w14:textFill>
              </w:rPr>
              <w:t>试运行</w:t>
            </w:r>
            <w:r>
              <w:rPr>
                <w:rFonts w:hint="default"/>
                <w:color w:val="000000" w:themeColor="text1"/>
                <w:sz w:val="24"/>
                <w:lang w:eastAsia="zh-CN"/>
                <w14:textFill>
                  <w14:solidFill>
                    <w14:schemeClr w14:val="tx1"/>
                  </w14:solidFill>
                </w14:textFill>
              </w:rPr>
              <w:t>后第一年结合竣工环境保护验收监测一次；</w:t>
            </w:r>
            <w:r>
              <w:rPr>
                <w:rFonts w:hint="default"/>
                <w:color w:val="FF0000"/>
                <w:sz w:val="24"/>
                <w:lang w:eastAsia="zh-CN"/>
              </w:rPr>
              <w:t>正常运行后，按照行业主管部门要求一年一次进行监测。</w:t>
            </w:r>
          </w:p>
          <w:p w14:paraId="475B39C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对监测结果</w:t>
            </w:r>
            <w:r>
              <w:rPr>
                <w:rFonts w:hint="eastAsia"/>
                <w:color w:val="000000" w:themeColor="text1"/>
                <w:sz w:val="24"/>
                <w:lang w:val="en-US" w:eastAsia="zh-CN"/>
                <w14:textFill>
                  <w14:solidFill>
                    <w14:schemeClr w14:val="tx1"/>
                  </w14:solidFill>
                </w14:textFill>
              </w:rPr>
              <w:t>及时</w:t>
            </w:r>
            <w:r>
              <w:rPr>
                <w:rFonts w:hint="default"/>
                <w:color w:val="000000" w:themeColor="text1"/>
                <w:sz w:val="24"/>
                <w14:textFill>
                  <w14:solidFill>
                    <w14:schemeClr w14:val="tx1"/>
                  </w14:solidFill>
                </w14:textFill>
              </w:rPr>
              <w:t>进行统计汇总，上报有关领导和上级主管部门，监测结果如有异常，应及时反馈生产管理部门，查找原因，及时解决。</w:t>
            </w:r>
          </w:p>
          <w:p w14:paraId="682DAA0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5</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监测方法</w:t>
            </w:r>
          </w:p>
          <w:p w14:paraId="6D05A33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监测方法见</w:t>
            </w:r>
            <w:r>
              <w:rPr>
                <w:rFonts w:hint="eastAsia"/>
                <w:color w:val="000000" w:themeColor="text1"/>
                <w:sz w:val="24"/>
                <w:lang w:val="en-US" w:eastAsia="zh-CN"/>
                <w14:textFill>
                  <w14:solidFill>
                    <w14:schemeClr w14:val="tx1"/>
                  </w14:solidFill>
                </w14:textFill>
              </w:rPr>
              <w:t>下表</w:t>
            </w:r>
            <w:r>
              <w:rPr>
                <w:rFonts w:hint="default"/>
                <w:color w:val="000000" w:themeColor="text1"/>
                <w:sz w:val="24"/>
                <w14:textFill>
                  <w14:solidFill>
                    <w14:schemeClr w14:val="tx1"/>
                  </w14:solidFill>
                </w14:textFill>
              </w:rPr>
              <w:t>。</w:t>
            </w:r>
          </w:p>
          <w:p w14:paraId="230325AF">
            <w:pPr>
              <w:pStyle w:val="7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left="0" w:right="0"/>
              <w:textAlignment w:val="auto"/>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5-2</w:t>
            </w: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监测项目分析方法</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1896"/>
              <w:gridCol w:w="5911"/>
            </w:tblGrid>
            <w:tr w14:paraId="71E05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Align w:val="center"/>
                </w:tcPr>
                <w:p w14:paraId="2C6BF3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序号</w:t>
                  </w:r>
                </w:p>
              </w:tc>
              <w:tc>
                <w:tcPr>
                  <w:tcW w:w="1114" w:type="pct"/>
                  <w:vAlign w:val="center"/>
                </w:tcPr>
                <w:p w14:paraId="4E6036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项目</w:t>
                  </w:r>
                </w:p>
              </w:tc>
              <w:tc>
                <w:tcPr>
                  <w:tcW w:w="3473" w:type="pct"/>
                  <w:vAlign w:val="center"/>
                </w:tcPr>
                <w:p w14:paraId="2B0B38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标准方法名称及代号</w:t>
                  </w:r>
                </w:p>
              </w:tc>
            </w:tr>
            <w:tr w14:paraId="6F525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Align w:val="center"/>
                </w:tcPr>
                <w:p w14:paraId="2ED69D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w:t>
                  </w:r>
                </w:p>
              </w:tc>
              <w:tc>
                <w:tcPr>
                  <w:tcW w:w="1114" w:type="pct"/>
                  <w:vAlign w:val="center"/>
                </w:tcPr>
                <w:p w14:paraId="116070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等效连续A声级</w:t>
                  </w:r>
                </w:p>
              </w:tc>
              <w:tc>
                <w:tcPr>
                  <w:tcW w:w="3473" w:type="pct"/>
                  <w:vAlign w:val="center"/>
                </w:tcPr>
                <w:p w14:paraId="38C511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根据《声环境质量标准》（GB</w:t>
                  </w:r>
                  <w:r>
                    <w:rPr>
                      <w:rFonts w:hint="eastAsia"/>
                      <w:color w:val="000000" w:themeColor="text1"/>
                      <w:szCs w:val="21"/>
                      <w14:textFill>
                        <w14:solidFill>
                          <w14:schemeClr w14:val="tx1"/>
                        </w14:solidFill>
                      </w14:textFill>
                    </w:rPr>
                    <w:t xml:space="preserve"> </w:t>
                  </w:r>
                  <w:r>
                    <w:rPr>
                      <w:rFonts w:hint="default"/>
                      <w:color w:val="000000" w:themeColor="text1"/>
                      <w:szCs w:val="21"/>
                      <w14:textFill>
                        <w14:solidFill>
                          <w14:schemeClr w14:val="tx1"/>
                        </w14:solidFill>
                      </w14:textFill>
                    </w:rPr>
                    <w:t>3096-2008）</w:t>
                  </w:r>
                  <w:r>
                    <w:rPr>
                      <w:rFonts w:hint="eastAsia"/>
                      <w:color w:val="000000" w:themeColor="text1"/>
                      <w:szCs w:val="21"/>
                      <w14:textFill>
                        <w14:solidFill>
                          <w14:schemeClr w14:val="tx1"/>
                        </w14:solidFill>
                      </w14:textFill>
                    </w:rPr>
                    <w:t>、《工业企业厂界环境噪声排放标准》（GB 12348-2008）</w:t>
                  </w:r>
                  <w:r>
                    <w:rPr>
                      <w:rFonts w:hint="default"/>
                      <w:color w:val="000000" w:themeColor="text1"/>
                      <w:szCs w:val="21"/>
                      <w14:textFill>
                        <w14:solidFill>
                          <w14:schemeClr w14:val="tx1"/>
                        </w14:solidFill>
                      </w14:textFill>
                    </w:rPr>
                    <w:t>及《环境影响评价技术导则声环境》（HJ</w:t>
                  </w:r>
                  <w:r>
                    <w:rPr>
                      <w:rFonts w:hint="eastAsia"/>
                      <w:color w:val="000000" w:themeColor="text1"/>
                      <w:szCs w:val="21"/>
                      <w14:textFill>
                        <w14:solidFill>
                          <w14:schemeClr w14:val="tx1"/>
                        </w14:solidFill>
                      </w14:textFill>
                    </w:rPr>
                    <w:t xml:space="preserve"> </w:t>
                  </w:r>
                  <w:r>
                    <w:rPr>
                      <w:rFonts w:hint="default"/>
                      <w:color w:val="000000" w:themeColor="text1"/>
                      <w:szCs w:val="21"/>
                      <w14:textFill>
                        <w14:solidFill>
                          <w14:schemeClr w14:val="tx1"/>
                        </w14:solidFill>
                      </w14:textFill>
                    </w:rPr>
                    <w:t>2.4-20</w:t>
                  </w:r>
                  <w:r>
                    <w:rPr>
                      <w:rFonts w:hint="eastAsia"/>
                      <w:color w:val="000000" w:themeColor="text1"/>
                      <w:szCs w:val="21"/>
                      <w:lang w:val="en-US" w:eastAsia="zh-CN"/>
                      <w14:textFill>
                        <w14:solidFill>
                          <w14:schemeClr w14:val="tx1"/>
                        </w14:solidFill>
                      </w14:textFill>
                    </w:rPr>
                    <w:t>21</w:t>
                  </w:r>
                  <w:r>
                    <w:rPr>
                      <w:rFonts w:hint="default"/>
                      <w:color w:val="000000" w:themeColor="text1"/>
                      <w:szCs w:val="21"/>
                      <w14:textFill>
                        <w14:solidFill>
                          <w14:schemeClr w14:val="tx1"/>
                        </w14:solidFill>
                      </w14:textFill>
                    </w:rPr>
                    <w:t>）的规定进行监测</w:t>
                  </w:r>
                </w:p>
              </w:tc>
            </w:tr>
            <w:tr w14:paraId="2DA80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Align w:val="center"/>
                </w:tcPr>
                <w:p w14:paraId="6F5031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w:t>
                  </w:r>
                </w:p>
              </w:tc>
              <w:tc>
                <w:tcPr>
                  <w:tcW w:w="1114" w:type="pct"/>
                  <w:vAlign w:val="center"/>
                </w:tcPr>
                <w:p w14:paraId="39E8CE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工频电场强度、磁感应强度</w:t>
                  </w:r>
                </w:p>
              </w:tc>
              <w:tc>
                <w:tcPr>
                  <w:tcW w:w="3473" w:type="pct"/>
                  <w:vAlign w:val="center"/>
                </w:tcPr>
                <w:p w14:paraId="1BA1CB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《交流输变电工程电磁环境监测方法》（试行）</w:t>
                  </w:r>
                </w:p>
                <w:p w14:paraId="1D67B8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（HJ</w:t>
                  </w:r>
                  <w:r>
                    <w:rPr>
                      <w:rFonts w:hint="eastAsia"/>
                      <w:color w:val="000000" w:themeColor="text1"/>
                      <w:szCs w:val="21"/>
                      <w14:textFill>
                        <w14:solidFill>
                          <w14:schemeClr w14:val="tx1"/>
                        </w14:solidFill>
                      </w14:textFill>
                    </w:rPr>
                    <w:t xml:space="preserve"> </w:t>
                  </w:r>
                  <w:r>
                    <w:rPr>
                      <w:rFonts w:hint="default"/>
                      <w:color w:val="000000" w:themeColor="text1"/>
                      <w:szCs w:val="21"/>
                      <w14:textFill>
                        <w14:solidFill>
                          <w14:schemeClr w14:val="tx1"/>
                        </w14:solidFill>
                      </w14:textFill>
                    </w:rPr>
                    <w:t>681-2013）</w:t>
                  </w:r>
                </w:p>
              </w:tc>
            </w:tr>
          </w:tbl>
          <w:p w14:paraId="181AF39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6</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监测方式与计划</w:t>
            </w:r>
          </w:p>
          <w:p w14:paraId="73ED228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b/>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根据企业自身情况，采取委托监测方式进行监测，环境监测计划见</w:t>
            </w:r>
            <w:r>
              <w:rPr>
                <w:rFonts w:hint="eastAsia"/>
                <w:color w:val="000000" w:themeColor="text1"/>
                <w:sz w:val="24"/>
                <w:lang w:val="en-US" w:eastAsia="zh-CN"/>
                <w14:textFill>
                  <w14:solidFill>
                    <w14:schemeClr w14:val="tx1"/>
                  </w14:solidFill>
                </w14:textFill>
              </w:rPr>
              <w:t>下表</w:t>
            </w:r>
            <w:r>
              <w:rPr>
                <w:rFonts w:hint="default"/>
                <w:color w:val="000000" w:themeColor="text1"/>
                <w:sz w:val="24"/>
                <w14:textFill>
                  <w14:solidFill>
                    <w14:schemeClr w14:val="tx1"/>
                  </w14:solidFill>
                </w14:textFill>
              </w:rPr>
              <w:t>。</w:t>
            </w:r>
          </w:p>
          <w:p w14:paraId="276C36BC">
            <w:pPr>
              <w:pStyle w:val="7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left="0" w:right="0"/>
              <w:textAlignment w:val="auto"/>
              <w:rPr>
                <w:rFonts w:hint="default" w:ascii="宋体" w:hAnsi="宋体" w:cs="宋体"/>
                <w:bCs/>
                <w:color w:val="000000" w:themeColor="text1"/>
                <w:spacing w:val="10"/>
                <w:sz w:val="24"/>
                <w14:textFill>
                  <w14:solidFill>
                    <w14:schemeClr w14:val="tx1"/>
                  </w14:solidFill>
                </w14:textFill>
              </w:rPr>
            </w:pP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5-3</w:t>
            </w: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环境监测计划一览表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1330"/>
              <w:gridCol w:w="1330"/>
              <w:gridCol w:w="3684"/>
              <w:gridCol w:w="1360"/>
            </w:tblGrid>
            <w:tr w14:paraId="3795B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pct"/>
                  <w:noWrap w:val="0"/>
                  <w:vAlign w:val="center"/>
                </w:tcPr>
                <w:p w14:paraId="4ECCB0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时期</w:t>
                  </w:r>
                </w:p>
              </w:tc>
              <w:tc>
                <w:tcPr>
                  <w:tcW w:w="781" w:type="pct"/>
                  <w:noWrap w:val="0"/>
                  <w:vAlign w:val="center"/>
                </w:tcPr>
                <w:p w14:paraId="396486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要素</w:t>
                  </w:r>
                </w:p>
              </w:tc>
              <w:tc>
                <w:tcPr>
                  <w:tcW w:w="781" w:type="pct"/>
                  <w:noWrap w:val="0"/>
                  <w:vAlign w:val="center"/>
                </w:tcPr>
                <w:p w14:paraId="7F3569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监测项目</w:t>
                  </w:r>
                </w:p>
              </w:tc>
              <w:tc>
                <w:tcPr>
                  <w:tcW w:w="2164" w:type="pct"/>
                  <w:noWrap w:val="0"/>
                  <w:vAlign w:val="center"/>
                </w:tcPr>
                <w:p w14:paraId="3D9CD2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监测点</w:t>
                  </w:r>
                </w:p>
              </w:tc>
              <w:tc>
                <w:tcPr>
                  <w:tcW w:w="799" w:type="pct"/>
                  <w:noWrap w:val="0"/>
                  <w:vAlign w:val="center"/>
                </w:tcPr>
                <w:p w14:paraId="0FD929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监测方式</w:t>
                  </w:r>
                </w:p>
              </w:tc>
            </w:tr>
            <w:tr w14:paraId="5195F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pct"/>
                  <w:vMerge w:val="restart"/>
                  <w:noWrap w:val="0"/>
                  <w:vAlign w:val="center"/>
                </w:tcPr>
                <w:p w14:paraId="25E65B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运营期</w:t>
                  </w:r>
                </w:p>
              </w:tc>
              <w:tc>
                <w:tcPr>
                  <w:tcW w:w="781" w:type="pct"/>
                  <w:noWrap w:val="0"/>
                  <w:vAlign w:val="center"/>
                </w:tcPr>
                <w:p w14:paraId="125311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噪声</w:t>
                  </w:r>
                </w:p>
              </w:tc>
              <w:tc>
                <w:tcPr>
                  <w:tcW w:w="781" w:type="pct"/>
                  <w:noWrap w:val="0"/>
                  <w:vAlign w:val="center"/>
                </w:tcPr>
                <w:p w14:paraId="6A0089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噪声</w:t>
                  </w:r>
                </w:p>
              </w:tc>
              <w:tc>
                <w:tcPr>
                  <w:tcW w:w="2164" w:type="pct"/>
                  <w:noWrap w:val="0"/>
                  <w:vAlign w:val="center"/>
                </w:tcPr>
                <w:p w14:paraId="7A0958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b w:val="0"/>
                      <w:bCs w:val="0"/>
                      <w:color w:val="000000" w:themeColor="text1"/>
                      <w:szCs w:val="21"/>
                      <w:lang w:eastAsia="zh-CN"/>
                      <w14:textFill>
                        <w14:solidFill>
                          <w14:schemeClr w14:val="tx1"/>
                        </w14:solidFill>
                      </w14:textFill>
                    </w:rPr>
                  </w:pPr>
                  <w:r>
                    <w:rPr>
                      <w:rFonts w:hint="default"/>
                      <w:b w:val="0"/>
                      <w:bCs w:val="0"/>
                      <w:color w:val="000000" w:themeColor="text1"/>
                      <w:szCs w:val="21"/>
                      <w14:textFill>
                        <w14:solidFill>
                          <w14:schemeClr w14:val="tx1"/>
                        </w14:solidFill>
                      </w14:textFill>
                    </w:rPr>
                    <w:t>变电站四周厂界外1m</w:t>
                  </w:r>
                  <w:r>
                    <w:rPr>
                      <w:rFonts w:hint="eastAsia"/>
                      <w:b w:val="0"/>
                      <w:bCs w:val="0"/>
                      <w:color w:val="000000" w:themeColor="text1"/>
                      <w:szCs w:val="21"/>
                      <w:lang w:eastAsia="zh-CN"/>
                      <w14:textFill>
                        <w14:solidFill>
                          <w14:schemeClr w14:val="tx1"/>
                        </w14:solidFill>
                      </w14:textFill>
                    </w:rPr>
                    <w:t>。</w:t>
                  </w:r>
                </w:p>
              </w:tc>
              <w:tc>
                <w:tcPr>
                  <w:tcW w:w="799" w:type="pct"/>
                  <w:noWrap w:val="0"/>
                  <w:vAlign w:val="center"/>
                </w:tcPr>
                <w:p w14:paraId="7BC664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000000" w:themeColor="text1"/>
                      <w:szCs w:val="21"/>
                      <w14:textFill>
                        <w14:solidFill>
                          <w14:schemeClr w14:val="tx1"/>
                        </w14:solidFill>
                      </w14:textFill>
                    </w:rPr>
                  </w:pPr>
                  <w:r>
                    <w:rPr>
                      <w:rFonts w:hint="default"/>
                      <w:b w:val="0"/>
                      <w:bCs w:val="0"/>
                      <w:color w:val="000000" w:themeColor="text1"/>
                      <w:szCs w:val="21"/>
                      <w14:textFill>
                        <w14:solidFill>
                          <w14:schemeClr w14:val="tx1"/>
                        </w14:solidFill>
                      </w14:textFill>
                    </w:rPr>
                    <w:t>委托监测</w:t>
                  </w:r>
                </w:p>
              </w:tc>
            </w:tr>
            <w:tr w14:paraId="12C1D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pct"/>
                  <w:vMerge w:val="continue"/>
                  <w:noWrap w:val="0"/>
                  <w:vAlign w:val="center"/>
                </w:tcPr>
                <w:p w14:paraId="50022A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p>
              </w:tc>
              <w:tc>
                <w:tcPr>
                  <w:tcW w:w="781" w:type="pct"/>
                  <w:noWrap w:val="0"/>
                  <w:vAlign w:val="center"/>
                </w:tcPr>
                <w:p w14:paraId="6FB8E5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工频电场强度、磁感应强度</w:t>
                  </w:r>
                </w:p>
              </w:tc>
              <w:tc>
                <w:tcPr>
                  <w:tcW w:w="781" w:type="pct"/>
                  <w:noWrap w:val="0"/>
                  <w:vAlign w:val="center"/>
                </w:tcPr>
                <w:p w14:paraId="57BECF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工频电场强度、磁感应强度</w:t>
                  </w:r>
                </w:p>
              </w:tc>
              <w:tc>
                <w:tcPr>
                  <w:tcW w:w="2164" w:type="pct"/>
                  <w:noWrap w:val="0"/>
                  <w:vAlign w:val="center"/>
                </w:tcPr>
                <w:p w14:paraId="409FBE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000000" w:themeColor="text1"/>
                      <w:szCs w:val="21"/>
                      <w:lang w:eastAsia="zh-CN"/>
                      <w14:textFill>
                        <w14:solidFill>
                          <w14:schemeClr w14:val="tx1"/>
                        </w14:solidFill>
                      </w14:textFill>
                    </w:rPr>
                  </w:pPr>
                  <w:r>
                    <w:rPr>
                      <w:rFonts w:hint="default"/>
                      <w:color w:val="000000" w:themeColor="text1"/>
                      <w:szCs w:val="21"/>
                      <w14:textFill>
                        <w14:solidFill>
                          <w14:schemeClr w14:val="tx1"/>
                        </w14:solidFill>
                      </w14:textFill>
                    </w:rPr>
                    <w:t>变电站四周厂界外5m处；</w:t>
                  </w:r>
                  <w:r>
                    <w:rPr>
                      <w:rFonts w:hint="eastAsia"/>
                      <w:color w:val="000000" w:themeColor="text1"/>
                      <w:szCs w:val="21"/>
                      <w:lang w:val="en-US" w:eastAsia="zh-CN"/>
                      <w14:textFill>
                        <w14:solidFill>
                          <w14:schemeClr w14:val="tx1"/>
                        </w14:solidFill>
                      </w14:textFill>
                    </w:rPr>
                    <w:t>环境敏感目标处；</w:t>
                  </w:r>
                  <w:r>
                    <w:rPr>
                      <w:rFonts w:hint="default"/>
                      <w:color w:val="000000" w:themeColor="text1"/>
                      <w:szCs w:val="21"/>
                      <w14:textFill>
                        <w14:solidFill>
                          <w14:schemeClr w14:val="tx1"/>
                        </w14:solidFill>
                      </w14:textFill>
                    </w:rPr>
                    <w:t>输电线路以线路中心导线的地面投影点位监测原点，沿垂直于线路方向进行布点，监测点距为5m，延伸至50m</w:t>
                  </w:r>
                  <w:r>
                    <w:rPr>
                      <w:rFonts w:hint="eastAsia"/>
                      <w:color w:val="000000" w:themeColor="text1"/>
                      <w:szCs w:val="21"/>
                      <w:lang w:eastAsia="zh-CN"/>
                      <w14:textFill>
                        <w14:solidFill>
                          <w14:schemeClr w14:val="tx1"/>
                        </w14:solidFill>
                      </w14:textFill>
                    </w:rPr>
                    <w:t>。</w:t>
                  </w:r>
                </w:p>
              </w:tc>
              <w:tc>
                <w:tcPr>
                  <w:tcW w:w="799" w:type="pct"/>
                  <w:noWrap w:val="0"/>
                  <w:vAlign w:val="center"/>
                </w:tcPr>
                <w:p w14:paraId="13A01A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委托监测</w:t>
                  </w:r>
                </w:p>
              </w:tc>
            </w:tr>
          </w:tbl>
          <w:p w14:paraId="09BF91E1">
            <w:pPr>
              <w:pStyle w:val="7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left="0" w:right="0"/>
              <w:jc w:val="both"/>
              <w:textAlignment w:val="auto"/>
              <w:rPr>
                <w:rFonts w:hint="default" w:ascii="宋体" w:hAnsi="宋体" w:cs="宋体"/>
                <w:bCs/>
                <w:color w:val="000000" w:themeColor="text1"/>
                <w:spacing w:val="10"/>
                <w:sz w:val="24"/>
                <w14:textFill>
                  <w14:solidFill>
                    <w14:schemeClr w14:val="tx1"/>
                  </w14:solidFill>
                </w14:textFill>
              </w:rPr>
            </w:pPr>
          </w:p>
        </w:tc>
      </w:tr>
      <w:tr w14:paraId="713C0D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dxa"/>
            <w:vAlign w:val="center"/>
          </w:tcPr>
          <w:p w14:paraId="7F9AE2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bCs/>
                <w:color w:val="000000" w:themeColor="text1"/>
                <w:spacing w:val="10"/>
                <w:sz w:val="24"/>
                <w14:textFill>
                  <w14:solidFill>
                    <w14:schemeClr w14:val="tx1"/>
                  </w14:solidFill>
                </w14:textFill>
              </w:rPr>
            </w:pPr>
            <w:r>
              <w:rPr>
                <w:rFonts w:hint="eastAsia" w:ascii="宋体" w:hAnsi="宋体"/>
                <w:bCs/>
                <w:color w:val="000000" w:themeColor="text1"/>
                <w:sz w:val="24"/>
                <w14:textFill>
                  <w14:solidFill>
                    <w14:schemeClr w14:val="tx1"/>
                  </w14:solidFill>
                </w14:textFill>
              </w:rPr>
              <w:t>环保投资</w:t>
            </w:r>
          </w:p>
        </w:tc>
        <w:tc>
          <w:tcPr>
            <w:tcW w:w="0" w:type="dxa"/>
          </w:tcPr>
          <w:p w14:paraId="01F0EF0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FF0000"/>
                <w:sz w:val="24"/>
              </w:rPr>
            </w:pPr>
            <w:r>
              <w:rPr>
                <w:rFonts w:hint="default"/>
                <w:color w:val="FF0000"/>
                <w:sz w:val="24"/>
              </w:rPr>
              <w:t>本项目总投资</w:t>
            </w:r>
            <w:r>
              <w:rPr>
                <w:rFonts w:hint="eastAsia"/>
                <w:color w:val="FF0000"/>
                <w:sz w:val="24"/>
                <w:lang w:val="en-US" w:eastAsia="zh-CN"/>
              </w:rPr>
              <w:t>32290</w:t>
            </w:r>
            <w:r>
              <w:rPr>
                <w:rFonts w:hint="default"/>
                <w:color w:val="FF0000"/>
                <w:sz w:val="24"/>
              </w:rPr>
              <w:t>万元，建设项目环保投资</w:t>
            </w:r>
            <w:r>
              <w:rPr>
                <w:rFonts w:hint="eastAsia"/>
                <w:color w:val="FF0000"/>
                <w:sz w:val="24"/>
                <w:lang w:val="en-US" w:eastAsia="zh-CN"/>
              </w:rPr>
              <w:t>958</w:t>
            </w:r>
            <w:r>
              <w:rPr>
                <w:rFonts w:hint="default"/>
                <w:color w:val="FF0000"/>
                <w:sz w:val="24"/>
              </w:rPr>
              <w:t>万元，占其总投资的</w:t>
            </w:r>
            <w:r>
              <w:rPr>
                <w:rFonts w:hint="eastAsia"/>
                <w:color w:val="FF0000"/>
                <w:sz w:val="24"/>
                <w:lang w:val="en-US" w:eastAsia="zh-CN"/>
              </w:rPr>
              <w:t>2.97</w:t>
            </w:r>
            <w:r>
              <w:rPr>
                <w:rFonts w:hint="default"/>
                <w:color w:val="FF0000"/>
                <w:sz w:val="24"/>
              </w:rPr>
              <w:t>%。工程环保投资一览表详见表</w:t>
            </w:r>
            <w:r>
              <w:rPr>
                <w:rFonts w:hint="eastAsia"/>
                <w:color w:val="FF0000"/>
                <w:sz w:val="24"/>
              </w:rPr>
              <w:t>5-4</w:t>
            </w:r>
            <w:r>
              <w:rPr>
                <w:rFonts w:hint="default"/>
                <w:color w:val="FF0000"/>
                <w:sz w:val="24"/>
              </w:rPr>
              <w:t>。</w:t>
            </w:r>
          </w:p>
          <w:p w14:paraId="3CB7B81C">
            <w:pPr>
              <w:pStyle w:val="7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left="0" w:right="0"/>
              <w:textAlignment w:val="auto"/>
              <w:rPr>
                <w:rFonts w:hint="eastAsia" w:ascii="Times New Roman" w:hAnsi="Times New Roman" w:eastAsia="宋体" w:cs="Times New Roman"/>
                <w:b/>
                <w:bCs/>
                <w:color w:val="FF0000"/>
                <w:kern w:val="2"/>
                <w:sz w:val="24"/>
                <w:szCs w:val="24"/>
                <w:lang w:val="en-US" w:eastAsia="zh-CN" w:bidi="ar-SA"/>
              </w:rPr>
            </w:pPr>
            <w:r>
              <w:rPr>
                <w:rFonts w:hint="eastAsia" w:ascii="Times New Roman" w:hAnsi="Times New Roman" w:eastAsia="宋体" w:cs="Times New Roman"/>
                <w:b/>
                <w:bCs/>
                <w:color w:val="FF0000"/>
                <w:kern w:val="2"/>
                <w:sz w:val="24"/>
                <w:szCs w:val="24"/>
                <w:lang w:val="en-US" w:eastAsia="zh-CN" w:bidi="ar-SA"/>
              </w:rPr>
              <w:t>表 5-4 环保投资明细表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635"/>
              <w:gridCol w:w="1206"/>
              <w:gridCol w:w="4083"/>
              <w:gridCol w:w="1836"/>
            </w:tblGrid>
            <w:tr w14:paraId="3EF51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vAlign w:val="center"/>
                </w:tcPr>
                <w:p w14:paraId="2F0141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default"/>
                      <w:color w:val="FF0000"/>
                      <w:szCs w:val="21"/>
                    </w:rPr>
                    <w:t>序号</w:t>
                  </w:r>
                </w:p>
              </w:tc>
              <w:tc>
                <w:tcPr>
                  <w:tcW w:w="1082" w:type="pct"/>
                  <w:gridSpan w:val="2"/>
                  <w:vAlign w:val="center"/>
                </w:tcPr>
                <w:p w14:paraId="0D77A6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阶段</w:t>
                  </w:r>
                </w:p>
              </w:tc>
              <w:tc>
                <w:tcPr>
                  <w:tcW w:w="2399" w:type="pct"/>
                  <w:vAlign w:val="center"/>
                </w:tcPr>
                <w:p w14:paraId="57079F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环保投资明细</w:t>
                  </w:r>
                </w:p>
              </w:tc>
              <w:tc>
                <w:tcPr>
                  <w:tcW w:w="1079" w:type="pct"/>
                  <w:vAlign w:val="center"/>
                </w:tcPr>
                <w:p w14:paraId="58F630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default"/>
                      <w:color w:val="FF0000"/>
                      <w:szCs w:val="21"/>
                    </w:rPr>
                    <w:t>投资额（万元）</w:t>
                  </w:r>
                </w:p>
              </w:tc>
            </w:tr>
            <w:tr w14:paraId="27D86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vAlign w:val="center"/>
                </w:tcPr>
                <w:p w14:paraId="382657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1</w:t>
                  </w:r>
                </w:p>
              </w:tc>
              <w:tc>
                <w:tcPr>
                  <w:tcW w:w="373" w:type="pct"/>
                  <w:vMerge w:val="restart"/>
                  <w:vAlign w:val="center"/>
                </w:tcPr>
                <w:p w14:paraId="450A37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施工期</w:t>
                  </w:r>
                </w:p>
              </w:tc>
              <w:tc>
                <w:tcPr>
                  <w:tcW w:w="708" w:type="pct"/>
                  <w:vAlign w:val="center"/>
                </w:tcPr>
                <w:p w14:paraId="45E722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废气</w:t>
                  </w:r>
                </w:p>
              </w:tc>
              <w:tc>
                <w:tcPr>
                  <w:tcW w:w="2399" w:type="pct"/>
                  <w:vAlign w:val="center"/>
                </w:tcPr>
                <w:p w14:paraId="39D37C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工地围挡、场地洒水等抑尘措施</w:t>
                  </w:r>
                </w:p>
              </w:tc>
              <w:tc>
                <w:tcPr>
                  <w:tcW w:w="1079" w:type="pct"/>
                  <w:vAlign w:val="center"/>
                </w:tcPr>
                <w:p w14:paraId="48026A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34</w:t>
                  </w:r>
                </w:p>
              </w:tc>
            </w:tr>
            <w:tr w14:paraId="59CDE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vAlign w:val="center"/>
                </w:tcPr>
                <w:p w14:paraId="01E28F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2</w:t>
                  </w:r>
                </w:p>
              </w:tc>
              <w:tc>
                <w:tcPr>
                  <w:tcW w:w="373" w:type="pct"/>
                  <w:vMerge w:val="continue"/>
                  <w:vAlign w:val="center"/>
                </w:tcPr>
                <w:p w14:paraId="7C0C67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p>
              </w:tc>
              <w:tc>
                <w:tcPr>
                  <w:tcW w:w="708" w:type="pct"/>
                  <w:vAlign w:val="center"/>
                </w:tcPr>
                <w:p w14:paraId="7DFA7D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废水</w:t>
                  </w:r>
                </w:p>
              </w:tc>
              <w:tc>
                <w:tcPr>
                  <w:tcW w:w="2399" w:type="pct"/>
                  <w:vAlign w:val="center"/>
                </w:tcPr>
                <w:p w14:paraId="518F31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沉淀池</w:t>
                  </w:r>
                </w:p>
              </w:tc>
              <w:tc>
                <w:tcPr>
                  <w:tcW w:w="1079" w:type="pct"/>
                  <w:vAlign w:val="center"/>
                </w:tcPr>
                <w:p w14:paraId="2AA433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20</w:t>
                  </w:r>
                </w:p>
              </w:tc>
            </w:tr>
            <w:tr w14:paraId="515EA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39" w:type="pct"/>
                  <w:shd w:val="clear" w:color="auto" w:fill="auto"/>
                  <w:vAlign w:val="center"/>
                </w:tcPr>
                <w:p w14:paraId="33DCAD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FF0000"/>
                      <w:kern w:val="2"/>
                      <w:sz w:val="21"/>
                      <w:szCs w:val="21"/>
                      <w:lang w:val="en-US" w:eastAsia="zh-CN" w:bidi="ar-SA"/>
                    </w:rPr>
                  </w:pPr>
                  <w:r>
                    <w:rPr>
                      <w:rFonts w:hint="eastAsia"/>
                      <w:color w:val="FF0000"/>
                      <w:szCs w:val="21"/>
                    </w:rPr>
                    <w:t>3</w:t>
                  </w:r>
                </w:p>
              </w:tc>
              <w:tc>
                <w:tcPr>
                  <w:tcW w:w="373" w:type="pct"/>
                  <w:vMerge w:val="continue"/>
                  <w:vAlign w:val="center"/>
                </w:tcPr>
                <w:p w14:paraId="4806DD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p>
              </w:tc>
              <w:tc>
                <w:tcPr>
                  <w:tcW w:w="708" w:type="pct"/>
                  <w:vAlign w:val="center"/>
                </w:tcPr>
                <w:p w14:paraId="700C9B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FF0000"/>
                      <w:szCs w:val="21"/>
                      <w:lang w:val="en-US" w:eastAsia="zh-CN"/>
                    </w:rPr>
                  </w:pPr>
                  <w:r>
                    <w:rPr>
                      <w:rFonts w:hint="eastAsia"/>
                      <w:color w:val="FF0000"/>
                      <w:szCs w:val="21"/>
                      <w:lang w:val="en-US" w:eastAsia="zh-CN"/>
                    </w:rPr>
                    <w:t>固废</w:t>
                  </w:r>
                </w:p>
              </w:tc>
              <w:tc>
                <w:tcPr>
                  <w:tcW w:w="4083" w:type="dxa"/>
                  <w:vAlign w:val="center"/>
                </w:tcPr>
                <w:p w14:paraId="1A9512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FF0000"/>
                      <w:szCs w:val="21"/>
                    </w:rPr>
                  </w:pPr>
                  <w:r>
                    <w:rPr>
                      <w:rFonts w:hint="eastAsia"/>
                      <w:color w:val="FF0000"/>
                      <w:szCs w:val="21"/>
                    </w:rPr>
                    <w:t>施工场地清理、垃圾清运</w:t>
                  </w:r>
                </w:p>
              </w:tc>
              <w:tc>
                <w:tcPr>
                  <w:tcW w:w="1836" w:type="dxa"/>
                  <w:vAlign w:val="center"/>
                </w:tcPr>
                <w:p w14:paraId="35286A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FF0000"/>
                      <w:szCs w:val="21"/>
                      <w:lang w:val="en-US" w:eastAsia="zh-CN"/>
                    </w:rPr>
                  </w:pPr>
                  <w:r>
                    <w:rPr>
                      <w:rFonts w:hint="eastAsia"/>
                      <w:color w:val="FF0000"/>
                      <w:szCs w:val="21"/>
                      <w:lang w:val="en-US" w:eastAsia="zh-CN"/>
                    </w:rPr>
                    <w:t>137</w:t>
                  </w:r>
                </w:p>
              </w:tc>
            </w:tr>
            <w:tr w14:paraId="6DC19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39" w:type="pct"/>
                  <w:shd w:val="clear" w:color="auto" w:fill="auto"/>
                  <w:vAlign w:val="center"/>
                </w:tcPr>
                <w:p w14:paraId="46F071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olor w:val="FF0000"/>
                      <w:szCs w:val="21"/>
                    </w:rPr>
                    <w:t>4</w:t>
                  </w:r>
                </w:p>
              </w:tc>
              <w:tc>
                <w:tcPr>
                  <w:tcW w:w="373" w:type="pct"/>
                  <w:vMerge w:val="continue"/>
                  <w:vAlign w:val="center"/>
                </w:tcPr>
                <w:p w14:paraId="5F06EE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p>
              </w:tc>
              <w:tc>
                <w:tcPr>
                  <w:tcW w:w="708" w:type="pct"/>
                  <w:vAlign w:val="center"/>
                </w:tcPr>
                <w:p w14:paraId="1D499B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噪声</w:t>
                  </w:r>
                </w:p>
              </w:tc>
              <w:tc>
                <w:tcPr>
                  <w:tcW w:w="2399" w:type="pct"/>
                  <w:vAlign w:val="center"/>
                </w:tcPr>
                <w:p w14:paraId="06B9EF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消声减振设施，加强施工期的监督管理</w:t>
                  </w:r>
                </w:p>
              </w:tc>
              <w:tc>
                <w:tcPr>
                  <w:tcW w:w="1079" w:type="pct"/>
                  <w:vAlign w:val="center"/>
                </w:tcPr>
                <w:p w14:paraId="0B1A22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15</w:t>
                  </w:r>
                </w:p>
              </w:tc>
            </w:tr>
            <w:tr w14:paraId="111C9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shd w:val="clear" w:color="auto" w:fill="auto"/>
                  <w:vAlign w:val="center"/>
                </w:tcPr>
                <w:p w14:paraId="5BE947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olor w:val="FF0000"/>
                      <w:szCs w:val="21"/>
                    </w:rPr>
                    <w:t>5</w:t>
                  </w:r>
                </w:p>
              </w:tc>
              <w:tc>
                <w:tcPr>
                  <w:tcW w:w="373" w:type="pct"/>
                  <w:vMerge w:val="continue"/>
                  <w:vAlign w:val="center"/>
                </w:tcPr>
                <w:p w14:paraId="5D769F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p>
              </w:tc>
              <w:tc>
                <w:tcPr>
                  <w:tcW w:w="708" w:type="pct"/>
                  <w:vAlign w:val="center"/>
                </w:tcPr>
                <w:p w14:paraId="3146EE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生态</w:t>
                  </w:r>
                </w:p>
              </w:tc>
              <w:tc>
                <w:tcPr>
                  <w:tcW w:w="2399" w:type="pct"/>
                  <w:vAlign w:val="center"/>
                </w:tcPr>
                <w:p w14:paraId="5B869C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水土保持措施</w:t>
                  </w:r>
                </w:p>
              </w:tc>
              <w:tc>
                <w:tcPr>
                  <w:tcW w:w="1079" w:type="pct"/>
                  <w:vAlign w:val="center"/>
                </w:tcPr>
                <w:p w14:paraId="06B246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200</w:t>
                  </w:r>
                </w:p>
              </w:tc>
            </w:tr>
            <w:tr w14:paraId="5207A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shd w:val="clear" w:color="auto" w:fill="auto"/>
                  <w:vAlign w:val="center"/>
                </w:tcPr>
                <w:p w14:paraId="53472C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olor w:val="FF0000"/>
                      <w:szCs w:val="21"/>
                    </w:rPr>
                    <w:t>6</w:t>
                  </w:r>
                </w:p>
              </w:tc>
              <w:tc>
                <w:tcPr>
                  <w:tcW w:w="373" w:type="pct"/>
                  <w:vMerge w:val="restart"/>
                  <w:vAlign w:val="center"/>
                </w:tcPr>
                <w:p w14:paraId="56FC1D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运行期</w:t>
                  </w:r>
                </w:p>
              </w:tc>
              <w:tc>
                <w:tcPr>
                  <w:tcW w:w="708" w:type="pct"/>
                  <w:vAlign w:val="center"/>
                </w:tcPr>
                <w:p w14:paraId="689F6A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水土保持</w:t>
                  </w:r>
                </w:p>
              </w:tc>
              <w:tc>
                <w:tcPr>
                  <w:tcW w:w="2399" w:type="pct"/>
                  <w:vAlign w:val="center"/>
                </w:tcPr>
                <w:p w14:paraId="4F7ECB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土地整治、临时防护等措施</w:t>
                  </w:r>
                </w:p>
              </w:tc>
              <w:tc>
                <w:tcPr>
                  <w:tcW w:w="1079" w:type="pct"/>
                  <w:vAlign w:val="center"/>
                </w:tcPr>
                <w:p w14:paraId="4A928E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270</w:t>
                  </w:r>
                </w:p>
              </w:tc>
            </w:tr>
            <w:tr w14:paraId="73538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shd w:val="clear" w:color="auto" w:fill="auto"/>
                  <w:vAlign w:val="center"/>
                </w:tcPr>
                <w:p w14:paraId="41D682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olor w:val="FF0000"/>
                      <w:szCs w:val="21"/>
                    </w:rPr>
                    <w:t>7</w:t>
                  </w:r>
                </w:p>
              </w:tc>
              <w:tc>
                <w:tcPr>
                  <w:tcW w:w="373" w:type="pct"/>
                  <w:vMerge w:val="continue"/>
                  <w:vAlign w:val="center"/>
                </w:tcPr>
                <w:p w14:paraId="56DA8C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p>
              </w:tc>
              <w:tc>
                <w:tcPr>
                  <w:tcW w:w="708" w:type="pct"/>
                  <w:vAlign w:val="center"/>
                </w:tcPr>
                <w:p w14:paraId="0980B6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生态恢复</w:t>
                  </w:r>
                </w:p>
              </w:tc>
              <w:tc>
                <w:tcPr>
                  <w:tcW w:w="2399" w:type="pct"/>
                  <w:vAlign w:val="center"/>
                </w:tcPr>
                <w:p w14:paraId="74B63A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植被恢复</w:t>
                  </w:r>
                </w:p>
              </w:tc>
              <w:tc>
                <w:tcPr>
                  <w:tcW w:w="1079" w:type="pct"/>
                  <w:vAlign w:val="center"/>
                </w:tcPr>
                <w:p w14:paraId="47D35B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230</w:t>
                  </w:r>
                </w:p>
              </w:tc>
            </w:tr>
            <w:tr w14:paraId="5013D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shd w:val="clear" w:color="auto" w:fill="auto"/>
                  <w:vAlign w:val="center"/>
                </w:tcPr>
                <w:p w14:paraId="6B3D43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olor w:val="FF0000"/>
                      <w:szCs w:val="21"/>
                    </w:rPr>
                    <w:t>8</w:t>
                  </w:r>
                </w:p>
              </w:tc>
              <w:tc>
                <w:tcPr>
                  <w:tcW w:w="373" w:type="pct"/>
                  <w:vMerge w:val="continue"/>
                  <w:vAlign w:val="center"/>
                </w:tcPr>
                <w:p w14:paraId="6F809C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p>
              </w:tc>
              <w:tc>
                <w:tcPr>
                  <w:tcW w:w="708" w:type="pct"/>
                  <w:vAlign w:val="center"/>
                </w:tcPr>
                <w:p w14:paraId="410ED1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电磁</w:t>
                  </w:r>
                </w:p>
              </w:tc>
              <w:tc>
                <w:tcPr>
                  <w:tcW w:w="2399" w:type="pct"/>
                  <w:vAlign w:val="center"/>
                </w:tcPr>
                <w:p w14:paraId="38C827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站内合理布局，进行电磁警示、教育</w:t>
                  </w:r>
                </w:p>
              </w:tc>
              <w:tc>
                <w:tcPr>
                  <w:tcW w:w="1079" w:type="pct"/>
                  <w:vAlign w:val="center"/>
                </w:tcPr>
                <w:p w14:paraId="0A3172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eastAsia="宋体"/>
                      <w:color w:val="FF0000"/>
                      <w:szCs w:val="21"/>
                      <w:lang w:val="en-US" w:eastAsia="zh-CN"/>
                    </w:rPr>
                    <w:t>8</w:t>
                  </w:r>
                </w:p>
              </w:tc>
            </w:tr>
            <w:tr w14:paraId="44567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shd w:val="clear" w:color="auto" w:fill="auto"/>
                  <w:vAlign w:val="center"/>
                </w:tcPr>
                <w:p w14:paraId="59C6C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olor w:val="FF0000"/>
                      <w:szCs w:val="21"/>
                      <w:lang w:val="en-US" w:eastAsia="zh-CN"/>
                    </w:rPr>
                    <w:t>9</w:t>
                  </w:r>
                </w:p>
              </w:tc>
              <w:tc>
                <w:tcPr>
                  <w:tcW w:w="373" w:type="pct"/>
                  <w:vMerge w:val="continue"/>
                  <w:vAlign w:val="center"/>
                </w:tcPr>
                <w:p w14:paraId="335640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p>
              </w:tc>
              <w:tc>
                <w:tcPr>
                  <w:tcW w:w="708" w:type="pct"/>
                  <w:vAlign w:val="center"/>
                </w:tcPr>
                <w:p w14:paraId="3845A1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噪声</w:t>
                  </w:r>
                </w:p>
              </w:tc>
              <w:tc>
                <w:tcPr>
                  <w:tcW w:w="2399" w:type="pct"/>
                  <w:vAlign w:val="center"/>
                </w:tcPr>
                <w:p w14:paraId="24D7AD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选用低噪声设备、距离衰减</w:t>
                  </w:r>
                </w:p>
              </w:tc>
              <w:tc>
                <w:tcPr>
                  <w:tcW w:w="1079" w:type="pct"/>
                  <w:vAlign w:val="center"/>
                </w:tcPr>
                <w:p w14:paraId="07C2FE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10</w:t>
                  </w:r>
                </w:p>
              </w:tc>
            </w:tr>
            <w:tr w14:paraId="1694E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9" w:type="pct"/>
                  <w:vAlign w:val="center"/>
                </w:tcPr>
                <w:p w14:paraId="2300BF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eastAsia="宋体"/>
                      <w:color w:val="FF0000"/>
                      <w:szCs w:val="21"/>
                      <w:lang w:val="en-US" w:eastAsia="zh-CN"/>
                    </w:rPr>
                    <w:t>10</w:t>
                  </w:r>
                </w:p>
              </w:tc>
              <w:tc>
                <w:tcPr>
                  <w:tcW w:w="373" w:type="pct"/>
                  <w:vMerge w:val="continue"/>
                  <w:vAlign w:val="center"/>
                </w:tcPr>
                <w:p w14:paraId="6F1FCE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p>
              </w:tc>
              <w:tc>
                <w:tcPr>
                  <w:tcW w:w="708" w:type="pct"/>
                  <w:vAlign w:val="center"/>
                </w:tcPr>
                <w:p w14:paraId="780759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w:t>
                  </w:r>
                </w:p>
              </w:tc>
              <w:tc>
                <w:tcPr>
                  <w:tcW w:w="2399" w:type="pct"/>
                  <w:vAlign w:val="center"/>
                </w:tcPr>
                <w:p w14:paraId="26F738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eastAsia"/>
                      <w:color w:val="FF0000"/>
                      <w:szCs w:val="21"/>
                    </w:rPr>
                    <w:t>环境管理与监测费用</w:t>
                  </w:r>
                </w:p>
              </w:tc>
              <w:tc>
                <w:tcPr>
                  <w:tcW w:w="1079" w:type="pct"/>
                  <w:vAlign w:val="center"/>
                </w:tcPr>
                <w:p w14:paraId="594B14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34</w:t>
                  </w:r>
                </w:p>
              </w:tc>
            </w:tr>
            <w:tr w14:paraId="2E5CA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3920" w:type="pct"/>
                  <w:gridSpan w:val="4"/>
                  <w:vAlign w:val="center"/>
                </w:tcPr>
                <w:p w14:paraId="608A26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Cs w:val="21"/>
                    </w:rPr>
                  </w:pPr>
                  <w:r>
                    <w:rPr>
                      <w:rFonts w:hint="default"/>
                      <w:color w:val="FF0000"/>
                      <w:szCs w:val="21"/>
                    </w:rPr>
                    <w:t>合计</w:t>
                  </w:r>
                </w:p>
              </w:tc>
              <w:tc>
                <w:tcPr>
                  <w:tcW w:w="1079" w:type="pct"/>
                  <w:vAlign w:val="center"/>
                </w:tcPr>
                <w:p w14:paraId="0B99A1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FF0000"/>
                      <w:szCs w:val="21"/>
                      <w:lang w:val="en-US" w:eastAsia="zh-CN"/>
                    </w:rPr>
                  </w:pPr>
                  <w:r>
                    <w:rPr>
                      <w:rFonts w:hint="eastAsia"/>
                      <w:color w:val="FF0000"/>
                      <w:szCs w:val="21"/>
                      <w:lang w:val="en-US" w:eastAsia="zh-CN"/>
                    </w:rPr>
                    <w:t>958</w:t>
                  </w:r>
                </w:p>
              </w:tc>
            </w:tr>
          </w:tbl>
          <w:p w14:paraId="21EE80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宋体" w:hAnsi="宋体" w:cs="宋体"/>
                <w:bCs/>
                <w:color w:val="000000" w:themeColor="text1"/>
                <w:spacing w:val="10"/>
                <w:sz w:val="24"/>
                <w14:textFill>
                  <w14:solidFill>
                    <w14:schemeClr w14:val="tx1"/>
                  </w14:solidFill>
                </w14:textFill>
              </w:rPr>
            </w:pPr>
          </w:p>
        </w:tc>
      </w:tr>
    </w:tbl>
    <w:p w14:paraId="559A1726">
      <w:pPr>
        <w:rPr>
          <w:sz w:val="24"/>
        </w:rPr>
        <w:sectPr>
          <w:pgSz w:w="11907" w:h="16840"/>
          <w:pgMar w:top="1440" w:right="1797" w:bottom="1440" w:left="1797" w:header="851" w:footer="1077" w:gutter="0"/>
          <w:pgBorders>
            <w:top w:val="none" w:sz="0" w:space="0"/>
            <w:left w:val="none" w:sz="0" w:space="0"/>
            <w:bottom w:val="none" w:sz="0" w:space="0"/>
            <w:right w:val="none" w:sz="0" w:space="0"/>
          </w:pgBorders>
          <w:cols w:space="720" w:num="1"/>
          <w:docGrid w:linePitch="312" w:charSpace="0"/>
        </w:sectPr>
      </w:pPr>
    </w:p>
    <w:p w14:paraId="162978DD">
      <w:pPr>
        <w:pStyle w:val="25"/>
        <w:jc w:val="center"/>
        <w:outlineLvl w:val="0"/>
        <w:rPr>
          <w:rFonts w:ascii="黑体" w:hAnsi="黑体" w:eastAsia="黑体"/>
          <w:snapToGrid w:val="0"/>
          <w:sz w:val="30"/>
          <w:szCs w:val="30"/>
        </w:rPr>
      </w:pPr>
      <w:bookmarkStart w:id="20" w:name="_Toc11757"/>
      <w:bookmarkStart w:id="21" w:name="_Toc29149"/>
      <w:bookmarkStart w:id="22" w:name="_Toc6656"/>
      <w:r>
        <w:rPr>
          <w:rFonts w:hint="eastAsia" w:ascii="黑体" w:hAnsi="黑体" w:eastAsia="黑体"/>
          <w:snapToGrid w:val="0"/>
          <w:sz w:val="30"/>
          <w:szCs w:val="30"/>
        </w:rPr>
        <w:t>六、生态环境保护措施监督检查清单</w:t>
      </w:r>
      <w:bookmarkEnd w:id="20"/>
      <w:bookmarkEnd w:id="21"/>
      <w:bookmarkEnd w:id="22"/>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2"/>
        <w:gridCol w:w="1907"/>
        <w:gridCol w:w="1923"/>
        <w:gridCol w:w="1560"/>
        <w:gridCol w:w="1750"/>
      </w:tblGrid>
      <w:tr w14:paraId="25C32B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80" w:hRule="atLeast"/>
          <w:jc w:val="center"/>
        </w:trPr>
        <w:tc>
          <w:tcPr>
            <w:tcW w:w="810" w:type="pct"/>
            <w:vMerge w:val="restart"/>
            <w:tcBorders>
              <w:tl2br w:val="single" w:color="auto" w:sz="4" w:space="0"/>
            </w:tcBorders>
          </w:tcPr>
          <w:p w14:paraId="4683D22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p>
          <w:p w14:paraId="4B37C3B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Cs w:val="21"/>
                <w:lang w:val="en-US" w:eastAsia="zh-CN"/>
                <w14:textFill>
                  <w14:solidFill>
                    <w14:schemeClr w14:val="tx1"/>
                  </w14:solidFill>
                </w14:textFill>
              </w:rPr>
              <w:t>内容</w:t>
            </w:r>
          </w:p>
          <w:p w14:paraId="73E7B63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p>
          <w:p w14:paraId="6E1D337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p>
          <w:p w14:paraId="1065987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要素</w:t>
            </w:r>
          </w:p>
        </w:tc>
        <w:tc>
          <w:tcPr>
            <w:tcW w:w="2247" w:type="pct"/>
            <w:gridSpan w:val="2"/>
            <w:vAlign w:val="center"/>
          </w:tcPr>
          <w:p w14:paraId="7FBA5EF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施工期</w:t>
            </w:r>
          </w:p>
        </w:tc>
        <w:tc>
          <w:tcPr>
            <w:tcW w:w="1942" w:type="pct"/>
            <w:gridSpan w:val="2"/>
            <w:vAlign w:val="center"/>
          </w:tcPr>
          <w:p w14:paraId="74B98F3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运营期</w:t>
            </w:r>
          </w:p>
        </w:tc>
      </w:tr>
      <w:tr w14:paraId="169A1D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Merge w:val="continue"/>
          </w:tcPr>
          <w:p w14:paraId="7CA0024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p>
        </w:tc>
        <w:tc>
          <w:tcPr>
            <w:tcW w:w="1118" w:type="pct"/>
            <w:vAlign w:val="center"/>
          </w:tcPr>
          <w:p w14:paraId="5B7E439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环境保护措施</w:t>
            </w:r>
          </w:p>
        </w:tc>
        <w:tc>
          <w:tcPr>
            <w:tcW w:w="1128" w:type="pct"/>
            <w:vAlign w:val="center"/>
          </w:tcPr>
          <w:p w14:paraId="772E5E3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验收要求</w:t>
            </w:r>
          </w:p>
        </w:tc>
        <w:tc>
          <w:tcPr>
            <w:tcW w:w="915" w:type="pct"/>
            <w:vAlign w:val="center"/>
          </w:tcPr>
          <w:p w14:paraId="54C8F93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环境保护措施</w:t>
            </w:r>
          </w:p>
        </w:tc>
        <w:tc>
          <w:tcPr>
            <w:tcW w:w="1026" w:type="pct"/>
            <w:vAlign w:val="center"/>
          </w:tcPr>
          <w:p w14:paraId="21263D3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验收要求</w:t>
            </w:r>
          </w:p>
        </w:tc>
      </w:tr>
      <w:tr w14:paraId="2A9CB2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2B6EC089">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陆生生态</w:t>
            </w:r>
          </w:p>
        </w:tc>
        <w:tc>
          <w:tcPr>
            <w:tcW w:w="1118" w:type="pct"/>
            <w:vAlign w:val="center"/>
          </w:tcPr>
          <w:p w14:paraId="0243BAEC">
            <w:pPr>
              <w:keepNext w:val="0"/>
              <w:keepLines w:val="0"/>
              <w:suppressLineNumbers w:val="0"/>
              <w:adjustRightInd w:val="0"/>
              <w:snapToGrid w:val="0"/>
              <w:spacing w:before="0" w:beforeAutospacing="0" w:after="0" w:afterAutospacing="0"/>
              <w:ind w:left="0" w:right="0"/>
              <w:rPr>
                <w:rFonts w:hint="default" w:eastAsia="宋体"/>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临时占地在施工前，对表土进行分层剥离，分层堆放，施工结束后，分层回填，进行植被恢复</w:t>
            </w:r>
            <w:r>
              <w:rPr>
                <w:rFonts w:hint="eastAsia" w:cs="Times New Roman"/>
                <w:color w:val="000000" w:themeColor="text1"/>
                <w:szCs w:val="21"/>
                <w:lang w:val="en-US" w:eastAsia="zh-CN"/>
                <w14:textFill>
                  <w14:solidFill>
                    <w14:schemeClr w14:val="tx1"/>
                  </w14:solidFill>
                </w14:textFill>
              </w:rPr>
              <w:t>，临时占用林地砍伐树木，对挖方进行</w:t>
            </w:r>
            <w:r>
              <w:rPr>
                <w:rFonts w:hint="eastAsia" w:ascii="Times New Roman" w:hAnsi="Times New Roman" w:eastAsia="宋体" w:cs="Times New Roman"/>
                <w:color w:val="000000" w:themeColor="text1"/>
                <w:szCs w:val="21"/>
                <w:lang w:val="en-US" w:eastAsia="zh-CN"/>
                <w14:textFill>
                  <w14:solidFill>
                    <w14:schemeClr w14:val="tx1"/>
                  </w14:solidFill>
                </w14:textFill>
              </w:rPr>
              <w:t>临时堆土以及建筑材料应集中堆放并苫盖。施工结束后平整施工扰动区、临时占地恢复植被。施工过程中尽量做到土方平衡、减少碾压、占用土地量。不在保护区内设置施工生活用地。</w:t>
            </w:r>
          </w:p>
        </w:tc>
        <w:tc>
          <w:tcPr>
            <w:tcW w:w="1128" w:type="pct"/>
            <w:vAlign w:val="center"/>
          </w:tcPr>
          <w:p w14:paraId="7EC8B12A">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s="宋体"/>
                <w:color w:val="000000" w:themeColor="text1"/>
                <w:szCs w:val="21"/>
                <w14:textFill>
                  <w14:solidFill>
                    <w14:schemeClr w14:val="tx1"/>
                  </w14:solidFill>
                </w14:textFill>
              </w:rPr>
              <w:t>在施工结束后对建设用地周围开挖土地进行回填、平覆等生态恢复工作，及时对绿化用地进行绿植栽种等绿化措施，</w:t>
            </w:r>
            <w:r>
              <w:rPr>
                <w:rFonts w:hint="eastAsia" w:cs="宋体"/>
                <w:color w:val="000000" w:themeColor="text1"/>
                <w:szCs w:val="21"/>
                <w:lang w:val="en-US" w:eastAsia="zh-CN"/>
                <w14:textFill>
                  <w14:solidFill>
                    <w14:schemeClr w14:val="tx1"/>
                  </w14:solidFill>
                </w14:textFill>
              </w:rPr>
              <w:t>对林地进行植被恢复（草籽），</w:t>
            </w:r>
            <w:r>
              <w:rPr>
                <w:rFonts w:hint="default" w:cs="宋体"/>
                <w:color w:val="000000" w:themeColor="text1"/>
                <w:szCs w:val="21"/>
                <w14:textFill>
                  <w14:solidFill>
                    <w14:schemeClr w14:val="tx1"/>
                  </w14:solidFill>
                </w14:textFill>
              </w:rPr>
              <w:t>及时恢复施工期临时征用的道路和用地，并进行绿化和生态恢复处理。</w:t>
            </w:r>
          </w:p>
        </w:tc>
        <w:tc>
          <w:tcPr>
            <w:tcW w:w="915" w:type="pct"/>
            <w:vAlign w:val="center"/>
          </w:tcPr>
          <w:p w14:paraId="228BDD50">
            <w:pPr>
              <w:keepNext w:val="0"/>
              <w:keepLines w:val="0"/>
              <w:suppressLineNumbers w:val="0"/>
              <w:adjustRightInd w:val="0"/>
              <w:snapToGrid w:val="0"/>
              <w:spacing w:before="0" w:beforeAutospacing="0" w:after="0" w:afterAutospacing="0"/>
              <w:ind w:left="0" w:leftChars="0" w:right="0" w:rightChars="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跟踪生态保护与恢复效果。</w:t>
            </w:r>
          </w:p>
        </w:tc>
        <w:tc>
          <w:tcPr>
            <w:tcW w:w="1026" w:type="pct"/>
            <w:vAlign w:val="center"/>
          </w:tcPr>
          <w:p w14:paraId="55FE58A3">
            <w:pPr>
              <w:keepNext w:val="0"/>
              <w:keepLines w:val="0"/>
              <w:suppressLineNumbers w:val="0"/>
              <w:adjustRightInd w:val="0"/>
              <w:snapToGrid w:val="0"/>
              <w:spacing w:before="0" w:beforeAutospacing="0" w:after="0" w:afterAutospacing="0"/>
              <w:ind w:left="0" w:leftChars="0" w:right="0" w:rightChars="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跟踪生态保护与恢复效果。</w:t>
            </w:r>
          </w:p>
        </w:tc>
      </w:tr>
      <w:tr w14:paraId="2D6330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710486CE">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水生生态</w:t>
            </w:r>
          </w:p>
        </w:tc>
        <w:tc>
          <w:tcPr>
            <w:tcW w:w="1118" w:type="pct"/>
            <w:vAlign w:val="center"/>
          </w:tcPr>
          <w:p w14:paraId="1182157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128" w:type="pct"/>
            <w:vAlign w:val="center"/>
          </w:tcPr>
          <w:p w14:paraId="5E94F00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915" w:type="pct"/>
            <w:vAlign w:val="center"/>
          </w:tcPr>
          <w:p w14:paraId="7DA9640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026" w:type="pct"/>
            <w:vAlign w:val="center"/>
          </w:tcPr>
          <w:p w14:paraId="2C7D08D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r>
      <w:tr w14:paraId="6F96AE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782D9103">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地表水环境</w:t>
            </w:r>
          </w:p>
        </w:tc>
        <w:tc>
          <w:tcPr>
            <w:tcW w:w="1118" w:type="pct"/>
            <w:vAlign w:val="center"/>
          </w:tcPr>
          <w:p w14:paraId="4FD72DED">
            <w:pPr>
              <w:keepNext w:val="0"/>
              <w:keepLines w:val="0"/>
              <w:suppressLineNumbers w:val="0"/>
              <w:adjustRightInd w:val="0"/>
              <w:snapToGrid w:val="0"/>
              <w:spacing w:before="0" w:beforeAutospacing="0" w:after="0" w:afterAutospacing="0"/>
              <w:ind w:left="0" w:right="0"/>
              <w:rPr>
                <w:rFonts w:hint="default"/>
                <w:color w:val="FF0000"/>
                <w:szCs w:val="21"/>
              </w:rPr>
            </w:pPr>
            <w:r>
              <w:rPr>
                <w:rFonts w:hint="eastAsia"/>
                <w:color w:val="FF0000"/>
                <w:szCs w:val="21"/>
              </w:rPr>
              <w:t>变电站扩建工程施工人员日常生活所产生的污水排入变电站现有</w:t>
            </w:r>
            <w:r>
              <w:rPr>
                <w:rFonts w:hint="eastAsia"/>
                <w:color w:val="FF0000"/>
                <w:szCs w:val="21"/>
                <w:lang w:val="en-US" w:eastAsia="zh-CN"/>
              </w:rPr>
              <w:t>防渗化粪池，由市政部门定期清掏</w:t>
            </w:r>
            <w:r>
              <w:rPr>
                <w:rFonts w:hint="eastAsia"/>
                <w:color w:val="FF0000"/>
                <w:szCs w:val="21"/>
              </w:rPr>
              <w:t>；输电线路施工人员产生的生活污水依托当地村庄</w:t>
            </w:r>
            <w:r>
              <w:rPr>
                <w:rFonts w:hint="eastAsia"/>
                <w:color w:val="FF0000"/>
                <w:szCs w:val="21"/>
                <w:lang w:val="en-US" w:eastAsia="zh-CN"/>
              </w:rPr>
              <w:t>现有旱厕</w:t>
            </w:r>
            <w:r>
              <w:rPr>
                <w:rFonts w:hint="eastAsia"/>
                <w:color w:val="FF0000"/>
                <w:szCs w:val="21"/>
              </w:rPr>
              <w:t>；施工废水</w:t>
            </w:r>
            <w:r>
              <w:rPr>
                <w:rFonts w:hint="eastAsia"/>
                <w:color w:val="FF0000"/>
                <w:szCs w:val="21"/>
                <w:lang w:val="en-US" w:eastAsia="zh-CN"/>
              </w:rPr>
              <w:t>经</w:t>
            </w:r>
            <w:r>
              <w:rPr>
                <w:rFonts w:hint="eastAsia"/>
                <w:color w:val="FF0000"/>
                <w:szCs w:val="21"/>
              </w:rPr>
              <w:t>沉淀</w:t>
            </w:r>
            <w:r>
              <w:rPr>
                <w:rFonts w:hint="eastAsia"/>
                <w:color w:val="FF0000"/>
                <w:szCs w:val="21"/>
                <w:lang w:val="en-US" w:eastAsia="zh-CN"/>
              </w:rPr>
              <w:t>池沉淀后</w:t>
            </w:r>
            <w:r>
              <w:rPr>
                <w:rFonts w:hint="eastAsia"/>
                <w:color w:val="FF0000"/>
                <w:szCs w:val="21"/>
              </w:rPr>
              <w:t>后回用。</w:t>
            </w:r>
          </w:p>
        </w:tc>
        <w:tc>
          <w:tcPr>
            <w:tcW w:w="1128" w:type="pct"/>
            <w:vAlign w:val="center"/>
          </w:tcPr>
          <w:p w14:paraId="336E6521">
            <w:pPr>
              <w:keepNext w:val="0"/>
              <w:keepLines w:val="0"/>
              <w:suppressLineNumbers w:val="0"/>
              <w:spacing w:before="0" w:beforeAutospacing="0" w:after="0" w:afterAutospacing="0"/>
              <w:ind w:left="0" w:leftChars="0" w:right="0" w:rightChars="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生活污水不外排，施工废水回用率100%。</w:t>
            </w:r>
          </w:p>
        </w:tc>
        <w:tc>
          <w:tcPr>
            <w:tcW w:w="915" w:type="pct"/>
            <w:vAlign w:val="center"/>
          </w:tcPr>
          <w:p w14:paraId="7DDD78D4">
            <w:pPr>
              <w:keepNext w:val="0"/>
              <w:keepLines w:val="0"/>
              <w:suppressLineNumbers w:val="0"/>
              <w:spacing w:before="0" w:beforeAutospacing="0" w:after="0" w:afterAutospacing="0"/>
              <w:ind w:left="0" w:leftChars="0" w:right="0" w:rightChars="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本项目运行期无新增生活污水排放，现有生活污水由化粪池截留沉淀后定期清掏。</w:t>
            </w:r>
          </w:p>
        </w:tc>
        <w:tc>
          <w:tcPr>
            <w:tcW w:w="1026" w:type="pct"/>
            <w:vAlign w:val="center"/>
          </w:tcPr>
          <w:p w14:paraId="0A8214B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r>
      <w:tr w14:paraId="74D3B7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02928B5A">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地下水及土壤环境</w:t>
            </w:r>
          </w:p>
        </w:tc>
        <w:tc>
          <w:tcPr>
            <w:tcW w:w="1118" w:type="pct"/>
            <w:vAlign w:val="center"/>
          </w:tcPr>
          <w:p w14:paraId="594BEF7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128" w:type="pct"/>
            <w:vAlign w:val="center"/>
          </w:tcPr>
          <w:p w14:paraId="1269440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915" w:type="pct"/>
            <w:vAlign w:val="center"/>
          </w:tcPr>
          <w:p w14:paraId="35D86C8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026" w:type="pct"/>
            <w:vAlign w:val="center"/>
          </w:tcPr>
          <w:p w14:paraId="1C78DAA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r>
      <w:tr w14:paraId="33E836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33AB848C">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声环境</w:t>
            </w:r>
          </w:p>
        </w:tc>
        <w:tc>
          <w:tcPr>
            <w:tcW w:w="1118" w:type="pct"/>
            <w:vAlign w:val="center"/>
          </w:tcPr>
          <w:p w14:paraId="043BC80E">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加强施工期的环境管理，合理安排施工时间，避免夜间施工。</w:t>
            </w:r>
          </w:p>
        </w:tc>
        <w:tc>
          <w:tcPr>
            <w:tcW w:w="1128" w:type="pct"/>
            <w:vAlign w:val="center"/>
          </w:tcPr>
          <w:p w14:paraId="58B3F29B">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default" w:ascii="Times New Roman" w:hAnsi="Times New Roman" w:eastAsia="宋体" w:cs="Times New Roman"/>
                <w:color w:val="auto"/>
                <w:kern w:val="2"/>
                <w:sz w:val="21"/>
                <w:szCs w:val="21"/>
              </w:rPr>
              <w:t>施工场界噪声满足《建筑施工场界环境噪声排放标准》（GB</w:t>
            </w:r>
            <w:r>
              <w:rPr>
                <w:rFonts w:hint="eastAsia" w:ascii="Times New Roman" w:hAnsi="Times New Roman" w:eastAsia="宋体" w:cs="Times New Roman"/>
                <w:color w:val="auto"/>
                <w:kern w:val="2"/>
                <w:sz w:val="21"/>
                <w:szCs w:val="21"/>
                <w:lang w:val="en-US" w:eastAsia="zh-CN"/>
              </w:rPr>
              <w:t xml:space="preserve"> </w:t>
            </w:r>
            <w:r>
              <w:rPr>
                <w:rFonts w:hint="default" w:ascii="Times New Roman" w:hAnsi="Times New Roman" w:eastAsia="宋体" w:cs="Times New Roman"/>
                <w:color w:val="auto"/>
                <w:kern w:val="2"/>
                <w:sz w:val="21"/>
                <w:szCs w:val="21"/>
              </w:rPr>
              <w:t>12523</w:t>
            </w:r>
            <w:r>
              <w:rPr>
                <w:rFonts w:hint="eastAsia" w:ascii="Times New Roman" w:hAnsi="Times New Roman" w:eastAsia="宋体" w:cs="Times New Roman"/>
                <w:color w:val="auto"/>
                <w:kern w:val="2"/>
                <w:sz w:val="21"/>
                <w:szCs w:val="21"/>
                <w:lang w:val="en-US" w:eastAsia="zh-CN"/>
              </w:rPr>
              <w:t>-</w:t>
            </w:r>
            <w:r>
              <w:rPr>
                <w:rFonts w:hint="default" w:ascii="Times New Roman" w:hAnsi="Times New Roman" w:eastAsia="宋体" w:cs="Times New Roman"/>
                <w:color w:val="auto"/>
                <w:kern w:val="2"/>
                <w:sz w:val="21"/>
                <w:szCs w:val="21"/>
              </w:rPr>
              <w:t>2011）</w:t>
            </w:r>
            <w:r>
              <w:rPr>
                <w:rFonts w:hint="eastAsia" w:ascii="Times New Roman" w:hAnsi="Times New Roman" w:eastAsia="宋体" w:cs="Times New Roman"/>
                <w:color w:val="auto"/>
                <w:kern w:val="2"/>
                <w:sz w:val="21"/>
                <w:szCs w:val="21"/>
                <w:lang w:val="en-US" w:eastAsia="zh-CN"/>
              </w:rPr>
              <w:t>限值要求</w:t>
            </w:r>
            <w:r>
              <w:rPr>
                <w:rFonts w:hint="eastAsia" w:ascii="Times New Roman" w:hAnsi="Times New Roman" w:eastAsia="宋体" w:cs="Times New Roman"/>
                <w:color w:val="auto"/>
                <w:kern w:val="2"/>
                <w:sz w:val="21"/>
                <w:szCs w:val="21"/>
                <w:lang w:eastAsia="zh-CN"/>
              </w:rPr>
              <w:t>。</w:t>
            </w:r>
          </w:p>
        </w:tc>
        <w:tc>
          <w:tcPr>
            <w:tcW w:w="915" w:type="pct"/>
            <w:vAlign w:val="center"/>
          </w:tcPr>
          <w:p w14:paraId="389B0F2B">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采用低噪设备，合理布局。</w:t>
            </w:r>
          </w:p>
        </w:tc>
        <w:tc>
          <w:tcPr>
            <w:tcW w:w="1026" w:type="pct"/>
            <w:vAlign w:val="center"/>
          </w:tcPr>
          <w:p w14:paraId="5D3135C3">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变电站厂界噪声满足《工业企业厂界环境噪声排放标准》（GB 12348-2008）中</w:t>
            </w:r>
            <w:r>
              <w:rPr>
                <w:rFonts w:hint="eastAsia" w:cs="宋体"/>
                <w:color w:val="000000" w:themeColor="text1"/>
                <w:szCs w:val="21"/>
                <w:lang w:val="en-US" w:eastAsia="zh-CN"/>
                <w14:textFill>
                  <w14:solidFill>
                    <w14:schemeClr w14:val="tx1"/>
                  </w14:solidFill>
                </w14:textFill>
              </w:rPr>
              <w:t>2</w:t>
            </w:r>
            <w:r>
              <w:rPr>
                <w:rFonts w:hint="eastAsia" w:cs="宋体"/>
                <w:color w:val="000000" w:themeColor="text1"/>
                <w:szCs w:val="21"/>
                <w14:textFill>
                  <w14:solidFill>
                    <w14:schemeClr w14:val="tx1"/>
                  </w14:solidFill>
                </w14:textFill>
              </w:rPr>
              <w:t>类标准限值，</w:t>
            </w:r>
            <w:r>
              <w:rPr>
                <w:rFonts w:hint="eastAsia" w:cs="宋体"/>
                <w:color w:val="000000" w:themeColor="text1"/>
                <w:szCs w:val="21"/>
                <w:lang w:val="en-US" w:eastAsia="zh-CN"/>
                <w14:textFill>
                  <w14:solidFill>
                    <w14:schemeClr w14:val="tx1"/>
                  </w14:solidFill>
                </w14:textFill>
              </w:rPr>
              <w:t>声环境敏感目标</w:t>
            </w:r>
            <w:r>
              <w:rPr>
                <w:rFonts w:hint="eastAsia" w:cs="宋体"/>
                <w:color w:val="000000" w:themeColor="text1"/>
                <w:szCs w:val="21"/>
                <w14:textFill>
                  <w14:solidFill>
                    <w14:schemeClr w14:val="tx1"/>
                  </w14:solidFill>
                </w14:textFill>
              </w:rPr>
              <w:t>满足《声环境质量标准》（GB 3096-2008）中</w:t>
            </w:r>
            <w:r>
              <w:rPr>
                <w:rFonts w:hint="eastAsia" w:cs="宋体"/>
                <w:color w:val="000000" w:themeColor="text1"/>
                <w:szCs w:val="21"/>
                <w:lang w:val="en-US" w:eastAsia="zh-CN"/>
                <w14:textFill>
                  <w14:solidFill>
                    <w14:schemeClr w14:val="tx1"/>
                  </w14:solidFill>
                </w14:textFill>
              </w:rPr>
              <w:t>2</w:t>
            </w:r>
            <w:r>
              <w:rPr>
                <w:rFonts w:hint="eastAsia" w:cs="宋体"/>
                <w:color w:val="000000" w:themeColor="text1"/>
                <w:szCs w:val="21"/>
                <w14:textFill>
                  <w14:solidFill>
                    <w14:schemeClr w14:val="tx1"/>
                  </w14:solidFill>
                </w14:textFill>
              </w:rPr>
              <w:t>类</w:t>
            </w:r>
            <w:r>
              <w:rPr>
                <w:rFonts w:hint="eastAsia" w:cs="宋体"/>
                <w:color w:val="000000" w:themeColor="text1"/>
                <w:szCs w:val="21"/>
                <w:lang w:val="en-US" w:eastAsia="zh-CN"/>
                <w14:textFill>
                  <w14:solidFill>
                    <w14:schemeClr w14:val="tx1"/>
                  </w14:solidFill>
                </w14:textFill>
              </w:rPr>
              <w:t>及4a类</w:t>
            </w:r>
            <w:r>
              <w:rPr>
                <w:rFonts w:hint="eastAsia" w:cs="宋体"/>
                <w:color w:val="000000" w:themeColor="text1"/>
                <w:szCs w:val="21"/>
                <w14:textFill>
                  <w14:solidFill>
                    <w14:schemeClr w14:val="tx1"/>
                  </w14:solidFill>
                </w14:textFill>
              </w:rPr>
              <w:t>声环境功能区</w:t>
            </w:r>
            <w:r>
              <w:rPr>
                <w:rFonts w:hint="eastAsia" w:cs="宋体"/>
                <w:color w:val="000000" w:themeColor="text1"/>
                <w:szCs w:val="21"/>
                <w:lang w:val="en-US" w:eastAsia="zh-CN"/>
                <w14:textFill>
                  <w14:solidFill>
                    <w14:schemeClr w14:val="tx1"/>
                  </w14:solidFill>
                </w14:textFill>
              </w:rPr>
              <w:t>划</w:t>
            </w:r>
            <w:r>
              <w:rPr>
                <w:rFonts w:hint="eastAsia" w:cs="宋体"/>
                <w:color w:val="000000" w:themeColor="text1"/>
                <w:szCs w:val="21"/>
                <w14:textFill>
                  <w14:solidFill>
                    <w14:schemeClr w14:val="tx1"/>
                  </w14:solidFill>
                </w14:textFill>
              </w:rPr>
              <w:t>标准限值。</w:t>
            </w:r>
            <w:r>
              <w:rPr>
                <w:rFonts w:hint="eastAsia" w:cs="宋体"/>
                <w:color w:val="000000" w:themeColor="text1"/>
                <w:szCs w:val="21"/>
                <w:lang w:val="en-US" w:eastAsia="zh-CN"/>
                <w14:textFill>
                  <w14:solidFill>
                    <w14:schemeClr w14:val="tx1"/>
                  </w14:solidFill>
                </w14:textFill>
              </w:rPr>
              <w:t>改造</w:t>
            </w:r>
            <w:r>
              <w:rPr>
                <w:rFonts w:hint="eastAsia" w:cs="宋体"/>
                <w:color w:val="000000" w:themeColor="text1"/>
                <w:szCs w:val="21"/>
                <w14:textFill>
                  <w14:solidFill>
                    <w14:schemeClr w14:val="tx1"/>
                  </w14:solidFill>
                </w14:textFill>
              </w:rPr>
              <w:t>输电线路沿线区域满足《声环境质量标准》（GB 3096-2008）中</w:t>
            </w:r>
            <w:r>
              <w:rPr>
                <w:rFonts w:hint="eastAsia" w:cs="宋体"/>
                <w:color w:val="000000" w:themeColor="text1"/>
                <w:szCs w:val="21"/>
                <w:lang w:val="en-US" w:eastAsia="zh-CN"/>
                <w14:textFill>
                  <w14:solidFill>
                    <w14:schemeClr w14:val="tx1"/>
                  </w14:solidFill>
                </w14:textFill>
              </w:rPr>
              <w:t>2</w:t>
            </w:r>
            <w:r>
              <w:rPr>
                <w:rFonts w:hint="eastAsia" w:cs="宋体"/>
                <w:color w:val="000000" w:themeColor="text1"/>
                <w:szCs w:val="21"/>
                <w14:textFill>
                  <w14:solidFill>
                    <w14:schemeClr w14:val="tx1"/>
                  </w14:solidFill>
                </w14:textFill>
              </w:rPr>
              <w:t>类声环境功能区</w:t>
            </w:r>
            <w:r>
              <w:rPr>
                <w:rFonts w:hint="eastAsia" w:cs="宋体"/>
                <w:color w:val="000000" w:themeColor="text1"/>
                <w:szCs w:val="21"/>
                <w:lang w:val="en-US" w:eastAsia="zh-CN"/>
                <w14:textFill>
                  <w14:solidFill>
                    <w14:schemeClr w14:val="tx1"/>
                  </w14:solidFill>
                </w14:textFill>
              </w:rPr>
              <w:t>划</w:t>
            </w:r>
            <w:r>
              <w:rPr>
                <w:rFonts w:hint="eastAsia" w:cs="宋体"/>
                <w:color w:val="000000" w:themeColor="text1"/>
                <w:szCs w:val="21"/>
                <w14:textFill>
                  <w14:solidFill>
                    <w14:schemeClr w14:val="tx1"/>
                  </w14:solidFill>
                </w14:textFill>
              </w:rPr>
              <w:t>标准限值。</w:t>
            </w:r>
            <w:r>
              <w:rPr>
                <w:rFonts w:hint="eastAsia" w:cs="宋体"/>
                <w:color w:val="000000" w:themeColor="text1"/>
                <w:szCs w:val="21"/>
                <w:lang w:val="en-US" w:eastAsia="zh-CN"/>
                <w14:textFill>
                  <w14:solidFill>
                    <w14:schemeClr w14:val="tx1"/>
                  </w14:solidFill>
                </w14:textFill>
              </w:rPr>
              <w:t>拟建</w:t>
            </w:r>
            <w:r>
              <w:rPr>
                <w:rFonts w:hint="eastAsia" w:cs="宋体"/>
                <w:color w:val="000000" w:themeColor="text1"/>
                <w:szCs w:val="21"/>
                <w14:textFill>
                  <w14:solidFill>
                    <w14:schemeClr w14:val="tx1"/>
                  </w14:solidFill>
                </w14:textFill>
              </w:rPr>
              <w:t>输电线路沿线区域满足《声环境质量标准》（GB 3096-2008）中</w:t>
            </w:r>
            <w:r>
              <w:rPr>
                <w:rFonts w:hint="eastAsia" w:cs="宋体"/>
                <w:color w:val="000000" w:themeColor="text1"/>
                <w:szCs w:val="21"/>
                <w:lang w:val="en-US" w:eastAsia="zh-CN"/>
                <w14:textFill>
                  <w14:solidFill>
                    <w14:schemeClr w14:val="tx1"/>
                  </w14:solidFill>
                </w14:textFill>
              </w:rPr>
              <w:t>1</w:t>
            </w:r>
            <w:r>
              <w:rPr>
                <w:rFonts w:hint="eastAsia" w:cs="宋体"/>
                <w:color w:val="000000" w:themeColor="text1"/>
                <w:szCs w:val="21"/>
                <w14:textFill>
                  <w14:solidFill>
                    <w14:schemeClr w14:val="tx1"/>
                  </w14:solidFill>
                </w14:textFill>
              </w:rPr>
              <w:t>类声环境功能区</w:t>
            </w:r>
            <w:r>
              <w:rPr>
                <w:rFonts w:hint="eastAsia" w:cs="宋体"/>
                <w:color w:val="000000" w:themeColor="text1"/>
                <w:szCs w:val="21"/>
                <w:lang w:val="en-US" w:eastAsia="zh-CN"/>
                <w14:textFill>
                  <w14:solidFill>
                    <w14:schemeClr w14:val="tx1"/>
                  </w14:solidFill>
                </w14:textFill>
              </w:rPr>
              <w:t>划</w:t>
            </w:r>
            <w:r>
              <w:rPr>
                <w:rFonts w:hint="eastAsia" w:cs="宋体"/>
                <w:color w:val="000000" w:themeColor="text1"/>
                <w:szCs w:val="21"/>
                <w14:textFill>
                  <w14:solidFill>
                    <w14:schemeClr w14:val="tx1"/>
                  </w14:solidFill>
                </w14:textFill>
              </w:rPr>
              <w:t>标准限值。</w:t>
            </w:r>
          </w:p>
        </w:tc>
      </w:tr>
      <w:tr w14:paraId="5BE6D1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3ED2FF29">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振动</w:t>
            </w:r>
          </w:p>
        </w:tc>
        <w:tc>
          <w:tcPr>
            <w:tcW w:w="1118" w:type="pct"/>
            <w:vAlign w:val="center"/>
          </w:tcPr>
          <w:p w14:paraId="7938D22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128" w:type="pct"/>
            <w:vAlign w:val="center"/>
          </w:tcPr>
          <w:p w14:paraId="1C6D290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915" w:type="pct"/>
            <w:vAlign w:val="center"/>
          </w:tcPr>
          <w:p w14:paraId="6A2F588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026" w:type="pct"/>
            <w:vAlign w:val="center"/>
          </w:tcPr>
          <w:p w14:paraId="2EB0D75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r>
      <w:tr w14:paraId="3F0DE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10" w:type="pct"/>
            <w:vAlign w:val="center"/>
          </w:tcPr>
          <w:p w14:paraId="1C8A983F">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大气环境</w:t>
            </w:r>
          </w:p>
        </w:tc>
        <w:tc>
          <w:tcPr>
            <w:tcW w:w="1118" w:type="pct"/>
            <w:vAlign w:val="center"/>
          </w:tcPr>
          <w:p w14:paraId="4A9D4C1A">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施工作业面周围设置围挡，每天定期洒水；临时堆土应进行覆盖，基础施工结束后及时回填、压实；运输道路进行洒水；施工渣土及易起尘物料需用帆布覆盖</w:t>
            </w:r>
            <w:r>
              <w:rPr>
                <w:rFonts w:hint="eastAsia"/>
                <w:color w:val="000000" w:themeColor="text1"/>
                <w:szCs w:val="21"/>
                <w14:textFill>
                  <w14:solidFill>
                    <w14:schemeClr w14:val="tx1"/>
                  </w14:solidFill>
                </w14:textFill>
              </w:rPr>
              <w:t>；大风天气（4级以上）天气时停止施工。</w:t>
            </w:r>
          </w:p>
        </w:tc>
        <w:tc>
          <w:tcPr>
            <w:tcW w:w="1128" w:type="pct"/>
            <w:vAlign w:val="center"/>
          </w:tcPr>
          <w:p w14:paraId="571A7317">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施工无组织废气</w:t>
            </w:r>
            <w:r>
              <w:rPr>
                <w:rFonts w:hint="default"/>
                <w:color w:val="000000" w:themeColor="text1"/>
                <w:szCs w:val="21"/>
                <w14:textFill>
                  <w14:solidFill>
                    <w14:schemeClr w14:val="tx1"/>
                  </w14:solidFill>
                </w14:textFill>
              </w:rPr>
              <w:t>执行《大气污染物综合排放标准》</w:t>
            </w:r>
          </w:p>
          <w:p w14:paraId="6F6F7481">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G</w:t>
            </w:r>
            <w:r>
              <w:rPr>
                <w:rFonts w:hint="default"/>
                <w:color w:val="000000" w:themeColor="text1"/>
                <w:szCs w:val="21"/>
                <w14:textFill>
                  <w14:solidFill>
                    <w14:schemeClr w14:val="tx1"/>
                  </w14:solidFill>
                </w14:textFill>
              </w:rPr>
              <w:t>B</w:t>
            </w:r>
            <w:r>
              <w:rPr>
                <w:rFonts w:hint="eastAsia"/>
                <w:color w:val="000000" w:themeColor="text1"/>
                <w:szCs w:val="21"/>
                <w14:textFill>
                  <w14:solidFill>
                    <w14:schemeClr w14:val="tx1"/>
                  </w14:solidFill>
                </w14:textFill>
              </w:rPr>
              <w:t xml:space="preserve"> </w:t>
            </w:r>
            <w:r>
              <w:rPr>
                <w:rFonts w:hint="default"/>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6297</w:t>
            </w:r>
            <w:r>
              <w:rPr>
                <w:rFonts w:hint="default"/>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1996</w:t>
            </w:r>
            <w:r>
              <w:rPr>
                <w:rFonts w:hint="default"/>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中标准限值要求</w:t>
            </w:r>
            <w:r>
              <w:rPr>
                <w:rFonts w:hint="default"/>
                <w:color w:val="000000" w:themeColor="text1"/>
                <w:szCs w:val="21"/>
                <w14:textFill>
                  <w14:solidFill>
                    <w14:schemeClr w14:val="tx1"/>
                  </w14:solidFill>
                </w14:textFill>
              </w:rPr>
              <w:t>。</w:t>
            </w:r>
          </w:p>
        </w:tc>
        <w:tc>
          <w:tcPr>
            <w:tcW w:w="915" w:type="pct"/>
            <w:vAlign w:val="center"/>
          </w:tcPr>
          <w:p w14:paraId="4118F90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026" w:type="pct"/>
            <w:vAlign w:val="center"/>
          </w:tcPr>
          <w:p w14:paraId="325DCD4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r>
      <w:tr w14:paraId="5A63A2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0141C71C">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固体废物</w:t>
            </w:r>
          </w:p>
        </w:tc>
        <w:tc>
          <w:tcPr>
            <w:tcW w:w="1118" w:type="pct"/>
            <w:vAlign w:val="center"/>
          </w:tcPr>
          <w:p w14:paraId="2861BA7E">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固体废物定点堆</w:t>
            </w:r>
          </w:p>
          <w:p w14:paraId="328E8622">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放，合理处置，弃土回用作为铁塔防沉基使用</w:t>
            </w:r>
            <w:r>
              <w:rPr>
                <w:rFonts w:hint="eastAsia"/>
                <w:color w:val="000000" w:themeColor="text1"/>
                <w:szCs w:val="21"/>
                <w14:textFill>
                  <w14:solidFill>
                    <w14:schemeClr w14:val="tx1"/>
                  </w14:solidFill>
                </w14:textFill>
              </w:rPr>
              <w:t>；</w:t>
            </w:r>
            <w:r>
              <w:rPr>
                <w:rFonts w:hint="default"/>
                <w:color w:val="000000" w:themeColor="text1"/>
                <w:szCs w:val="21"/>
                <w14:textFill>
                  <w14:solidFill>
                    <w14:schemeClr w14:val="tx1"/>
                  </w14:solidFill>
                </w14:textFill>
              </w:rPr>
              <w:t>施工期人员生活垃圾统一收集处置。</w:t>
            </w:r>
          </w:p>
        </w:tc>
        <w:tc>
          <w:tcPr>
            <w:tcW w:w="1128" w:type="pct"/>
            <w:vAlign w:val="center"/>
          </w:tcPr>
          <w:p w14:paraId="56078A09">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执行《</w:t>
            </w:r>
            <w:r>
              <w:rPr>
                <w:rFonts w:hint="eastAsia"/>
                <w:color w:val="000000" w:themeColor="text1"/>
                <w:szCs w:val="21"/>
                <w14:textFill>
                  <w14:solidFill>
                    <w14:schemeClr w14:val="tx1"/>
                  </w14:solidFill>
                </w14:textFill>
              </w:rPr>
              <w:t>一般工业固体废物贮存和填埋污染控制标准</w:t>
            </w:r>
            <w:r>
              <w:rPr>
                <w:rFonts w:hint="default"/>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（GB 18599-2020）</w:t>
            </w:r>
            <w:r>
              <w:rPr>
                <w:rFonts w:hint="default"/>
                <w:color w:val="000000" w:themeColor="text1"/>
                <w:szCs w:val="21"/>
                <w14:textFill>
                  <w14:solidFill>
                    <w14:schemeClr w14:val="tx1"/>
                  </w14:solidFill>
                </w14:textFill>
              </w:rPr>
              <w:t>中有关规定。</w:t>
            </w:r>
          </w:p>
        </w:tc>
        <w:tc>
          <w:tcPr>
            <w:tcW w:w="1560" w:type="dxa"/>
            <w:vAlign w:val="center"/>
          </w:tcPr>
          <w:p w14:paraId="7E7DAA66">
            <w:pPr>
              <w:keepNext w:val="0"/>
              <w:keepLines w:val="0"/>
              <w:pageBreakBefore w:val="0"/>
              <w:suppressLineNumbers w:val="0"/>
              <w:kinsoku/>
              <w:wordWrap w:val="0"/>
              <w:overflowPunct/>
              <w:topLinePunct w:val="0"/>
              <w:autoSpaceDE/>
              <w:autoSpaceDN/>
              <w:bidi w:val="0"/>
              <w:spacing w:before="0" w:beforeAutospacing="0" w:after="0" w:afterAutospacing="0" w:line="240" w:lineRule="auto"/>
              <w:ind w:left="0" w:leftChars="0" w:right="0" w:rightChars="0"/>
              <w:jc w:val="center"/>
              <w:textAlignment w:val="auto"/>
              <w:rPr>
                <w:rFonts w:hint="eastAsia" w:eastAsia="宋体"/>
                <w:color w:val="FF0000"/>
                <w:szCs w:val="21"/>
                <w:lang w:val="en-US" w:eastAsia="zh-CN"/>
              </w:rPr>
            </w:pPr>
            <w:r>
              <w:rPr>
                <w:rFonts w:hint="eastAsia" w:cs="Times New Roman"/>
                <w:color w:val="FF0000"/>
                <w:sz w:val="21"/>
                <w:szCs w:val="21"/>
                <w:lang w:val="en-US" w:eastAsia="zh-CN"/>
              </w:rPr>
              <w:t>本期不用新增固体废物，变电站</w:t>
            </w:r>
            <w:r>
              <w:rPr>
                <w:rFonts w:hint="default" w:ascii="Times New Roman" w:hAnsi="Times New Roman" w:cs="Times New Roman"/>
                <w:color w:val="FF0000"/>
                <w:sz w:val="21"/>
                <w:szCs w:val="21"/>
              </w:rPr>
              <w:t>变压器事故废油储存于事故油池中，委托有资质部门定期处理；</w:t>
            </w:r>
            <w:r>
              <w:rPr>
                <w:rFonts w:hint="eastAsia" w:cs="Times New Roman"/>
                <w:color w:val="FF0000"/>
                <w:sz w:val="21"/>
                <w:szCs w:val="21"/>
                <w:lang w:val="en-US" w:eastAsia="zh-CN"/>
              </w:rPr>
              <w:t>生活垃圾</w:t>
            </w:r>
            <w:r>
              <w:rPr>
                <w:rFonts w:hint="default" w:ascii="Times New Roman" w:hAnsi="Times New Roman" w:cs="Times New Roman"/>
                <w:color w:val="FF0000"/>
                <w:sz w:val="21"/>
                <w:szCs w:val="21"/>
              </w:rPr>
              <w:t>收集后委托当地环卫部门定期清运；事故状态沾染废矿物油的卵石由运检部门统一收集委托有资质的单位进行处理。蓄电池由有资质的厂家上门更换，更换后的废铅蓄电池，不在站内暂存，交由具有资质单位进行处置</w:t>
            </w:r>
            <w:r>
              <w:rPr>
                <w:rFonts w:hint="eastAsia" w:cs="Times New Roman"/>
                <w:color w:val="FF0000"/>
                <w:sz w:val="21"/>
                <w:szCs w:val="21"/>
                <w:lang w:eastAsia="zh-CN"/>
              </w:rPr>
              <w:t>。</w:t>
            </w:r>
          </w:p>
        </w:tc>
        <w:tc>
          <w:tcPr>
            <w:tcW w:w="1750" w:type="dxa"/>
            <w:vAlign w:val="center"/>
          </w:tcPr>
          <w:p w14:paraId="1910B52E">
            <w:pPr>
              <w:keepNext w:val="0"/>
              <w:keepLines w:val="0"/>
              <w:pageBreakBefore w:val="0"/>
              <w:suppressLineNumbers w:val="0"/>
              <w:kinsoku/>
              <w:wordWrap w:val="0"/>
              <w:overflowPunct/>
              <w:topLinePunct w:val="0"/>
              <w:autoSpaceDE/>
              <w:autoSpaceDN/>
              <w:bidi w:val="0"/>
              <w:spacing w:before="0" w:beforeAutospacing="0" w:after="0" w:afterAutospacing="0" w:line="240" w:lineRule="auto"/>
              <w:ind w:left="0" w:leftChars="0" w:right="0" w:rightChars="0"/>
              <w:jc w:val="center"/>
              <w:textAlignment w:val="auto"/>
              <w:rPr>
                <w:rFonts w:hint="default"/>
                <w:color w:val="000000" w:themeColor="text1"/>
                <w:szCs w:val="21"/>
                <w14:textFill>
                  <w14:solidFill>
                    <w14:schemeClr w14:val="tx1"/>
                  </w14:solidFill>
                </w14:textFill>
              </w:rPr>
            </w:pPr>
            <w:r>
              <w:rPr>
                <w:rFonts w:hint="default" w:ascii="Times New Roman" w:hAnsi="Times New Roman" w:cs="Times New Roman"/>
                <w:color w:val="auto"/>
                <w:sz w:val="21"/>
                <w:szCs w:val="21"/>
                <w:highlight w:val="none"/>
                <w:lang w:val="en-US" w:eastAsia="zh-CN"/>
              </w:rPr>
              <w:t>满足</w:t>
            </w:r>
            <w:r>
              <w:rPr>
                <w:rFonts w:hint="default" w:ascii="Times New Roman" w:hAnsi="Times New Roman" w:cs="Times New Roman"/>
                <w:color w:val="auto"/>
                <w:sz w:val="21"/>
                <w:szCs w:val="21"/>
                <w:highlight w:val="none"/>
              </w:rPr>
              <w:t>《一般工业固体废物贮存和填埋污染控制标准》（GB 18599-2020）</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《危险废物贮存污染控制标准》（GB 18597-2023）、《危险废物收集、贮存、运输技术规范》（HJ 2025-2012）（2013.3.1实施）相关规定。</w:t>
            </w:r>
          </w:p>
        </w:tc>
      </w:tr>
      <w:tr w14:paraId="288D80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810" w:type="pct"/>
            <w:vAlign w:val="center"/>
          </w:tcPr>
          <w:p w14:paraId="38384A12">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电磁环境</w:t>
            </w:r>
          </w:p>
        </w:tc>
        <w:tc>
          <w:tcPr>
            <w:tcW w:w="1118" w:type="pct"/>
            <w:vAlign w:val="center"/>
          </w:tcPr>
          <w:p w14:paraId="1344442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128" w:type="pct"/>
            <w:vAlign w:val="center"/>
          </w:tcPr>
          <w:p w14:paraId="4D4E569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915" w:type="pct"/>
            <w:vAlign w:val="center"/>
          </w:tcPr>
          <w:p w14:paraId="2AAB5005">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输电线路设计中应选择合理优化的路径方案，使所选路径对环境影响降至最小，在线路设计中严格执行有关设计规程、规范，合理选用塔型、塔高，以尽量减小路径走廊宽度及降低线路走廊下的静电感应强度。</w:t>
            </w:r>
            <w:r>
              <w:rPr>
                <w:rFonts w:hint="default"/>
                <w:color w:val="000000" w:themeColor="text1"/>
                <w:szCs w:val="21"/>
                <w14:textFill>
                  <w14:solidFill>
                    <w14:schemeClr w14:val="tx1"/>
                  </w14:solidFill>
                </w14:textFill>
              </w:rPr>
              <w:t>提高导线和金具加工工艺，采用先进施工工艺，提高导线高度</w:t>
            </w:r>
            <w:r>
              <w:rPr>
                <w:rFonts w:hint="eastAsia"/>
                <w:color w:val="000000" w:themeColor="text1"/>
                <w:szCs w:val="21"/>
                <w14:textFill>
                  <w14:solidFill>
                    <w14:schemeClr w14:val="tx1"/>
                  </w14:solidFill>
                </w14:textFill>
              </w:rPr>
              <w:t>。</w:t>
            </w:r>
          </w:p>
        </w:tc>
        <w:tc>
          <w:tcPr>
            <w:tcW w:w="1026" w:type="pct"/>
            <w:vAlign w:val="center"/>
          </w:tcPr>
          <w:p w14:paraId="45AF62ED">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变电站和</w:t>
            </w:r>
            <w:r>
              <w:rPr>
                <w:rFonts w:hint="eastAsia"/>
                <w:color w:val="000000" w:themeColor="text1"/>
                <w:szCs w:val="21"/>
                <w:lang w:val="en-US" w:eastAsia="zh-CN"/>
                <w14:textFill>
                  <w14:solidFill>
                    <w14:schemeClr w14:val="tx1"/>
                  </w14:solidFill>
                </w14:textFill>
              </w:rPr>
              <w:t>输电线路</w:t>
            </w:r>
            <w:r>
              <w:rPr>
                <w:rFonts w:hint="eastAsia"/>
                <w:color w:val="000000" w:themeColor="text1"/>
                <w14:textFill>
                  <w14:solidFill>
                    <w14:schemeClr w14:val="tx1"/>
                  </w14:solidFill>
                </w14:textFill>
              </w:rPr>
              <w:t>满足《电磁环境控制限值》（GB 8702-2014）</w:t>
            </w:r>
            <w:r>
              <w:rPr>
                <w:rFonts w:hint="default"/>
                <w:color w:val="000000" w:themeColor="text1"/>
                <w14:textFill>
                  <w14:solidFill>
                    <w14:schemeClr w14:val="tx1"/>
                  </w14:solidFill>
                </w14:textFill>
              </w:rPr>
              <w:t>中公众曝露控制标准限值要求</w:t>
            </w:r>
            <w:r>
              <w:rPr>
                <w:rFonts w:hint="eastAsia"/>
                <w:color w:val="000000" w:themeColor="text1"/>
                <w14:textFill>
                  <w14:solidFill>
                    <w14:schemeClr w14:val="tx1"/>
                  </w14:solidFill>
                </w14:textFill>
              </w:rPr>
              <w:t>。</w:t>
            </w:r>
          </w:p>
        </w:tc>
      </w:tr>
      <w:tr w14:paraId="6C4BDC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26D5E425">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环境风险</w:t>
            </w:r>
          </w:p>
        </w:tc>
        <w:tc>
          <w:tcPr>
            <w:tcW w:w="1118" w:type="pct"/>
            <w:vAlign w:val="center"/>
          </w:tcPr>
          <w:p w14:paraId="2AE2190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128" w:type="pct"/>
            <w:vAlign w:val="center"/>
          </w:tcPr>
          <w:p w14:paraId="52F1E20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915" w:type="pct"/>
            <w:vAlign w:val="center"/>
          </w:tcPr>
          <w:p w14:paraId="2BBEA16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026" w:type="pct"/>
            <w:vAlign w:val="center"/>
          </w:tcPr>
          <w:p w14:paraId="7259D6C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r>
      <w:tr w14:paraId="7F198D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50401A5F">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环境监测</w:t>
            </w:r>
          </w:p>
        </w:tc>
        <w:tc>
          <w:tcPr>
            <w:tcW w:w="1118" w:type="pct"/>
            <w:vAlign w:val="center"/>
          </w:tcPr>
          <w:p w14:paraId="6FCB99DF">
            <w:pPr>
              <w:keepNext w:val="0"/>
              <w:keepLines w:val="0"/>
              <w:suppressLineNumbers w:val="0"/>
              <w:spacing w:before="0" w:beforeAutospacing="0" w:after="0" w:afterAutospacing="0"/>
              <w:ind w:left="0" w:leftChars="0" w:right="0" w:rightChars="0"/>
              <w:jc w:val="center"/>
              <w:rPr>
                <w:rFonts w:hint="default"/>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施工期环境管理和监督</w:t>
            </w:r>
          </w:p>
        </w:tc>
        <w:tc>
          <w:tcPr>
            <w:tcW w:w="1128" w:type="pct"/>
            <w:vAlign w:val="center"/>
          </w:tcPr>
          <w:p w14:paraId="25C12064">
            <w:pPr>
              <w:keepNext w:val="0"/>
              <w:keepLines w:val="0"/>
              <w:suppressLineNumbers w:val="0"/>
              <w:spacing w:before="0" w:beforeAutospacing="0" w:after="0" w:afterAutospacing="0"/>
              <w:ind w:left="0" w:leftChars="0" w:right="0" w:rightChars="0"/>
              <w:jc w:val="left"/>
              <w:rPr>
                <w:rFonts w:hint="default"/>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设立专门环境管理机构，负责工程的日常环境管理工作；施工期和运营期的环境管理方案实施落实到位；确保施工期环境监理计划实施，保障施工期环保措施的落实。</w:t>
            </w:r>
          </w:p>
        </w:tc>
        <w:tc>
          <w:tcPr>
            <w:tcW w:w="915" w:type="pct"/>
            <w:vAlign w:val="center"/>
          </w:tcPr>
          <w:p w14:paraId="113B3280">
            <w:pPr>
              <w:keepNext w:val="0"/>
              <w:keepLines w:val="0"/>
              <w:suppressLineNumbers w:val="0"/>
              <w:adjustRightInd w:val="0"/>
              <w:snapToGrid w:val="0"/>
              <w:spacing w:before="0" w:beforeAutospacing="0" w:after="0" w:afterAutospacing="0"/>
              <w:ind w:left="0" w:right="0"/>
              <w:rPr>
                <w:rFonts w:hint="eastAsia" w:eastAsia="宋体"/>
                <w:color w:val="000000" w:themeColor="text1"/>
                <w:szCs w:val="21"/>
                <w:lang w:eastAsia="zh-CN"/>
                <w14:textFill>
                  <w14:solidFill>
                    <w14:schemeClr w14:val="tx1"/>
                  </w14:solidFill>
                </w14:textFill>
              </w:rPr>
            </w:pPr>
            <w:r>
              <w:rPr>
                <w:rFonts w:hint="default"/>
                <w:color w:val="000000" w:themeColor="text1"/>
                <w:szCs w:val="21"/>
                <w14:textFill>
                  <w14:solidFill>
                    <w14:schemeClr w14:val="tx1"/>
                  </w14:solidFill>
                </w14:textFill>
              </w:rPr>
              <w:t>竣工环保验收时对</w:t>
            </w:r>
            <w:r>
              <w:rPr>
                <w:rFonts w:hint="eastAsia"/>
                <w:color w:val="000000" w:themeColor="text1"/>
                <w:szCs w:val="21"/>
                <w14:textFill>
                  <w14:solidFill>
                    <w14:schemeClr w14:val="tx1"/>
                  </w14:solidFill>
                </w14:textFill>
              </w:rPr>
              <w:t>工程项目</w:t>
            </w:r>
            <w:r>
              <w:rPr>
                <w:rFonts w:hint="default"/>
                <w:color w:val="000000" w:themeColor="text1"/>
                <w:szCs w:val="21"/>
                <w14:textFill>
                  <w14:solidFill>
                    <w14:schemeClr w14:val="tx1"/>
                  </w14:solidFill>
                </w14:textFill>
              </w:rPr>
              <w:t>的工频电场强度、工频磁感应强度和等效声级进行监测。</w:t>
            </w:r>
            <w:r>
              <w:rPr>
                <w:rFonts w:hint="eastAsia"/>
                <w:color w:val="000000" w:themeColor="text1"/>
                <w:szCs w:val="21"/>
                <w14:textFill>
                  <w14:solidFill>
                    <w14:schemeClr w14:val="tx1"/>
                  </w14:solidFill>
                </w14:textFill>
              </w:rPr>
              <w:t>噪声、工频电场强度和磁感应强度运行期间存在投诉纠纷时进行监测</w:t>
            </w:r>
            <w:r>
              <w:rPr>
                <w:rFonts w:hint="eastAsia"/>
                <w:color w:val="000000" w:themeColor="text1"/>
                <w:szCs w:val="21"/>
                <w:lang w:eastAsia="zh-CN"/>
                <w14:textFill>
                  <w14:solidFill>
                    <w14:schemeClr w14:val="tx1"/>
                  </w14:solidFill>
                </w14:textFill>
              </w:rPr>
              <w:t>。</w:t>
            </w:r>
          </w:p>
        </w:tc>
        <w:tc>
          <w:tcPr>
            <w:tcW w:w="1026" w:type="pct"/>
            <w:vAlign w:val="center"/>
          </w:tcPr>
          <w:p w14:paraId="386B6AB4">
            <w:pPr>
              <w:keepNext w:val="0"/>
              <w:keepLines w:val="0"/>
              <w:suppressLineNumbers w:val="0"/>
              <w:adjustRightInd w:val="0"/>
              <w:snapToGrid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监测结果满足相应标准限值要求。</w:t>
            </w:r>
          </w:p>
        </w:tc>
      </w:tr>
      <w:tr w14:paraId="637E46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0" w:type="pct"/>
            <w:vAlign w:val="center"/>
          </w:tcPr>
          <w:p w14:paraId="314E491D">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其他</w:t>
            </w:r>
          </w:p>
        </w:tc>
        <w:tc>
          <w:tcPr>
            <w:tcW w:w="1118" w:type="pct"/>
            <w:vAlign w:val="center"/>
          </w:tcPr>
          <w:p w14:paraId="32F06C5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128" w:type="pct"/>
            <w:vAlign w:val="center"/>
          </w:tcPr>
          <w:p w14:paraId="3503B6F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915" w:type="pct"/>
            <w:vAlign w:val="center"/>
          </w:tcPr>
          <w:p w14:paraId="344EA9E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026" w:type="pct"/>
            <w:vAlign w:val="center"/>
          </w:tcPr>
          <w:p w14:paraId="3AA07D9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r>
    </w:tbl>
    <w:p w14:paraId="0D2EA94F">
      <w:pPr>
        <w:pStyle w:val="25"/>
        <w:spacing w:before="0" w:beforeAutospacing="0" w:line="15" w:lineRule="auto"/>
        <w:jc w:val="both"/>
        <w:rPr>
          <w:rFonts w:ascii="黑体" w:hAnsi="黑体" w:eastAsia="黑体"/>
          <w:snapToGrid w:val="0"/>
        </w:rPr>
      </w:pPr>
      <w:r>
        <w:rPr>
          <w:rFonts w:ascii="黑体" w:hAnsi="黑体" w:eastAsia="黑体"/>
          <w:snapToGrid w:val="0"/>
        </w:rPr>
        <w:br w:type="page"/>
      </w:r>
    </w:p>
    <w:p w14:paraId="525F7130">
      <w:pPr>
        <w:pStyle w:val="25"/>
        <w:jc w:val="center"/>
        <w:outlineLvl w:val="0"/>
        <w:rPr>
          <w:rFonts w:ascii="黑体" w:hAnsi="黑体" w:eastAsia="黑体"/>
          <w:snapToGrid w:val="0"/>
          <w:sz w:val="30"/>
          <w:szCs w:val="30"/>
        </w:rPr>
      </w:pPr>
      <w:bookmarkStart w:id="23" w:name="_Toc18293"/>
      <w:bookmarkStart w:id="24" w:name="_Toc22660"/>
      <w:bookmarkStart w:id="25" w:name="_Toc1145"/>
      <w:r>
        <w:rPr>
          <w:rFonts w:hint="eastAsia" w:ascii="黑体" w:hAnsi="黑体" w:eastAsia="黑体"/>
          <w:snapToGrid w:val="0"/>
          <w:sz w:val="30"/>
          <w:szCs w:val="30"/>
        </w:rPr>
        <w:t>七、结论</w:t>
      </w:r>
      <w:bookmarkEnd w:id="23"/>
      <w:bookmarkEnd w:id="24"/>
      <w:bookmarkEnd w:id="25"/>
    </w:p>
    <w:tbl>
      <w:tblPr>
        <w:tblStyle w:val="30"/>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258ACB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14:paraId="5FD96BC0">
            <w:pPr>
              <w:pStyle w:val="74"/>
              <w:keepNext w:val="0"/>
              <w:keepLines w:val="0"/>
              <w:suppressLineNumbers w:val="0"/>
              <w:spacing w:before="0" w:beforeAutospacing="0" w:after="0" w:afterAutospacing="0"/>
              <w:ind w:left="0" w:right="0" w:firstLine="480"/>
              <w:rPr>
                <w:rFonts w:hint="default" w:ascii="宋体" w:hAnsi="宋体" w:cs="宋体"/>
                <w:sz w:val="24"/>
              </w:rPr>
            </w:pPr>
            <w:r>
              <w:rPr>
                <w:rFonts w:hint="eastAsia"/>
                <w:sz w:val="24"/>
              </w:rPr>
              <w:t>综上所述，黑龙江鸡西鸡西~恒山220kV线路工程</w:t>
            </w:r>
            <w:r>
              <w:rPr>
                <w:rFonts w:hint="default"/>
                <w:sz w:val="24"/>
              </w:rPr>
              <w:t>在加强该地区供电网络建设</w:t>
            </w:r>
            <w:r>
              <w:rPr>
                <w:rFonts w:hint="eastAsia"/>
                <w:sz w:val="24"/>
              </w:rPr>
              <w:t>、</w:t>
            </w:r>
            <w:r>
              <w:rPr>
                <w:rFonts w:hint="default"/>
                <w:sz w:val="24"/>
              </w:rPr>
              <w:t>拉动地方</w:t>
            </w:r>
            <w:r>
              <w:rPr>
                <w:rFonts w:hint="eastAsia"/>
                <w:sz w:val="24"/>
              </w:rPr>
              <w:t>经济、</w:t>
            </w:r>
            <w:r>
              <w:rPr>
                <w:rFonts w:hint="default"/>
                <w:sz w:val="24"/>
              </w:rPr>
              <w:t>创造良好的经济发展环境等方面都将发挥积极的作用。该项目符合国家相关产业政策，在严格落实本报告表提出的污染防治措施的基础上，切实做到</w:t>
            </w:r>
            <w:r>
              <w:rPr>
                <w:rFonts w:hint="eastAsia"/>
                <w:sz w:val="24"/>
              </w:rPr>
              <w:t>“</w:t>
            </w:r>
            <w:r>
              <w:rPr>
                <w:rFonts w:hint="default"/>
                <w:sz w:val="24"/>
              </w:rPr>
              <w:t>三同时</w:t>
            </w:r>
            <w:r>
              <w:rPr>
                <w:rFonts w:hint="eastAsia"/>
                <w:sz w:val="24"/>
              </w:rPr>
              <w:t>”</w:t>
            </w:r>
            <w:r>
              <w:rPr>
                <w:rFonts w:hint="default"/>
                <w:sz w:val="24"/>
              </w:rPr>
              <w:t>的情况下，本项目施工期扬尘、噪声</w:t>
            </w:r>
            <w:r>
              <w:rPr>
                <w:rFonts w:hint="eastAsia"/>
                <w:sz w:val="24"/>
              </w:rPr>
              <w:t>、生活污水</w:t>
            </w:r>
            <w:r>
              <w:rPr>
                <w:rFonts w:hint="default"/>
                <w:sz w:val="24"/>
              </w:rPr>
              <w:t>及少量的植被破坏和水土流失等对周围环境影响较小</w:t>
            </w:r>
            <w:r>
              <w:rPr>
                <w:rFonts w:hint="eastAsia"/>
                <w:sz w:val="24"/>
              </w:rPr>
              <w:t>，项目施工期结束后通过生态恢复措施恢复项目沿线的生态环境，对生态环境的影响可接受；</w:t>
            </w:r>
            <w:r>
              <w:rPr>
                <w:rFonts w:hint="default"/>
                <w:sz w:val="24"/>
              </w:rPr>
              <w:t>营运期噪声、电磁环境符合国家标准要求，对周围环境影响较小。从环境角度讲，</w:t>
            </w:r>
            <w:r>
              <w:rPr>
                <w:rFonts w:hint="eastAsia"/>
                <w:sz w:val="24"/>
              </w:rPr>
              <w:t>本</w:t>
            </w:r>
            <w:r>
              <w:rPr>
                <w:rFonts w:hint="default"/>
                <w:sz w:val="24"/>
              </w:rPr>
              <w:t>工程建设可行。</w:t>
            </w:r>
          </w:p>
        </w:tc>
      </w:tr>
    </w:tbl>
    <w:p w14:paraId="2B55DD77">
      <w:pPr>
        <w:rPr>
          <w:rFonts w:ascii="宋体"/>
          <w:sz w:val="24"/>
        </w:rPr>
      </w:pPr>
    </w:p>
    <w:p w14:paraId="0981914F">
      <w:pPr>
        <w:pStyle w:val="2"/>
        <w:spacing w:before="100" w:beforeAutospacing="1" w:after="100" w:afterAutospacing="1" w:line="240" w:lineRule="auto"/>
        <w:ind w:left="0" w:firstLine="0"/>
        <w:jc w:val="center"/>
        <w:rPr>
          <w:rFonts w:ascii="黑体" w:hAnsi="黑体"/>
          <w:b w:val="0"/>
          <w:bCs w:val="0"/>
          <w:snapToGrid w:val="0"/>
          <w:color w:val="auto"/>
          <w:kern w:val="0"/>
          <w:sz w:val="24"/>
          <w:szCs w:val="24"/>
        </w:rPr>
      </w:pPr>
      <w:r>
        <w:rPr>
          <w:rFonts w:ascii="黑体" w:hAnsi="黑体"/>
          <w:snapToGrid w:val="0"/>
          <w:sz w:val="24"/>
          <w:szCs w:val="24"/>
        </w:rPr>
        <w:br w:type="page"/>
      </w:r>
      <w:bookmarkStart w:id="26" w:name="_Toc9345"/>
      <w:bookmarkStart w:id="27" w:name="_Toc27881"/>
      <w:bookmarkStart w:id="28" w:name="_Toc16213"/>
      <w:bookmarkStart w:id="29" w:name="_Toc43290732"/>
      <w:r>
        <w:rPr>
          <w:rFonts w:hint="eastAsia" w:ascii="黑体" w:hAnsi="黑体"/>
          <w:b w:val="0"/>
          <w:bCs w:val="0"/>
          <w:snapToGrid w:val="0"/>
          <w:color w:val="auto"/>
          <w:kern w:val="0"/>
        </w:rPr>
        <w:t>专题1 电磁环境影响专题评价</w:t>
      </w:r>
      <w:bookmarkEnd w:id="26"/>
      <w:bookmarkEnd w:id="27"/>
      <w:bookmarkEnd w:id="28"/>
      <w:bookmarkEnd w:id="29"/>
    </w:p>
    <w:tbl>
      <w:tblPr>
        <w:tblStyle w:val="3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68A75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522" w:type="dxa"/>
          </w:tcPr>
          <w:p w14:paraId="1A393F53">
            <w:pPr>
              <w:pStyle w:val="22"/>
              <w:keepNext w:val="0"/>
              <w:keepLines w:val="0"/>
              <w:suppressLineNumbers w:val="0"/>
              <w:spacing w:before="0" w:beforeAutospacing="0" w:after="0" w:afterAutospacing="0" w:line="360" w:lineRule="auto"/>
              <w:ind w:left="0" w:right="0" w:firstLine="482" w:firstLineChars="200"/>
              <w:rPr>
                <w:rFonts w:hint="default"/>
                <w:color w:val="000000" w:themeColor="text1"/>
                <w:sz w:val="24"/>
                <w:szCs w:val="24"/>
                <w14:textFill>
                  <w14:solidFill>
                    <w14:schemeClr w14:val="tx1"/>
                  </w14:solidFill>
                </w14:textFill>
              </w:rPr>
            </w:pPr>
            <w:bookmarkStart w:id="30" w:name="_Toc5887"/>
            <w:bookmarkStart w:id="31" w:name="_Toc18916"/>
            <w:r>
              <w:rPr>
                <w:rFonts w:hint="eastAsia"/>
                <w:color w:val="000000" w:themeColor="text1"/>
                <w:sz w:val="24"/>
                <w:szCs w:val="24"/>
                <w14:textFill>
                  <w14:solidFill>
                    <w14:schemeClr w14:val="tx1"/>
                  </w14:solidFill>
                </w14:textFill>
              </w:rPr>
              <w:t>（一）评价工作等级和评价范围</w:t>
            </w:r>
            <w:bookmarkEnd w:id="30"/>
            <w:bookmarkEnd w:id="31"/>
          </w:p>
          <w:p w14:paraId="64B5687A">
            <w:pPr>
              <w:pStyle w:val="81"/>
              <w:keepNext w:val="0"/>
              <w:keepLines w:val="0"/>
              <w:suppressLineNumbers w:val="0"/>
              <w:spacing w:before="0" w:beforeLines="0" w:beforeAutospacing="0" w:after="0" w:afterAutospacing="0" w:line="360" w:lineRule="auto"/>
              <w:ind w:left="0" w:right="0" w:firstLine="482" w:firstLineChars="200"/>
              <w:rPr>
                <w:rFonts w:hint="default" w:eastAsia="宋体"/>
                <w:b/>
                <w:bCs/>
                <w:color w:val="000000" w:themeColor="text1"/>
                <w:sz w:val="24"/>
                <w:szCs w:val="24"/>
                <w14:textFill>
                  <w14:solidFill>
                    <w14:schemeClr w14:val="tx1"/>
                  </w14:solidFill>
                </w14:textFill>
              </w:rPr>
            </w:pPr>
            <w:r>
              <w:rPr>
                <w:rFonts w:eastAsia="宋体"/>
                <w:b/>
                <w:bCs/>
                <w:color w:val="000000" w:themeColor="text1"/>
                <w:sz w:val="24"/>
                <w:szCs w:val="24"/>
                <w14:textFill>
                  <w14:solidFill>
                    <w14:schemeClr w14:val="tx1"/>
                  </w14:solidFill>
                </w14:textFill>
              </w:rPr>
              <w:t>1、评价工作等级</w:t>
            </w:r>
          </w:p>
          <w:p w14:paraId="395DDA48">
            <w:pPr>
              <w:pStyle w:val="37"/>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根据《环境影响评价技术导则</w:t>
            </w:r>
            <w:r>
              <w:rPr>
                <w:rFonts w:hint="default"/>
                <w:color w:val="000000" w:themeColor="text1"/>
                <w:sz w:val="24"/>
                <w14:textFill>
                  <w14:solidFill>
                    <w14:schemeClr w14:val="tx1"/>
                  </w14:solidFill>
                </w14:textFill>
              </w:rPr>
              <w:t xml:space="preserve"> </w:t>
            </w:r>
            <w:r>
              <w:rPr>
                <w:rFonts w:hint="eastAsia"/>
                <w:color w:val="000000" w:themeColor="text1"/>
                <w:sz w:val="24"/>
                <w14:textFill>
                  <w14:solidFill>
                    <w14:schemeClr w14:val="tx1"/>
                  </w14:solidFill>
                </w14:textFill>
              </w:rPr>
              <w:t>输变电》（</w:t>
            </w:r>
            <w:r>
              <w:rPr>
                <w:rFonts w:hint="default"/>
                <w:color w:val="000000" w:themeColor="text1"/>
                <w:sz w:val="24"/>
                <w14:textFill>
                  <w14:solidFill>
                    <w14:schemeClr w14:val="tx1"/>
                  </w14:solidFill>
                </w14:textFill>
              </w:rPr>
              <w:t>HJ</w:t>
            </w:r>
            <w:r>
              <w:rPr>
                <w:rFonts w:hint="eastAsia"/>
                <w:color w:val="000000" w:themeColor="text1"/>
                <w:sz w:val="24"/>
                <w:lang w:val="en-US"/>
                <w14:textFill>
                  <w14:solidFill>
                    <w14:schemeClr w14:val="tx1"/>
                  </w14:solidFill>
                </w14:textFill>
              </w:rPr>
              <w:t xml:space="preserve"> </w:t>
            </w:r>
            <w:r>
              <w:rPr>
                <w:rFonts w:hint="default"/>
                <w:color w:val="000000" w:themeColor="text1"/>
                <w:sz w:val="24"/>
                <w14:textFill>
                  <w14:solidFill>
                    <w14:schemeClr w14:val="tx1"/>
                  </w14:solidFill>
                </w14:textFill>
              </w:rPr>
              <w:t>24-20</w:t>
            </w:r>
            <w:r>
              <w:rPr>
                <w:rFonts w:hint="eastAsia"/>
                <w:color w:val="000000" w:themeColor="text1"/>
                <w:sz w:val="24"/>
                <w:lang w:val="en-US"/>
                <w14:textFill>
                  <w14:solidFill>
                    <w14:schemeClr w14:val="tx1"/>
                  </w14:solidFill>
                </w14:textFill>
              </w:rPr>
              <w:t>20</w:t>
            </w:r>
            <w:r>
              <w:rPr>
                <w:rFonts w:hint="eastAsia"/>
                <w:color w:val="000000" w:themeColor="text1"/>
                <w:sz w:val="24"/>
                <w14:textFill>
                  <w14:solidFill>
                    <w14:schemeClr w14:val="tx1"/>
                  </w14:solidFill>
                </w14:textFill>
              </w:rPr>
              <w:t>），输变电工程电磁环境影响评价工作等级划分见表</w:t>
            </w:r>
            <w:r>
              <w:rPr>
                <w:rFonts w:hint="eastAsia"/>
                <w:color w:val="000000" w:themeColor="text1"/>
                <w:sz w:val="24"/>
                <w:lang w:val="en-US"/>
                <w14:textFill>
                  <w14:solidFill>
                    <w14:schemeClr w14:val="tx1"/>
                  </w14:solidFill>
                </w14:textFill>
              </w:rPr>
              <w:t>1</w:t>
            </w:r>
            <w:r>
              <w:rPr>
                <w:rFonts w:hint="eastAsia"/>
                <w:color w:val="000000" w:themeColor="text1"/>
                <w:sz w:val="24"/>
                <w14:textFill>
                  <w14:solidFill>
                    <w14:schemeClr w14:val="tx1"/>
                  </w14:solidFill>
                </w14:textFill>
              </w:rPr>
              <w:t>：</w:t>
            </w:r>
          </w:p>
          <w:p w14:paraId="251DDE3F">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1 输变电工程电磁环境影响评价工作等级</w:t>
            </w:r>
          </w:p>
          <w:tbl>
            <w:tblPr>
              <w:tblStyle w:val="30"/>
              <w:tblW w:w="793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03"/>
              <w:gridCol w:w="1192"/>
              <w:gridCol w:w="1117"/>
              <w:gridCol w:w="3937"/>
              <w:gridCol w:w="1089"/>
            </w:tblGrid>
            <w:tr w14:paraId="1DE63B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tcBorders>
                    <w:top w:val="single" w:color="auto" w:sz="2" w:space="0"/>
                    <w:left w:val="single" w:color="auto" w:sz="2" w:space="0"/>
                    <w:bottom w:val="single" w:color="auto" w:sz="2" w:space="0"/>
                    <w:right w:val="single" w:color="auto" w:sz="2" w:space="0"/>
                  </w:tcBorders>
                  <w:vAlign w:val="center"/>
                </w:tcPr>
                <w:p w14:paraId="5BCDAB8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分类</w:t>
                  </w:r>
                </w:p>
              </w:tc>
              <w:tc>
                <w:tcPr>
                  <w:tcW w:w="1192" w:type="dxa"/>
                  <w:tcBorders>
                    <w:top w:val="single" w:color="auto" w:sz="2" w:space="0"/>
                    <w:left w:val="single" w:color="auto" w:sz="2" w:space="0"/>
                    <w:bottom w:val="single" w:color="auto" w:sz="2" w:space="0"/>
                    <w:right w:val="single" w:color="auto" w:sz="2" w:space="0"/>
                  </w:tcBorders>
                  <w:vAlign w:val="center"/>
                </w:tcPr>
                <w:p w14:paraId="5022B87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电压等级</w:t>
                  </w:r>
                </w:p>
              </w:tc>
              <w:tc>
                <w:tcPr>
                  <w:tcW w:w="1117" w:type="dxa"/>
                  <w:tcBorders>
                    <w:top w:val="single" w:color="auto" w:sz="2" w:space="0"/>
                    <w:left w:val="single" w:color="auto" w:sz="2" w:space="0"/>
                    <w:bottom w:val="single" w:color="auto" w:sz="2" w:space="0"/>
                    <w:right w:val="single" w:color="auto" w:sz="2" w:space="0"/>
                  </w:tcBorders>
                  <w:vAlign w:val="center"/>
                </w:tcPr>
                <w:p w14:paraId="2E4A922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工程</w:t>
                  </w:r>
                </w:p>
              </w:tc>
              <w:tc>
                <w:tcPr>
                  <w:tcW w:w="3937" w:type="dxa"/>
                  <w:tcBorders>
                    <w:top w:val="single" w:color="auto" w:sz="2" w:space="0"/>
                    <w:left w:val="single" w:color="auto" w:sz="2" w:space="0"/>
                    <w:bottom w:val="single" w:color="auto" w:sz="2" w:space="0"/>
                    <w:right w:val="single" w:color="auto" w:sz="2" w:space="0"/>
                  </w:tcBorders>
                  <w:vAlign w:val="center"/>
                </w:tcPr>
                <w:p w14:paraId="00AF40B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条件</w:t>
                  </w:r>
                </w:p>
              </w:tc>
              <w:tc>
                <w:tcPr>
                  <w:tcW w:w="1089" w:type="dxa"/>
                  <w:tcBorders>
                    <w:top w:val="single" w:color="auto" w:sz="2" w:space="0"/>
                    <w:left w:val="single" w:color="auto" w:sz="2" w:space="0"/>
                    <w:bottom w:val="single" w:color="auto" w:sz="2" w:space="0"/>
                    <w:right w:val="single" w:color="auto" w:sz="2" w:space="0"/>
                  </w:tcBorders>
                  <w:vAlign w:val="center"/>
                </w:tcPr>
                <w:p w14:paraId="76F6F6A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评价工作等级</w:t>
                  </w:r>
                </w:p>
              </w:tc>
            </w:tr>
            <w:tr w14:paraId="1571DE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restart"/>
                  <w:tcBorders>
                    <w:top w:val="single" w:color="auto" w:sz="2" w:space="0"/>
                    <w:left w:val="single" w:color="auto" w:sz="2" w:space="0"/>
                    <w:bottom w:val="single" w:color="auto" w:sz="2" w:space="0"/>
                    <w:right w:val="single" w:color="auto" w:sz="2" w:space="0"/>
                  </w:tcBorders>
                  <w:vAlign w:val="center"/>
                </w:tcPr>
                <w:p w14:paraId="1EA7C89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交流</w:t>
                  </w:r>
                </w:p>
              </w:tc>
              <w:tc>
                <w:tcPr>
                  <w:tcW w:w="1192" w:type="dxa"/>
                  <w:vMerge w:val="restart"/>
                  <w:tcBorders>
                    <w:top w:val="single" w:color="auto" w:sz="2" w:space="0"/>
                    <w:left w:val="single" w:color="auto" w:sz="2" w:space="0"/>
                    <w:bottom w:val="single" w:color="auto" w:sz="2" w:space="0"/>
                    <w:right w:val="single" w:color="auto" w:sz="2" w:space="0"/>
                  </w:tcBorders>
                  <w:vAlign w:val="center"/>
                </w:tcPr>
                <w:p w14:paraId="7BDDAF9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110kV</w:t>
                  </w:r>
                </w:p>
              </w:tc>
              <w:tc>
                <w:tcPr>
                  <w:tcW w:w="1117" w:type="dxa"/>
                  <w:vMerge w:val="restart"/>
                  <w:tcBorders>
                    <w:top w:val="single" w:color="auto" w:sz="2" w:space="0"/>
                    <w:left w:val="single" w:color="auto" w:sz="2" w:space="0"/>
                    <w:bottom w:val="single" w:color="auto" w:sz="2" w:space="0"/>
                    <w:right w:val="single" w:color="auto" w:sz="2" w:space="0"/>
                  </w:tcBorders>
                  <w:vAlign w:val="center"/>
                </w:tcPr>
                <w:p w14:paraId="2A4EB4A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变电站</w:t>
                  </w:r>
                </w:p>
              </w:tc>
              <w:tc>
                <w:tcPr>
                  <w:tcW w:w="3937" w:type="dxa"/>
                  <w:tcBorders>
                    <w:top w:val="single" w:color="auto" w:sz="2" w:space="0"/>
                    <w:left w:val="single" w:color="auto" w:sz="2" w:space="0"/>
                    <w:bottom w:val="single" w:color="auto" w:sz="2" w:space="0"/>
                    <w:right w:val="single" w:color="auto" w:sz="2" w:space="0"/>
                  </w:tcBorders>
                  <w:vAlign w:val="center"/>
                </w:tcPr>
                <w:p w14:paraId="718D49B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户内式，地下式</w:t>
                  </w:r>
                </w:p>
              </w:tc>
              <w:tc>
                <w:tcPr>
                  <w:tcW w:w="1089" w:type="dxa"/>
                  <w:tcBorders>
                    <w:top w:val="single" w:color="auto" w:sz="2" w:space="0"/>
                    <w:left w:val="single" w:color="auto" w:sz="2" w:space="0"/>
                    <w:bottom w:val="single" w:color="auto" w:sz="2" w:space="0"/>
                    <w:right w:val="single" w:color="auto" w:sz="2" w:space="0"/>
                  </w:tcBorders>
                  <w:vAlign w:val="center"/>
                </w:tcPr>
                <w:p w14:paraId="5E9AD24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三级</w:t>
                  </w:r>
                </w:p>
              </w:tc>
            </w:tr>
            <w:tr w14:paraId="607CB98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0D7F062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1C2E036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continue"/>
                  <w:tcBorders>
                    <w:top w:val="single" w:color="auto" w:sz="2" w:space="0"/>
                    <w:left w:val="single" w:color="auto" w:sz="2" w:space="0"/>
                    <w:bottom w:val="single" w:color="auto" w:sz="2" w:space="0"/>
                    <w:right w:val="single" w:color="auto" w:sz="2" w:space="0"/>
                  </w:tcBorders>
                  <w:vAlign w:val="center"/>
                </w:tcPr>
                <w:p w14:paraId="4AE38F5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3937" w:type="dxa"/>
                  <w:tcBorders>
                    <w:top w:val="single" w:color="auto" w:sz="2" w:space="0"/>
                    <w:left w:val="single" w:color="auto" w:sz="2" w:space="0"/>
                    <w:bottom w:val="single" w:color="auto" w:sz="2" w:space="0"/>
                    <w:right w:val="single" w:color="auto" w:sz="2" w:space="0"/>
                  </w:tcBorders>
                  <w:vAlign w:val="center"/>
                </w:tcPr>
                <w:p w14:paraId="1CDBFEF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户外式</w:t>
                  </w:r>
                </w:p>
              </w:tc>
              <w:tc>
                <w:tcPr>
                  <w:tcW w:w="1089" w:type="dxa"/>
                  <w:tcBorders>
                    <w:top w:val="single" w:color="auto" w:sz="2" w:space="0"/>
                    <w:left w:val="single" w:color="auto" w:sz="2" w:space="0"/>
                    <w:bottom w:val="single" w:color="auto" w:sz="2" w:space="0"/>
                    <w:right w:val="single" w:color="auto" w:sz="2" w:space="0"/>
                  </w:tcBorders>
                  <w:vAlign w:val="center"/>
                </w:tcPr>
                <w:p w14:paraId="42E8223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二级</w:t>
                  </w:r>
                </w:p>
              </w:tc>
            </w:tr>
            <w:tr w14:paraId="5F0DCD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58A7D12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755A3CE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restart"/>
                  <w:tcBorders>
                    <w:top w:val="single" w:color="auto" w:sz="2" w:space="0"/>
                    <w:left w:val="single" w:color="auto" w:sz="2" w:space="0"/>
                    <w:bottom w:val="single" w:color="auto" w:sz="2" w:space="0"/>
                    <w:right w:val="single" w:color="auto" w:sz="2" w:space="0"/>
                  </w:tcBorders>
                  <w:vAlign w:val="center"/>
                </w:tcPr>
                <w:p w14:paraId="2F71226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输电线路</w:t>
                  </w:r>
                </w:p>
              </w:tc>
              <w:tc>
                <w:tcPr>
                  <w:tcW w:w="3937" w:type="dxa"/>
                  <w:tcBorders>
                    <w:top w:val="single" w:color="auto" w:sz="2" w:space="0"/>
                    <w:left w:val="single" w:color="auto" w:sz="2" w:space="0"/>
                    <w:bottom w:val="single" w:color="auto" w:sz="2" w:space="0"/>
                    <w:right w:val="single" w:color="auto" w:sz="2" w:space="0"/>
                  </w:tcBorders>
                  <w:vAlign w:val="center"/>
                </w:tcPr>
                <w:p w14:paraId="5313E64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地下电缆</w:t>
                  </w:r>
                </w:p>
                <w:p w14:paraId="1C295CC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10m</w:t>
                  </w:r>
                  <w:r>
                    <w:rPr>
                      <w:rFonts w:hint="eastAsia"/>
                      <w:color w:val="000000" w:themeColor="text1"/>
                      <w:szCs w:val="21"/>
                      <w14:textFill>
                        <w14:solidFill>
                          <w14:schemeClr w14:val="tx1"/>
                        </w14:solidFill>
                      </w14:textFill>
                    </w:rPr>
                    <w:t>范围内无电磁环境敏感目标的架空线</w:t>
                  </w:r>
                </w:p>
              </w:tc>
              <w:tc>
                <w:tcPr>
                  <w:tcW w:w="1089" w:type="dxa"/>
                  <w:tcBorders>
                    <w:top w:val="single" w:color="auto" w:sz="2" w:space="0"/>
                    <w:left w:val="single" w:color="auto" w:sz="2" w:space="0"/>
                    <w:bottom w:val="single" w:color="auto" w:sz="2" w:space="0"/>
                    <w:right w:val="single" w:color="auto" w:sz="2" w:space="0"/>
                  </w:tcBorders>
                  <w:vAlign w:val="center"/>
                </w:tcPr>
                <w:p w14:paraId="5EC4DA8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三级</w:t>
                  </w:r>
                </w:p>
              </w:tc>
            </w:tr>
            <w:tr w14:paraId="523FC9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3EA936F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59BC68A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continue"/>
                  <w:tcBorders>
                    <w:top w:val="single" w:color="auto" w:sz="2" w:space="0"/>
                    <w:left w:val="single" w:color="auto" w:sz="2" w:space="0"/>
                    <w:bottom w:val="single" w:color="auto" w:sz="2" w:space="0"/>
                    <w:right w:val="single" w:color="auto" w:sz="2" w:space="0"/>
                  </w:tcBorders>
                  <w:vAlign w:val="center"/>
                </w:tcPr>
                <w:p w14:paraId="6962C68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3937" w:type="dxa"/>
                  <w:tcBorders>
                    <w:top w:val="single" w:color="auto" w:sz="2" w:space="0"/>
                    <w:left w:val="single" w:color="auto" w:sz="2" w:space="0"/>
                    <w:bottom w:val="single" w:color="auto" w:sz="2" w:space="0"/>
                    <w:right w:val="single" w:color="auto" w:sz="2" w:space="0"/>
                  </w:tcBorders>
                  <w:vAlign w:val="center"/>
                </w:tcPr>
                <w:p w14:paraId="33711E4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10m</w:t>
                  </w:r>
                  <w:r>
                    <w:rPr>
                      <w:rFonts w:hint="eastAsia"/>
                      <w:color w:val="000000" w:themeColor="text1"/>
                      <w:szCs w:val="21"/>
                      <w14:textFill>
                        <w14:solidFill>
                          <w14:schemeClr w14:val="tx1"/>
                        </w14:solidFill>
                      </w14:textFill>
                    </w:rPr>
                    <w:t>范围内有电磁环境敏感目标的架空线</w:t>
                  </w:r>
                </w:p>
              </w:tc>
              <w:tc>
                <w:tcPr>
                  <w:tcW w:w="1089" w:type="dxa"/>
                  <w:tcBorders>
                    <w:top w:val="single" w:color="auto" w:sz="2" w:space="0"/>
                    <w:left w:val="single" w:color="auto" w:sz="2" w:space="0"/>
                    <w:bottom w:val="single" w:color="auto" w:sz="2" w:space="0"/>
                    <w:right w:val="single" w:color="auto" w:sz="2" w:space="0"/>
                  </w:tcBorders>
                  <w:vAlign w:val="center"/>
                </w:tcPr>
                <w:p w14:paraId="316D31F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二级</w:t>
                  </w:r>
                </w:p>
              </w:tc>
            </w:tr>
            <w:tr w14:paraId="219FFA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7E8D2E2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restart"/>
                  <w:tcBorders>
                    <w:top w:val="single" w:color="auto" w:sz="2" w:space="0"/>
                    <w:left w:val="single" w:color="auto" w:sz="2" w:space="0"/>
                    <w:bottom w:val="single" w:color="auto" w:sz="2" w:space="0"/>
                    <w:right w:val="single" w:color="auto" w:sz="2" w:space="0"/>
                  </w:tcBorders>
                  <w:vAlign w:val="center"/>
                </w:tcPr>
                <w:p w14:paraId="68938F4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220-330kV</w:t>
                  </w:r>
                </w:p>
              </w:tc>
              <w:tc>
                <w:tcPr>
                  <w:tcW w:w="1117" w:type="dxa"/>
                  <w:vMerge w:val="restart"/>
                  <w:tcBorders>
                    <w:top w:val="single" w:color="auto" w:sz="2" w:space="0"/>
                    <w:left w:val="single" w:color="auto" w:sz="2" w:space="0"/>
                    <w:bottom w:val="single" w:color="auto" w:sz="2" w:space="0"/>
                    <w:right w:val="single" w:color="auto" w:sz="2" w:space="0"/>
                  </w:tcBorders>
                  <w:vAlign w:val="center"/>
                </w:tcPr>
                <w:p w14:paraId="7E252A8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变电站</w:t>
                  </w:r>
                </w:p>
              </w:tc>
              <w:tc>
                <w:tcPr>
                  <w:tcW w:w="3937" w:type="dxa"/>
                  <w:tcBorders>
                    <w:top w:val="single" w:color="auto" w:sz="2" w:space="0"/>
                    <w:left w:val="single" w:color="auto" w:sz="2" w:space="0"/>
                    <w:bottom w:val="single" w:color="auto" w:sz="2" w:space="0"/>
                    <w:right w:val="single" w:color="auto" w:sz="2" w:space="0"/>
                  </w:tcBorders>
                  <w:vAlign w:val="center"/>
                </w:tcPr>
                <w:p w14:paraId="55B2131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户内式，地下式</w:t>
                  </w:r>
                </w:p>
              </w:tc>
              <w:tc>
                <w:tcPr>
                  <w:tcW w:w="1089" w:type="dxa"/>
                  <w:tcBorders>
                    <w:top w:val="single" w:color="auto" w:sz="2" w:space="0"/>
                    <w:left w:val="single" w:color="auto" w:sz="2" w:space="0"/>
                    <w:bottom w:val="single" w:color="auto" w:sz="2" w:space="0"/>
                    <w:right w:val="single" w:color="auto" w:sz="2" w:space="0"/>
                  </w:tcBorders>
                  <w:vAlign w:val="center"/>
                </w:tcPr>
                <w:p w14:paraId="2F09B4D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三级</w:t>
                  </w:r>
                </w:p>
              </w:tc>
            </w:tr>
            <w:tr w14:paraId="0412C0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0C9E70F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15FED1B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continue"/>
                  <w:tcBorders>
                    <w:top w:val="single" w:color="auto" w:sz="2" w:space="0"/>
                    <w:left w:val="single" w:color="auto" w:sz="2" w:space="0"/>
                    <w:bottom w:val="single" w:color="auto" w:sz="2" w:space="0"/>
                    <w:right w:val="single" w:color="auto" w:sz="2" w:space="0"/>
                  </w:tcBorders>
                  <w:vAlign w:val="center"/>
                </w:tcPr>
                <w:p w14:paraId="5B04257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3937" w:type="dxa"/>
                  <w:tcBorders>
                    <w:top w:val="single" w:color="auto" w:sz="2" w:space="0"/>
                    <w:left w:val="single" w:color="auto" w:sz="2" w:space="0"/>
                    <w:bottom w:val="single" w:color="auto" w:sz="2" w:space="0"/>
                    <w:right w:val="single" w:color="auto" w:sz="2" w:space="0"/>
                  </w:tcBorders>
                  <w:vAlign w:val="center"/>
                </w:tcPr>
                <w:p w14:paraId="40790D2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户外式</w:t>
                  </w:r>
                </w:p>
              </w:tc>
              <w:tc>
                <w:tcPr>
                  <w:tcW w:w="1089" w:type="dxa"/>
                  <w:tcBorders>
                    <w:top w:val="single" w:color="auto" w:sz="2" w:space="0"/>
                    <w:left w:val="single" w:color="auto" w:sz="2" w:space="0"/>
                    <w:bottom w:val="single" w:color="auto" w:sz="2" w:space="0"/>
                    <w:right w:val="single" w:color="auto" w:sz="2" w:space="0"/>
                  </w:tcBorders>
                  <w:vAlign w:val="center"/>
                </w:tcPr>
                <w:p w14:paraId="0E6ABF4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二级</w:t>
                  </w:r>
                </w:p>
              </w:tc>
            </w:tr>
            <w:tr w14:paraId="7BD4FF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6E466BD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4B255C1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restart"/>
                  <w:tcBorders>
                    <w:top w:val="single" w:color="auto" w:sz="2" w:space="0"/>
                    <w:left w:val="single" w:color="auto" w:sz="2" w:space="0"/>
                    <w:bottom w:val="single" w:color="auto" w:sz="2" w:space="0"/>
                    <w:right w:val="single" w:color="auto" w:sz="2" w:space="0"/>
                  </w:tcBorders>
                  <w:vAlign w:val="center"/>
                </w:tcPr>
                <w:p w14:paraId="6628700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输电线路</w:t>
                  </w:r>
                </w:p>
              </w:tc>
              <w:tc>
                <w:tcPr>
                  <w:tcW w:w="3937" w:type="dxa"/>
                  <w:tcBorders>
                    <w:top w:val="single" w:color="auto" w:sz="2" w:space="0"/>
                    <w:left w:val="single" w:color="auto" w:sz="2" w:space="0"/>
                    <w:bottom w:val="single" w:color="auto" w:sz="2" w:space="0"/>
                    <w:right w:val="single" w:color="auto" w:sz="2" w:space="0"/>
                  </w:tcBorders>
                  <w:vAlign w:val="center"/>
                </w:tcPr>
                <w:p w14:paraId="557C2E7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地下电缆</w:t>
                  </w:r>
                </w:p>
                <w:p w14:paraId="008E8A7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15m</w:t>
                  </w:r>
                  <w:r>
                    <w:rPr>
                      <w:rFonts w:hint="eastAsia"/>
                      <w:color w:val="000000" w:themeColor="text1"/>
                      <w:szCs w:val="21"/>
                      <w14:textFill>
                        <w14:solidFill>
                          <w14:schemeClr w14:val="tx1"/>
                        </w14:solidFill>
                      </w14:textFill>
                    </w:rPr>
                    <w:t>范围内无电磁环境敏感目标的架空线</w:t>
                  </w:r>
                </w:p>
              </w:tc>
              <w:tc>
                <w:tcPr>
                  <w:tcW w:w="1089" w:type="dxa"/>
                  <w:tcBorders>
                    <w:top w:val="single" w:color="auto" w:sz="2" w:space="0"/>
                    <w:left w:val="single" w:color="auto" w:sz="2" w:space="0"/>
                    <w:bottom w:val="single" w:color="auto" w:sz="2" w:space="0"/>
                    <w:right w:val="single" w:color="auto" w:sz="2" w:space="0"/>
                  </w:tcBorders>
                  <w:vAlign w:val="center"/>
                </w:tcPr>
                <w:p w14:paraId="59F0B2A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三级</w:t>
                  </w:r>
                </w:p>
              </w:tc>
            </w:tr>
            <w:tr w14:paraId="0A65F1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562399A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257C7FC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continue"/>
                  <w:tcBorders>
                    <w:top w:val="single" w:color="auto" w:sz="2" w:space="0"/>
                    <w:left w:val="single" w:color="auto" w:sz="2" w:space="0"/>
                    <w:bottom w:val="single" w:color="auto" w:sz="2" w:space="0"/>
                    <w:right w:val="single" w:color="auto" w:sz="2" w:space="0"/>
                  </w:tcBorders>
                  <w:vAlign w:val="center"/>
                </w:tcPr>
                <w:p w14:paraId="4889AB8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3937" w:type="dxa"/>
                  <w:tcBorders>
                    <w:top w:val="single" w:color="auto" w:sz="2" w:space="0"/>
                    <w:left w:val="single" w:color="auto" w:sz="2" w:space="0"/>
                    <w:bottom w:val="single" w:color="auto" w:sz="2" w:space="0"/>
                    <w:right w:val="single" w:color="auto" w:sz="2" w:space="0"/>
                  </w:tcBorders>
                  <w:vAlign w:val="center"/>
                </w:tcPr>
                <w:p w14:paraId="310214B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15m</w:t>
                  </w:r>
                  <w:r>
                    <w:rPr>
                      <w:rFonts w:hint="eastAsia"/>
                      <w:color w:val="000000" w:themeColor="text1"/>
                      <w:szCs w:val="21"/>
                      <w14:textFill>
                        <w14:solidFill>
                          <w14:schemeClr w14:val="tx1"/>
                        </w14:solidFill>
                      </w14:textFill>
                    </w:rPr>
                    <w:t>范围内有电磁环境敏感目标的架空线</w:t>
                  </w:r>
                </w:p>
              </w:tc>
              <w:tc>
                <w:tcPr>
                  <w:tcW w:w="1089" w:type="dxa"/>
                  <w:tcBorders>
                    <w:top w:val="single" w:color="auto" w:sz="2" w:space="0"/>
                    <w:left w:val="single" w:color="auto" w:sz="2" w:space="0"/>
                    <w:bottom w:val="single" w:color="auto" w:sz="2" w:space="0"/>
                    <w:right w:val="single" w:color="auto" w:sz="2" w:space="0"/>
                  </w:tcBorders>
                  <w:vAlign w:val="center"/>
                </w:tcPr>
                <w:p w14:paraId="3B8CE351">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二级</w:t>
                  </w:r>
                </w:p>
              </w:tc>
            </w:tr>
            <w:tr w14:paraId="40E0B6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33AF511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restart"/>
                  <w:tcBorders>
                    <w:top w:val="single" w:color="auto" w:sz="2" w:space="0"/>
                    <w:left w:val="single" w:color="auto" w:sz="2" w:space="0"/>
                    <w:bottom w:val="single" w:color="auto" w:sz="2" w:space="0"/>
                    <w:right w:val="single" w:color="auto" w:sz="2" w:space="0"/>
                  </w:tcBorders>
                  <w:vAlign w:val="center"/>
                </w:tcPr>
                <w:p w14:paraId="159CD0C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500kV</w:t>
                  </w:r>
                </w:p>
                <w:p w14:paraId="6C2230E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及以上</w:t>
                  </w:r>
                </w:p>
              </w:tc>
              <w:tc>
                <w:tcPr>
                  <w:tcW w:w="1117" w:type="dxa"/>
                  <w:vMerge w:val="restart"/>
                  <w:tcBorders>
                    <w:top w:val="single" w:color="auto" w:sz="2" w:space="0"/>
                    <w:left w:val="single" w:color="auto" w:sz="2" w:space="0"/>
                    <w:bottom w:val="single" w:color="auto" w:sz="2" w:space="0"/>
                    <w:right w:val="single" w:color="auto" w:sz="2" w:space="0"/>
                  </w:tcBorders>
                  <w:vAlign w:val="center"/>
                </w:tcPr>
                <w:p w14:paraId="08CF3E4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变电站</w:t>
                  </w:r>
                </w:p>
              </w:tc>
              <w:tc>
                <w:tcPr>
                  <w:tcW w:w="3937" w:type="dxa"/>
                  <w:tcBorders>
                    <w:top w:val="single" w:color="auto" w:sz="2" w:space="0"/>
                    <w:left w:val="single" w:color="auto" w:sz="2" w:space="0"/>
                    <w:bottom w:val="single" w:color="auto" w:sz="2" w:space="0"/>
                    <w:right w:val="single" w:color="auto" w:sz="2" w:space="0"/>
                  </w:tcBorders>
                  <w:vAlign w:val="center"/>
                </w:tcPr>
                <w:p w14:paraId="1100105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户内式，地下式</w:t>
                  </w:r>
                </w:p>
              </w:tc>
              <w:tc>
                <w:tcPr>
                  <w:tcW w:w="1089" w:type="dxa"/>
                  <w:tcBorders>
                    <w:top w:val="single" w:color="auto" w:sz="2" w:space="0"/>
                    <w:left w:val="single" w:color="auto" w:sz="2" w:space="0"/>
                    <w:bottom w:val="single" w:color="auto" w:sz="2" w:space="0"/>
                    <w:right w:val="single" w:color="auto" w:sz="2" w:space="0"/>
                  </w:tcBorders>
                  <w:vAlign w:val="center"/>
                </w:tcPr>
                <w:p w14:paraId="03D67FF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二级</w:t>
                  </w:r>
                </w:p>
              </w:tc>
            </w:tr>
            <w:tr w14:paraId="637621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75015DA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514F897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continue"/>
                  <w:tcBorders>
                    <w:top w:val="single" w:color="auto" w:sz="2" w:space="0"/>
                    <w:left w:val="single" w:color="auto" w:sz="2" w:space="0"/>
                    <w:bottom w:val="single" w:color="auto" w:sz="2" w:space="0"/>
                    <w:right w:val="single" w:color="auto" w:sz="2" w:space="0"/>
                  </w:tcBorders>
                  <w:vAlign w:val="center"/>
                </w:tcPr>
                <w:p w14:paraId="4765E46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3937" w:type="dxa"/>
                  <w:tcBorders>
                    <w:top w:val="single" w:color="auto" w:sz="2" w:space="0"/>
                    <w:left w:val="single" w:color="auto" w:sz="2" w:space="0"/>
                    <w:bottom w:val="single" w:color="auto" w:sz="2" w:space="0"/>
                    <w:right w:val="single" w:color="auto" w:sz="2" w:space="0"/>
                  </w:tcBorders>
                  <w:vAlign w:val="center"/>
                </w:tcPr>
                <w:p w14:paraId="4D40DE2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户外式</w:t>
                  </w:r>
                </w:p>
              </w:tc>
              <w:tc>
                <w:tcPr>
                  <w:tcW w:w="1089" w:type="dxa"/>
                  <w:tcBorders>
                    <w:top w:val="single" w:color="auto" w:sz="2" w:space="0"/>
                    <w:left w:val="single" w:color="auto" w:sz="2" w:space="0"/>
                    <w:bottom w:val="single" w:color="auto" w:sz="2" w:space="0"/>
                    <w:right w:val="single" w:color="auto" w:sz="2" w:space="0"/>
                  </w:tcBorders>
                  <w:vAlign w:val="center"/>
                </w:tcPr>
                <w:p w14:paraId="505CE4C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一级</w:t>
                  </w:r>
                </w:p>
              </w:tc>
            </w:tr>
            <w:tr w14:paraId="7D87F32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09FD28C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345B009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restart"/>
                  <w:tcBorders>
                    <w:top w:val="single" w:color="auto" w:sz="2" w:space="0"/>
                    <w:left w:val="single" w:color="auto" w:sz="2" w:space="0"/>
                    <w:bottom w:val="single" w:color="auto" w:sz="2" w:space="0"/>
                    <w:right w:val="single" w:color="auto" w:sz="2" w:space="0"/>
                  </w:tcBorders>
                  <w:vAlign w:val="center"/>
                </w:tcPr>
                <w:p w14:paraId="59191AE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输电线路</w:t>
                  </w:r>
                </w:p>
              </w:tc>
              <w:tc>
                <w:tcPr>
                  <w:tcW w:w="3937" w:type="dxa"/>
                  <w:tcBorders>
                    <w:top w:val="single" w:color="auto" w:sz="2" w:space="0"/>
                    <w:left w:val="single" w:color="auto" w:sz="2" w:space="0"/>
                    <w:bottom w:val="single" w:color="auto" w:sz="2" w:space="0"/>
                    <w:right w:val="single" w:color="auto" w:sz="2" w:space="0"/>
                  </w:tcBorders>
                  <w:vAlign w:val="center"/>
                </w:tcPr>
                <w:p w14:paraId="4A2EEA9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地下电缆</w:t>
                  </w:r>
                </w:p>
                <w:p w14:paraId="062F74A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20m</w:t>
                  </w:r>
                  <w:r>
                    <w:rPr>
                      <w:rFonts w:hint="eastAsia"/>
                      <w:color w:val="000000" w:themeColor="text1"/>
                      <w:szCs w:val="21"/>
                      <w14:textFill>
                        <w14:solidFill>
                          <w14:schemeClr w14:val="tx1"/>
                        </w14:solidFill>
                      </w14:textFill>
                    </w:rPr>
                    <w:t>范围内无电磁环境敏感目标的架空线</w:t>
                  </w:r>
                </w:p>
              </w:tc>
              <w:tc>
                <w:tcPr>
                  <w:tcW w:w="1089" w:type="dxa"/>
                  <w:tcBorders>
                    <w:top w:val="single" w:color="auto" w:sz="2" w:space="0"/>
                    <w:left w:val="single" w:color="auto" w:sz="2" w:space="0"/>
                    <w:bottom w:val="single" w:color="auto" w:sz="2" w:space="0"/>
                    <w:right w:val="single" w:color="auto" w:sz="2" w:space="0"/>
                  </w:tcBorders>
                  <w:vAlign w:val="center"/>
                </w:tcPr>
                <w:p w14:paraId="2EB0F4A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二级</w:t>
                  </w:r>
                </w:p>
              </w:tc>
            </w:tr>
            <w:tr w14:paraId="196848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04CA66D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vMerge w:val="continue"/>
                  <w:tcBorders>
                    <w:top w:val="single" w:color="auto" w:sz="2" w:space="0"/>
                    <w:left w:val="single" w:color="auto" w:sz="2" w:space="0"/>
                    <w:bottom w:val="single" w:color="auto" w:sz="2" w:space="0"/>
                    <w:right w:val="single" w:color="auto" w:sz="2" w:space="0"/>
                  </w:tcBorders>
                  <w:vAlign w:val="center"/>
                </w:tcPr>
                <w:p w14:paraId="276D081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7" w:type="dxa"/>
                  <w:vMerge w:val="continue"/>
                  <w:tcBorders>
                    <w:top w:val="single" w:color="auto" w:sz="2" w:space="0"/>
                    <w:left w:val="single" w:color="auto" w:sz="2" w:space="0"/>
                    <w:bottom w:val="single" w:color="auto" w:sz="2" w:space="0"/>
                    <w:right w:val="single" w:color="auto" w:sz="2" w:space="0"/>
                  </w:tcBorders>
                  <w:vAlign w:val="center"/>
                </w:tcPr>
                <w:p w14:paraId="356C7FE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3937" w:type="dxa"/>
                  <w:tcBorders>
                    <w:top w:val="single" w:color="auto" w:sz="2" w:space="0"/>
                    <w:left w:val="single" w:color="auto" w:sz="2" w:space="0"/>
                    <w:bottom w:val="single" w:color="auto" w:sz="2" w:space="0"/>
                    <w:right w:val="single" w:color="auto" w:sz="2" w:space="0"/>
                  </w:tcBorders>
                  <w:vAlign w:val="center"/>
                </w:tcPr>
                <w:p w14:paraId="251C020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20m</w:t>
                  </w:r>
                  <w:r>
                    <w:rPr>
                      <w:rFonts w:hint="eastAsia"/>
                      <w:color w:val="000000" w:themeColor="text1"/>
                      <w:szCs w:val="21"/>
                      <w14:textFill>
                        <w14:solidFill>
                          <w14:schemeClr w14:val="tx1"/>
                        </w14:solidFill>
                      </w14:textFill>
                    </w:rPr>
                    <w:t>范围内有电磁环境敏感目标的架空线</w:t>
                  </w:r>
                </w:p>
              </w:tc>
              <w:tc>
                <w:tcPr>
                  <w:tcW w:w="1089" w:type="dxa"/>
                  <w:tcBorders>
                    <w:top w:val="single" w:color="auto" w:sz="2" w:space="0"/>
                    <w:left w:val="single" w:color="auto" w:sz="2" w:space="0"/>
                    <w:bottom w:val="single" w:color="auto" w:sz="2" w:space="0"/>
                    <w:right w:val="single" w:color="auto" w:sz="2" w:space="0"/>
                  </w:tcBorders>
                  <w:vAlign w:val="center"/>
                </w:tcPr>
                <w:p w14:paraId="181B78F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一级</w:t>
                  </w:r>
                </w:p>
              </w:tc>
            </w:tr>
            <w:tr w14:paraId="7E43B3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restart"/>
                  <w:tcBorders>
                    <w:top w:val="single" w:color="auto" w:sz="2" w:space="0"/>
                    <w:left w:val="single" w:color="auto" w:sz="2" w:space="0"/>
                    <w:bottom w:val="single" w:color="auto" w:sz="2" w:space="0"/>
                    <w:right w:val="single" w:color="auto" w:sz="2" w:space="0"/>
                  </w:tcBorders>
                  <w:vAlign w:val="center"/>
                </w:tcPr>
                <w:p w14:paraId="4DC2695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直流</w:t>
                  </w:r>
                </w:p>
              </w:tc>
              <w:tc>
                <w:tcPr>
                  <w:tcW w:w="1192" w:type="dxa"/>
                  <w:tcBorders>
                    <w:top w:val="single" w:color="auto" w:sz="2" w:space="0"/>
                    <w:left w:val="single" w:color="auto" w:sz="2" w:space="0"/>
                    <w:bottom w:val="single" w:color="auto" w:sz="2" w:space="0"/>
                    <w:right w:val="single" w:color="auto" w:sz="2" w:space="0"/>
                  </w:tcBorders>
                  <w:vAlign w:val="center"/>
                </w:tcPr>
                <w:p w14:paraId="7FEA9A6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±400kV</w:t>
                  </w:r>
                </w:p>
                <w:p w14:paraId="3BF36F1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及以上</w:t>
                  </w:r>
                </w:p>
              </w:tc>
              <w:tc>
                <w:tcPr>
                  <w:tcW w:w="1117" w:type="dxa"/>
                  <w:tcBorders>
                    <w:top w:val="single" w:color="auto" w:sz="2" w:space="0"/>
                    <w:left w:val="single" w:color="auto" w:sz="2" w:space="0"/>
                    <w:bottom w:val="single" w:color="auto" w:sz="2" w:space="0"/>
                    <w:right w:val="single" w:color="auto" w:sz="2" w:space="0"/>
                  </w:tcBorders>
                  <w:vAlign w:val="center"/>
                </w:tcPr>
                <w:p w14:paraId="05B5E40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3937" w:type="dxa"/>
                  <w:tcBorders>
                    <w:top w:val="single" w:color="auto" w:sz="2" w:space="0"/>
                    <w:left w:val="single" w:color="auto" w:sz="2" w:space="0"/>
                    <w:bottom w:val="single" w:color="auto" w:sz="2" w:space="0"/>
                    <w:right w:val="single" w:color="auto" w:sz="2" w:space="0"/>
                  </w:tcBorders>
                  <w:vAlign w:val="center"/>
                </w:tcPr>
                <w:p w14:paraId="1048A61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089" w:type="dxa"/>
                  <w:tcBorders>
                    <w:top w:val="single" w:color="auto" w:sz="2" w:space="0"/>
                    <w:left w:val="single" w:color="auto" w:sz="2" w:space="0"/>
                    <w:bottom w:val="single" w:color="auto" w:sz="2" w:space="0"/>
                    <w:right w:val="single" w:color="auto" w:sz="2" w:space="0"/>
                  </w:tcBorders>
                  <w:vAlign w:val="center"/>
                </w:tcPr>
                <w:p w14:paraId="070A895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一级</w:t>
                  </w:r>
                </w:p>
              </w:tc>
            </w:tr>
            <w:tr w14:paraId="3ADB7B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603" w:type="dxa"/>
                  <w:vMerge w:val="continue"/>
                  <w:tcBorders>
                    <w:top w:val="single" w:color="auto" w:sz="2" w:space="0"/>
                    <w:left w:val="single" w:color="auto" w:sz="2" w:space="0"/>
                    <w:bottom w:val="single" w:color="auto" w:sz="2" w:space="0"/>
                    <w:right w:val="single" w:color="auto" w:sz="2" w:space="0"/>
                  </w:tcBorders>
                  <w:vAlign w:val="center"/>
                </w:tcPr>
                <w:p w14:paraId="5311E66A">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92" w:type="dxa"/>
                  <w:tcBorders>
                    <w:top w:val="single" w:color="auto" w:sz="2" w:space="0"/>
                    <w:left w:val="single" w:color="auto" w:sz="2" w:space="0"/>
                    <w:bottom w:val="single" w:color="auto" w:sz="2" w:space="0"/>
                    <w:right w:val="single" w:color="auto" w:sz="2" w:space="0"/>
                  </w:tcBorders>
                  <w:vAlign w:val="center"/>
                </w:tcPr>
                <w:p w14:paraId="0E9D845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其他</w:t>
                  </w:r>
                </w:p>
              </w:tc>
              <w:tc>
                <w:tcPr>
                  <w:tcW w:w="1117" w:type="dxa"/>
                  <w:tcBorders>
                    <w:top w:val="single" w:color="auto" w:sz="2" w:space="0"/>
                    <w:left w:val="single" w:color="auto" w:sz="2" w:space="0"/>
                    <w:bottom w:val="single" w:color="auto" w:sz="2" w:space="0"/>
                    <w:right w:val="single" w:color="auto" w:sz="2" w:space="0"/>
                  </w:tcBorders>
                  <w:vAlign w:val="center"/>
                </w:tcPr>
                <w:p w14:paraId="56E25E9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3937" w:type="dxa"/>
                  <w:tcBorders>
                    <w:top w:val="single" w:color="auto" w:sz="2" w:space="0"/>
                    <w:left w:val="single" w:color="auto" w:sz="2" w:space="0"/>
                    <w:bottom w:val="single" w:color="auto" w:sz="2" w:space="0"/>
                    <w:right w:val="single" w:color="auto" w:sz="2" w:space="0"/>
                  </w:tcBorders>
                  <w:vAlign w:val="center"/>
                </w:tcPr>
                <w:p w14:paraId="43A8310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w:t>
                  </w:r>
                </w:p>
              </w:tc>
              <w:tc>
                <w:tcPr>
                  <w:tcW w:w="1089" w:type="dxa"/>
                  <w:tcBorders>
                    <w:top w:val="single" w:color="auto" w:sz="2" w:space="0"/>
                    <w:left w:val="single" w:color="auto" w:sz="2" w:space="0"/>
                    <w:bottom w:val="single" w:color="auto" w:sz="2" w:space="0"/>
                    <w:right w:val="single" w:color="auto" w:sz="2" w:space="0"/>
                  </w:tcBorders>
                  <w:vAlign w:val="center"/>
                </w:tcPr>
                <w:p w14:paraId="0C3A048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二级</w:t>
                  </w:r>
                </w:p>
              </w:tc>
            </w:tr>
            <w:tr w14:paraId="539391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7938" w:type="dxa"/>
                  <w:gridSpan w:val="5"/>
                  <w:tcBorders>
                    <w:top w:val="single" w:color="auto" w:sz="2" w:space="0"/>
                    <w:left w:val="single" w:color="auto" w:sz="2" w:space="0"/>
                    <w:bottom w:val="single" w:color="auto" w:sz="2" w:space="0"/>
                    <w:right w:val="single" w:color="auto" w:sz="2" w:space="0"/>
                  </w:tcBorders>
                </w:tcPr>
                <w:p w14:paraId="2205B8D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注：根据同电压等级的变电站确定开关站、串补站的电磁环境影响评价工作等级，根据直流侧电压等级确定换流站的电磁环境影响评价工作等级</w:t>
                  </w:r>
                </w:p>
              </w:tc>
            </w:tr>
          </w:tbl>
          <w:p w14:paraId="2163F6B4">
            <w:pPr>
              <w:pStyle w:val="37"/>
              <w:keepNext w:val="0"/>
              <w:keepLines w:val="0"/>
              <w:suppressLineNumbers w:val="0"/>
              <w:spacing w:before="0" w:beforeAutospacing="0" w:after="0" w:afterAutospacing="0"/>
              <w:ind w:left="0" w:right="0" w:firstLine="480"/>
              <w:jc w:val="both"/>
              <w:rPr>
                <w:rFonts w:hint="default"/>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根据表</w:t>
            </w:r>
            <w:r>
              <w:rPr>
                <w:rFonts w:hint="eastAsia"/>
                <w:color w:val="000000" w:themeColor="text1"/>
                <w:sz w:val="24"/>
                <w:highlight w:val="none"/>
                <w:lang w:val="en-US"/>
                <w14:textFill>
                  <w14:solidFill>
                    <w14:schemeClr w14:val="tx1"/>
                  </w14:solidFill>
                </w14:textFill>
              </w:rPr>
              <w:t>1</w:t>
            </w:r>
            <w:r>
              <w:rPr>
                <w:rFonts w:hint="eastAsia"/>
                <w:color w:val="000000" w:themeColor="text1"/>
                <w:sz w:val="24"/>
                <w:highlight w:val="none"/>
                <w14:textFill>
                  <w14:solidFill>
                    <w14:schemeClr w14:val="tx1"/>
                  </w14:solidFill>
                </w14:textFill>
              </w:rPr>
              <w:t>，本工程中220千伏</w:t>
            </w:r>
            <w:r>
              <w:rPr>
                <w:rFonts w:hint="eastAsia"/>
                <w:color w:val="000000" w:themeColor="text1"/>
                <w:sz w:val="24"/>
                <w:highlight w:val="none"/>
                <w:lang w:val="en-US" w:eastAsia="zh-CN"/>
                <w14:textFill>
                  <w14:solidFill>
                    <w14:schemeClr w14:val="tx1"/>
                  </w14:solidFill>
                </w14:textFill>
              </w:rPr>
              <w:t>恒山</w:t>
            </w:r>
            <w:r>
              <w:rPr>
                <w:rFonts w:hint="eastAsia"/>
                <w:color w:val="000000" w:themeColor="text1"/>
                <w:sz w:val="24"/>
                <w:highlight w:val="none"/>
                <w:lang w:eastAsia="zh-CN"/>
                <w14:textFill>
                  <w14:solidFill>
                    <w14:schemeClr w14:val="tx1"/>
                  </w14:solidFill>
                </w14:textFill>
              </w:rPr>
              <w:t>变电站</w:t>
            </w:r>
            <w:r>
              <w:rPr>
                <w:rFonts w:hint="eastAsia"/>
                <w:color w:val="000000" w:themeColor="text1"/>
                <w:sz w:val="24"/>
                <w:highlight w:val="none"/>
                <w:lang w:val="en-US"/>
                <w14:textFill>
                  <w14:solidFill>
                    <w14:schemeClr w14:val="tx1"/>
                  </w14:solidFill>
                </w14:textFill>
              </w:rPr>
              <w:t>为</w:t>
            </w:r>
            <w:r>
              <w:rPr>
                <w:rFonts w:hint="eastAsia"/>
                <w:color w:val="000000" w:themeColor="text1"/>
                <w:sz w:val="24"/>
                <w:highlight w:val="none"/>
                <w:lang w:val="en-US" w:eastAsia="zh-CN"/>
                <w14:textFill>
                  <w14:solidFill>
                    <w14:schemeClr w14:val="tx1"/>
                  </w14:solidFill>
                </w14:textFill>
              </w:rPr>
              <w:t>22</w:t>
            </w:r>
            <w:r>
              <w:rPr>
                <w:rFonts w:hint="eastAsia"/>
                <w:color w:val="000000" w:themeColor="text1"/>
                <w:sz w:val="24"/>
                <w:highlight w:val="none"/>
                <w:lang w:val="en-US"/>
                <w14:textFill>
                  <w14:solidFill>
                    <w14:schemeClr w14:val="tx1"/>
                  </w14:solidFill>
                </w14:textFill>
              </w:rPr>
              <w:t>0kV户外式变电站，</w:t>
            </w:r>
            <w:r>
              <w:rPr>
                <w:rFonts w:hint="eastAsia"/>
                <w:color w:val="000000" w:themeColor="text1"/>
                <w:sz w:val="24"/>
                <w:highlight w:val="none"/>
                <w14:textFill>
                  <w14:solidFill>
                    <w14:schemeClr w14:val="tx1"/>
                  </w14:solidFill>
                </w14:textFill>
              </w:rPr>
              <w:t>电磁环境影响评价工作等级为二级</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新建及改造220千伏</w:t>
            </w:r>
            <w:r>
              <w:rPr>
                <w:rFonts w:hint="eastAsia"/>
                <w:color w:val="000000" w:themeColor="text1"/>
                <w:sz w:val="24"/>
                <w:highlight w:val="none"/>
                <w:lang w:val="en-US"/>
                <w14:textFill>
                  <w14:solidFill>
                    <w14:schemeClr w14:val="tx1"/>
                  </w14:solidFill>
                </w14:textFill>
              </w:rPr>
              <w:t>输电线路为边导线地面投影外两侧各</w:t>
            </w:r>
            <w:r>
              <w:rPr>
                <w:rFonts w:hint="eastAsia"/>
                <w:color w:val="000000" w:themeColor="text1"/>
                <w:sz w:val="24"/>
                <w:highlight w:val="none"/>
                <w:lang w:val="en-US" w:eastAsia="zh-CN"/>
                <w14:textFill>
                  <w14:solidFill>
                    <w14:schemeClr w14:val="tx1"/>
                  </w14:solidFill>
                </w14:textFill>
              </w:rPr>
              <w:t>15</w:t>
            </w:r>
            <w:r>
              <w:rPr>
                <w:rFonts w:hint="eastAsia"/>
                <w:color w:val="000000" w:themeColor="text1"/>
                <w:sz w:val="24"/>
                <w:highlight w:val="none"/>
                <w:lang w:val="en-US"/>
                <w14:textFill>
                  <w14:solidFill>
                    <w14:schemeClr w14:val="tx1"/>
                  </w14:solidFill>
                </w14:textFill>
              </w:rPr>
              <w:t>m范围内</w:t>
            </w:r>
            <w:r>
              <w:rPr>
                <w:rFonts w:hint="eastAsia"/>
                <w:color w:val="000000" w:themeColor="text1"/>
                <w:sz w:val="24"/>
                <w:highlight w:val="none"/>
                <w:lang w:val="en-US" w:eastAsia="zh-CN"/>
                <w14:textFill>
                  <w14:solidFill>
                    <w14:schemeClr w14:val="tx1"/>
                  </w14:solidFill>
                </w14:textFill>
              </w:rPr>
              <w:t>无</w:t>
            </w:r>
            <w:r>
              <w:rPr>
                <w:rFonts w:hint="eastAsia"/>
                <w:color w:val="000000" w:themeColor="text1"/>
                <w:sz w:val="24"/>
                <w:highlight w:val="none"/>
                <w:lang w:val="en-US"/>
                <w14:textFill>
                  <w14:solidFill>
                    <w14:schemeClr w14:val="tx1"/>
                  </w14:solidFill>
                </w14:textFill>
              </w:rPr>
              <w:t>电磁环境敏感目标，</w:t>
            </w:r>
            <w:r>
              <w:rPr>
                <w:rFonts w:hint="eastAsia"/>
                <w:color w:val="000000" w:themeColor="text1"/>
                <w:sz w:val="24"/>
                <w:highlight w:val="none"/>
                <w14:textFill>
                  <w14:solidFill>
                    <w14:schemeClr w14:val="tx1"/>
                  </w14:solidFill>
                </w14:textFill>
              </w:rPr>
              <w:t>电磁环境影响评价工作等级为</w:t>
            </w:r>
            <w:r>
              <w:rPr>
                <w:rFonts w:hint="eastAsia"/>
                <w:color w:val="000000" w:themeColor="text1"/>
                <w:sz w:val="24"/>
                <w:highlight w:val="none"/>
                <w:lang w:val="en-US" w:eastAsia="zh-CN"/>
                <w14:textFill>
                  <w14:solidFill>
                    <w14:schemeClr w14:val="tx1"/>
                  </w14:solidFill>
                </w14:textFill>
              </w:rPr>
              <w:t>三</w:t>
            </w:r>
            <w:r>
              <w:rPr>
                <w:rFonts w:hint="eastAsia"/>
                <w:color w:val="000000" w:themeColor="text1"/>
                <w:sz w:val="24"/>
                <w:highlight w:val="none"/>
                <w14:textFill>
                  <w14:solidFill>
                    <w14:schemeClr w14:val="tx1"/>
                  </w14:solidFill>
                </w14:textFill>
              </w:rPr>
              <w:t>级。</w:t>
            </w:r>
          </w:p>
          <w:p w14:paraId="516FAC4E">
            <w:pPr>
              <w:pStyle w:val="81"/>
              <w:keepNext w:val="0"/>
              <w:keepLines w:val="0"/>
              <w:suppressLineNumbers w:val="0"/>
              <w:spacing w:before="0" w:beforeLines="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2、评价范围</w:t>
            </w:r>
          </w:p>
          <w:p w14:paraId="7BE22564">
            <w:pPr>
              <w:pStyle w:val="37"/>
              <w:keepNext w:val="0"/>
              <w:keepLines w:val="0"/>
              <w:suppressLineNumbers w:val="0"/>
              <w:spacing w:before="0" w:beforeAutospacing="0" w:after="0" w:afterAutospacing="0"/>
              <w:ind w:left="0" w:right="0" w:firstLine="48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根据《环境影响评价技术导则</w:t>
            </w:r>
            <w:r>
              <w:rPr>
                <w:rFonts w:hint="default"/>
                <w:color w:val="000000" w:themeColor="text1"/>
                <w:sz w:val="24"/>
                <w14:textFill>
                  <w14:solidFill>
                    <w14:schemeClr w14:val="tx1"/>
                  </w14:solidFill>
                </w14:textFill>
              </w:rPr>
              <w:t xml:space="preserve"> </w:t>
            </w:r>
            <w:r>
              <w:rPr>
                <w:rFonts w:hint="eastAsia"/>
                <w:color w:val="000000" w:themeColor="text1"/>
                <w:sz w:val="24"/>
                <w14:textFill>
                  <w14:solidFill>
                    <w14:schemeClr w14:val="tx1"/>
                  </w14:solidFill>
                </w14:textFill>
              </w:rPr>
              <w:t>输变电》（</w:t>
            </w:r>
            <w:r>
              <w:rPr>
                <w:rFonts w:hint="default"/>
                <w:color w:val="000000" w:themeColor="text1"/>
                <w:sz w:val="24"/>
                <w14:textFill>
                  <w14:solidFill>
                    <w14:schemeClr w14:val="tx1"/>
                  </w14:solidFill>
                </w14:textFill>
              </w:rPr>
              <w:t>HJ</w:t>
            </w:r>
            <w:r>
              <w:rPr>
                <w:rFonts w:hint="eastAsia"/>
                <w:color w:val="000000" w:themeColor="text1"/>
                <w:sz w:val="24"/>
                <w:lang w:val="en-US"/>
                <w14:textFill>
                  <w14:solidFill>
                    <w14:schemeClr w14:val="tx1"/>
                  </w14:solidFill>
                </w14:textFill>
              </w:rPr>
              <w:t xml:space="preserve"> </w:t>
            </w:r>
            <w:r>
              <w:rPr>
                <w:rFonts w:hint="default"/>
                <w:color w:val="000000" w:themeColor="text1"/>
                <w:sz w:val="24"/>
                <w14:textFill>
                  <w14:solidFill>
                    <w14:schemeClr w14:val="tx1"/>
                  </w14:solidFill>
                </w14:textFill>
              </w:rPr>
              <w:t>24-20</w:t>
            </w:r>
            <w:r>
              <w:rPr>
                <w:rFonts w:hint="eastAsia"/>
                <w:color w:val="000000" w:themeColor="text1"/>
                <w:sz w:val="24"/>
                <w:lang w:val="en-US"/>
                <w14:textFill>
                  <w14:solidFill>
                    <w14:schemeClr w14:val="tx1"/>
                  </w14:solidFill>
                </w14:textFill>
              </w:rPr>
              <w:t>20</w:t>
            </w:r>
            <w:r>
              <w:rPr>
                <w:rFonts w:hint="eastAsia"/>
                <w:color w:val="000000" w:themeColor="text1"/>
                <w:sz w:val="24"/>
                <w14:textFill>
                  <w14:solidFill>
                    <w14:schemeClr w14:val="tx1"/>
                  </w14:solidFill>
                </w14:textFill>
              </w:rPr>
              <w:t>），输变电工程电磁环境影响评价范围见</w:t>
            </w:r>
            <w:r>
              <w:rPr>
                <w:rFonts w:hint="eastAsia"/>
                <w:color w:val="000000" w:themeColor="text1"/>
                <w:sz w:val="24"/>
                <w:lang w:val="en-US" w:eastAsia="zh-CN"/>
                <w14:textFill>
                  <w14:solidFill>
                    <w14:schemeClr w14:val="tx1"/>
                  </w14:solidFill>
                </w14:textFill>
              </w:rPr>
              <w:t>下表</w:t>
            </w:r>
            <w:r>
              <w:rPr>
                <w:rFonts w:hint="eastAsia"/>
                <w:color w:val="000000" w:themeColor="text1"/>
                <w:sz w:val="24"/>
                <w14:textFill>
                  <w14:solidFill>
                    <w14:schemeClr w14:val="tx1"/>
                  </w14:solidFill>
                </w14:textFill>
              </w:rPr>
              <w:t>：</w:t>
            </w:r>
          </w:p>
          <w:p w14:paraId="6C88FA20">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2 输变电工程电磁环境影响评价范围</w:t>
            </w:r>
          </w:p>
          <w:tbl>
            <w:tblPr>
              <w:tblStyle w:val="30"/>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452"/>
              <w:gridCol w:w="1697"/>
              <w:gridCol w:w="1858"/>
              <w:gridCol w:w="3066"/>
              <w:gridCol w:w="1225"/>
            </w:tblGrid>
            <w:tr w14:paraId="744695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0" w:hRule="atLeast"/>
              </w:trPr>
              <w:tc>
                <w:tcPr>
                  <w:tcW w:w="272" w:type="pct"/>
                  <w:vMerge w:val="restart"/>
                  <w:vAlign w:val="center"/>
                </w:tcPr>
                <w:p w14:paraId="433D102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分类</w:t>
                  </w:r>
                </w:p>
              </w:tc>
              <w:tc>
                <w:tcPr>
                  <w:tcW w:w="1022" w:type="pct"/>
                  <w:vMerge w:val="restart"/>
                  <w:vAlign w:val="center"/>
                </w:tcPr>
                <w:p w14:paraId="23FC4048">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电压等级</w:t>
                  </w:r>
                </w:p>
              </w:tc>
              <w:tc>
                <w:tcPr>
                  <w:tcW w:w="3704" w:type="pct"/>
                  <w:gridSpan w:val="3"/>
                  <w:vAlign w:val="center"/>
                </w:tcPr>
                <w:p w14:paraId="211066A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评价范围</w:t>
                  </w:r>
                </w:p>
              </w:tc>
            </w:tr>
            <w:tr w14:paraId="449D18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92" w:hRule="atLeast"/>
              </w:trPr>
              <w:tc>
                <w:tcPr>
                  <w:tcW w:w="272" w:type="pct"/>
                  <w:vMerge w:val="continue"/>
                  <w:vAlign w:val="center"/>
                </w:tcPr>
                <w:p w14:paraId="2C80E11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022" w:type="pct"/>
                  <w:vMerge w:val="continue"/>
                  <w:vAlign w:val="center"/>
                </w:tcPr>
                <w:p w14:paraId="4DECEDF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9" w:type="pct"/>
                  <w:vMerge w:val="restart"/>
                  <w:vAlign w:val="center"/>
                </w:tcPr>
                <w:p w14:paraId="7E41DBD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变电站、换流站、开关站、串补站</w:t>
                  </w:r>
                </w:p>
              </w:tc>
              <w:tc>
                <w:tcPr>
                  <w:tcW w:w="2585" w:type="pct"/>
                  <w:gridSpan w:val="2"/>
                  <w:vAlign w:val="center"/>
                </w:tcPr>
                <w:p w14:paraId="0E37847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线路</w:t>
                  </w:r>
                </w:p>
              </w:tc>
            </w:tr>
            <w:tr w14:paraId="24A3A6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trPr>
              <w:tc>
                <w:tcPr>
                  <w:tcW w:w="272" w:type="pct"/>
                  <w:vMerge w:val="continue"/>
                  <w:vAlign w:val="center"/>
                </w:tcPr>
                <w:p w14:paraId="71ADFF1E">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022" w:type="pct"/>
                  <w:vMerge w:val="continue"/>
                  <w:vAlign w:val="center"/>
                </w:tcPr>
                <w:p w14:paraId="52DDF86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119" w:type="pct"/>
                  <w:vMerge w:val="continue"/>
                  <w:vAlign w:val="center"/>
                </w:tcPr>
                <w:p w14:paraId="4169349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847" w:type="pct"/>
                  <w:vAlign w:val="center"/>
                </w:tcPr>
                <w:p w14:paraId="379D333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架空线路</w:t>
                  </w:r>
                </w:p>
              </w:tc>
              <w:tc>
                <w:tcPr>
                  <w:tcW w:w="737" w:type="pct"/>
                  <w:vAlign w:val="center"/>
                </w:tcPr>
                <w:p w14:paraId="1BBC807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地下电缆</w:t>
                  </w:r>
                </w:p>
              </w:tc>
            </w:tr>
            <w:tr w14:paraId="5F048D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trPr>
              <w:tc>
                <w:tcPr>
                  <w:tcW w:w="272" w:type="pct"/>
                  <w:vMerge w:val="restart"/>
                  <w:vAlign w:val="center"/>
                </w:tcPr>
                <w:p w14:paraId="03CF8FD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交流</w:t>
                  </w:r>
                </w:p>
              </w:tc>
              <w:tc>
                <w:tcPr>
                  <w:tcW w:w="1022" w:type="pct"/>
                  <w:vAlign w:val="center"/>
                </w:tcPr>
                <w:p w14:paraId="7049CFD3">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110kV</w:t>
                  </w:r>
                </w:p>
              </w:tc>
              <w:tc>
                <w:tcPr>
                  <w:tcW w:w="1119" w:type="pct"/>
                  <w:vAlign w:val="center"/>
                </w:tcPr>
                <w:p w14:paraId="1C2BA47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站界外</w:t>
                  </w:r>
                  <w:r>
                    <w:rPr>
                      <w:rFonts w:hint="default"/>
                      <w:color w:val="000000" w:themeColor="text1"/>
                      <w:szCs w:val="21"/>
                      <w14:textFill>
                        <w14:solidFill>
                          <w14:schemeClr w14:val="tx1"/>
                        </w14:solidFill>
                      </w14:textFill>
                    </w:rPr>
                    <w:t>30m</w:t>
                  </w:r>
                </w:p>
              </w:tc>
              <w:tc>
                <w:tcPr>
                  <w:tcW w:w="1847" w:type="pct"/>
                  <w:vAlign w:val="center"/>
                </w:tcPr>
                <w:p w14:paraId="1E60CA15">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30m</w:t>
                  </w:r>
                </w:p>
              </w:tc>
              <w:tc>
                <w:tcPr>
                  <w:tcW w:w="737" w:type="pct"/>
                  <w:vMerge w:val="restart"/>
                  <w:vAlign w:val="center"/>
                </w:tcPr>
                <w:p w14:paraId="10E3E227">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管廊两侧边缘各外延</w:t>
                  </w:r>
                  <w:r>
                    <w:rPr>
                      <w:rFonts w:hint="default"/>
                      <w:color w:val="000000" w:themeColor="text1"/>
                      <w:szCs w:val="21"/>
                      <w14:textFill>
                        <w14:solidFill>
                          <w14:schemeClr w14:val="tx1"/>
                        </w14:solidFill>
                      </w14:textFill>
                    </w:rPr>
                    <w:t>5m</w:t>
                  </w:r>
                  <w:r>
                    <w:rPr>
                      <w:rFonts w:hint="eastAsia"/>
                      <w:color w:val="000000" w:themeColor="text1"/>
                      <w:szCs w:val="21"/>
                      <w14:textFill>
                        <w14:solidFill>
                          <w14:schemeClr w14:val="tx1"/>
                        </w14:solidFill>
                      </w14:textFill>
                    </w:rPr>
                    <w:t>（水平距离）</w:t>
                  </w:r>
                </w:p>
              </w:tc>
            </w:tr>
            <w:tr w14:paraId="1D73F3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trPr>
              <w:tc>
                <w:tcPr>
                  <w:tcW w:w="272" w:type="pct"/>
                  <w:vMerge w:val="continue"/>
                  <w:vAlign w:val="center"/>
                </w:tcPr>
                <w:p w14:paraId="0D142A8F">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022" w:type="pct"/>
                  <w:vAlign w:val="center"/>
                </w:tcPr>
                <w:p w14:paraId="30E4801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220-330kV</w:t>
                  </w:r>
                </w:p>
              </w:tc>
              <w:tc>
                <w:tcPr>
                  <w:tcW w:w="1119" w:type="pct"/>
                  <w:vAlign w:val="center"/>
                </w:tcPr>
                <w:p w14:paraId="132E598C">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站界外</w:t>
                  </w:r>
                  <w:r>
                    <w:rPr>
                      <w:rFonts w:hint="default"/>
                      <w:color w:val="000000" w:themeColor="text1"/>
                      <w:szCs w:val="21"/>
                      <w14:textFill>
                        <w14:solidFill>
                          <w14:schemeClr w14:val="tx1"/>
                        </w14:solidFill>
                      </w14:textFill>
                    </w:rPr>
                    <w:t>40m</w:t>
                  </w:r>
                </w:p>
              </w:tc>
              <w:tc>
                <w:tcPr>
                  <w:tcW w:w="1847" w:type="pct"/>
                  <w:vAlign w:val="center"/>
                </w:tcPr>
                <w:p w14:paraId="5DA122F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40m</w:t>
                  </w:r>
                </w:p>
              </w:tc>
              <w:tc>
                <w:tcPr>
                  <w:tcW w:w="737" w:type="pct"/>
                  <w:vMerge w:val="continue"/>
                  <w:vAlign w:val="center"/>
                </w:tcPr>
                <w:p w14:paraId="1FAC8E01">
                  <w:pPr>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r>
            <w:tr w14:paraId="500E8C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trPr>
              <w:tc>
                <w:tcPr>
                  <w:tcW w:w="272" w:type="pct"/>
                  <w:vMerge w:val="continue"/>
                  <w:vAlign w:val="center"/>
                </w:tcPr>
                <w:p w14:paraId="18F2F9E4">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022" w:type="pct"/>
                  <w:vAlign w:val="center"/>
                </w:tcPr>
                <w:p w14:paraId="724CD850">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500 kV</w:t>
                  </w:r>
                  <w:r>
                    <w:rPr>
                      <w:rFonts w:hint="eastAsia"/>
                      <w:color w:val="000000" w:themeColor="text1"/>
                      <w:szCs w:val="21"/>
                      <w14:textFill>
                        <w14:solidFill>
                          <w14:schemeClr w14:val="tx1"/>
                        </w14:solidFill>
                      </w14:textFill>
                    </w:rPr>
                    <w:t>及以上</w:t>
                  </w:r>
                </w:p>
              </w:tc>
              <w:tc>
                <w:tcPr>
                  <w:tcW w:w="1119" w:type="pct"/>
                  <w:vAlign w:val="center"/>
                </w:tcPr>
                <w:p w14:paraId="7F08BCE2">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站界外</w:t>
                  </w:r>
                  <w:r>
                    <w:rPr>
                      <w:rFonts w:hint="default"/>
                      <w:color w:val="000000" w:themeColor="text1"/>
                      <w:szCs w:val="21"/>
                      <w14:textFill>
                        <w14:solidFill>
                          <w14:schemeClr w14:val="tx1"/>
                        </w14:solidFill>
                      </w14:textFill>
                    </w:rPr>
                    <w:t>50m</w:t>
                  </w:r>
                </w:p>
              </w:tc>
              <w:tc>
                <w:tcPr>
                  <w:tcW w:w="1847" w:type="pct"/>
                  <w:vAlign w:val="center"/>
                </w:tcPr>
                <w:p w14:paraId="5B7C6D8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50m</w:t>
                  </w:r>
                </w:p>
              </w:tc>
              <w:tc>
                <w:tcPr>
                  <w:tcW w:w="737" w:type="pct"/>
                  <w:vMerge w:val="continue"/>
                  <w:vAlign w:val="center"/>
                </w:tcPr>
                <w:p w14:paraId="45BFF400">
                  <w:pPr>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r>
            <w:tr w14:paraId="7711BB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trPr>
              <w:tc>
                <w:tcPr>
                  <w:tcW w:w="272" w:type="pct"/>
                  <w:vAlign w:val="center"/>
                </w:tcPr>
                <w:p w14:paraId="0FD9D84D">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直流</w:t>
                  </w:r>
                </w:p>
              </w:tc>
              <w:tc>
                <w:tcPr>
                  <w:tcW w:w="1022" w:type="pct"/>
                  <w:vAlign w:val="center"/>
                </w:tcPr>
                <w:p w14:paraId="56A11386">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±100kV</w:t>
                  </w:r>
                  <w:r>
                    <w:rPr>
                      <w:rFonts w:hint="eastAsia"/>
                      <w:color w:val="000000" w:themeColor="text1"/>
                      <w:szCs w:val="21"/>
                      <w14:textFill>
                        <w14:solidFill>
                          <w14:schemeClr w14:val="tx1"/>
                        </w14:solidFill>
                      </w14:textFill>
                    </w:rPr>
                    <w:t>及以上</w:t>
                  </w:r>
                </w:p>
              </w:tc>
              <w:tc>
                <w:tcPr>
                  <w:tcW w:w="1119" w:type="pct"/>
                  <w:vAlign w:val="center"/>
                </w:tcPr>
                <w:p w14:paraId="46329479">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站界外</w:t>
                  </w:r>
                  <w:r>
                    <w:rPr>
                      <w:rFonts w:hint="default"/>
                      <w:color w:val="000000" w:themeColor="text1"/>
                      <w:szCs w:val="21"/>
                      <w14:textFill>
                        <w14:solidFill>
                          <w14:schemeClr w14:val="tx1"/>
                        </w14:solidFill>
                      </w14:textFill>
                    </w:rPr>
                    <w:t>50m</w:t>
                  </w:r>
                </w:p>
              </w:tc>
              <w:tc>
                <w:tcPr>
                  <w:tcW w:w="1847" w:type="pct"/>
                  <w:vAlign w:val="center"/>
                </w:tcPr>
                <w:p w14:paraId="68ABF12B">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边导线地面投影外两侧各</w:t>
                  </w:r>
                  <w:r>
                    <w:rPr>
                      <w:rFonts w:hint="default"/>
                      <w:color w:val="000000" w:themeColor="text1"/>
                      <w:szCs w:val="21"/>
                      <w14:textFill>
                        <w14:solidFill>
                          <w14:schemeClr w14:val="tx1"/>
                        </w14:solidFill>
                      </w14:textFill>
                    </w:rPr>
                    <w:t>50</w:t>
                  </w:r>
                  <w:r>
                    <w:rPr>
                      <w:rFonts w:hint="eastAsia"/>
                      <w:color w:val="000000" w:themeColor="text1"/>
                      <w:szCs w:val="21"/>
                      <w14:textFill>
                        <w14:solidFill>
                          <w14:schemeClr w14:val="tx1"/>
                        </w14:solidFill>
                      </w14:textFill>
                    </w:rPr>
                    <w:t xml:space="preserve">m                                                </w:t>
                  </w:r>
                </w:p>
              </w:tc>
              <w:tc>
                <w:tcPr>
                  <w:tcW w:w="737" w:type="pct"/>
                  <w:vMerge w:val="continue"/>
                  <w:vAlign w:val="center"/>
                </w:tcPr>
                <w:p w14:paraId="12507E2D">
                  <w:pPr>
                    <w:keepNext w:val="0"/>
                    <w:keepLines w:val="0"/>
                    <w:suppressLineNumbers w:val="0"/>
                    <w:spacing w:before="0" w:beforeAutospacing="0" w:after="0" w:afterAutospacing="0"/>
                    <w:ind w:left="0" w:right="0"/>
                    <w:rPr>
                      <w:rFonts w:hint="default"/>
                      <w:color w:val="000000" w:themeColor="text1"/>
                      <w:szCs w:val="21"/>
                      <w14:textFill>
                        <w14:solidFill>
                          <w14:schemeClr w14:val="tx1"/>
                        </w14:solidFill>
                      </w14:textFill>
                    </w:rPr>
                  </w:pPr>
                </w:p>
              </w:tc>
            </w:tr>
          </w:tbl>
          <w:p w14:paraId="6884ED7C">
            <w:pPr>
              <w:keepNext w:val="0"/>
              <w:keepLines w:val="0"/>
              <w:suppressLineNumbers w:val="0"/>
              <w:spacing w:before="0" w:beforeAutospacing="0" w:after="0" w:afterAutospacing="0" w:line="360" w:lineRule="auto"/>
              <w:ind w:left="0" w:right="0" w:firstLine="480" w:firstLineChars="200"/>
              <w:rPr>
                <w:rFonts w:hint="eastAsia" w:eastAsia="宋体"/>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根据表2，本项目为</w:t>
            </w:r>
            <w:r>
              <w:rPr>
                <w:rFonts w:hint="eastAsia"/>
                <w:color w:val="000000" w:themeColor="text1"/>
                <w:sz w:val="24"/>
                <w:lang w:val="en-US" w:eastAsia="zh-CN"/>
                <w14:textFill>
                  <w14:solidFill>
                    <w14:schemeClr w14:val="tx1"/>
                  </w14:solidFill>
                </w14:textFill>
              </w:rPr>
              <w:t>22</w:t>
            </w:r>
            <w:r>
              <w:rPr>
                <w:rFonts w:hint="eastAsia"/>
                <w:color w:val="000000" w:themeColor="text1"/>
                <w:sz w:val="24"/>
                <w14:textFill>
                  <w14:solidFill>
                    <w14:schemeClr w14:val="tx1"/>
                  </w14:solidFill>
                </w14:textFill>
              </w:rPr>
              <w:t>0kV</w:t>
            </w:r>
            <w:r>
              <w:rPr>
                <w:rFonts w:hint="eastAsia"/>
                <w:color w:val="000000" w:themeColor="text1"/>
                <w:sz w:val="24"/>
                <w:lang w:val="en-US" w:eastAsia="zh-CN"/>
                <w14:textFill>
                  <w14:solidFill>
                    <w14:schemeClr w14:val="tx1"/>
                  </w14:solidFill>
                </w14:textFill>
              </w:rPr>
              <w:t>变电站</w:t>
            </w:r>
            <w:r>
              <w:rPr>
                <w:rFonts w:hint="eastAsia"/>
                <w:color w:val="000000" w:themeColor="text1"/>
                <w:sz w:val="24"/>
                <w14:textFill>
                  <w14:solidFill>
                    <w14:schemeClr w14:val="tx1"/>
                  </w14:solidFill>
                </w14:textFill>
              </w:rPr>
              <w:t>和</w:t>
            </w:r>
            <w:r>
              <w:rPr>
                <w:rFonts w:hint="eastAsia"/>
                <w:color w:val="000000" w:themeColor="text1"/>
                <w:sz w:val="24"/>
                <w:lang w:val="en-US" w:eastAsia="zh-CN"/>
                <w14:textFill>
                  <w14:solidFill>
                    <w14:schemeClr w14:val="tx1"/>
                  </w14:solidFill>
                </w14:textFill>
              </w:rPr>
              <w:t>220</w:t>
            </w:r>
            <w:r>
              <w:rPr>
                <w:rFonts w:hint="eastAsia"/>
                <w:color w:val="000000" w:themeColor="text1"/>
                <w:sz w:val="24"/>
                <w14:textFill>
                  <w14:solidFill>
                    <w14:schemeClr w14:val="tx1"/>
                  </w14:solidFill>
                </w14:textFill>
              </w:rPr>
              <w:t>kV输电线路，确定电磁环境评价范围为：220千伏</w:t>
            </w:r>
            <w:r>
              <w:rPr>
                <w:rFonts w:hint="eastAsia"/>
                <w:color w:val="000000" w:themeColor="text1"/>
                <w:sz w:val="24"/>
                <w:lang w:val="en-US" w:eastAsia="zh-CN"/>
                <w14:textFill>
                  <w14:solidFill>
                    <w14:schemeClr w14:val="tx1"/>
                  </w14:solidFill>
                </w14:textFill>
              </w:rPr>
              <w:t>恒山</w:t>
            </w:r>
            <w:r>
              <w:rPr>
                <w:rFonts w:hint="eastAsia"/>
                <w:color w:val="000000" w:themeColor="text1"/>
                <w:sz w:val="24"/>
                <w:lang w:eastAsia="zh-CN"/>
                <w14:textFill>
                  <w14:solidFill>
                    <w14:schemeClr w14:val="tx1"/>
                  </w14:solidFill>
                </w14:textFill>
              </w:rPr>
              <w:t>变电站</w:t>
            </w:r>
            <w:r>
              <w:rPr>
                <w:rFonts w:hint="eastAsia"/>
                <w:color w:val="000000" w:themeColor="text1"/>
                <w:sz w:val="24"/>
                <w14:textFill>
                  <w14:solidFill>
                    <w14:schemeClr w14:val="tx1"/>
                  </w14:solidFill>
                </w14:textFill>
              </w:rPr>
              <w:t>站界外</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0m范围内的区域；</w:t>
            </w:r>
            <w:r>
              <w:rPr>
                <w:rFonts w:hint="eastAsia"/>
                <w:color w:val="000000" w:themeColor="text1"/>
                <w:sz w:val="24"/>
                <w:lang w:val="en-US" w:eastAsia="zh-CN"/>
                <w14:textFill>
                  <w14:solidFill>
                    <w14:schemeClr w14:val="tx1"/>
                  </w14:solidFill>
                </w14:textFill>
              </w:rPr>
              <w:t>新建及改造</w:t>
            </w:r>
            <w:r>
              <w:rPr>
                <w:rFonts w:hint="eastAsia"/>
                <w:color w:val="000000" w:themeColor="text1"/>
                <w:sz w:val="24"/>
                <w14:textFill>
                  <w14:solidFill>
                    <w14:schemeClr w14:val="tx1"/>
                  </w14:solidFill>
                </w14:textFill>
              </w:rPr>
              <w:t>输电线路边导线地面投影外两侧各</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0m</w:t>
            </w:r>
            <w:r>
              <w:rPr>
                <w:rFonts w:hint="eastAsia"/>
                <w:color w:val="000000" w:themeColor="text1"/>
                <w:sz w:val="24"/>
                <w:lang w:eastAsia="zh-CN"/>
                <w14:textFill>
                  <w14:solidFill>
                    <w14:schemeClr w14:val="tx1"/>
                  </w14:solidFill>
                </w14:textFill>
              </w:rPr>
              <w:t>。</w:t>
            </w:r>
          </w:p>
          <w:p w14:paraId="4EB7533D">
            <w:pPr>
              <w:pStyle w:val="22"/>
              <w:keepNext w:val="0"/>
              <w:keepLines w:val="0"/>
              <w:suppressLineNumbers w:val="0"/>
              <w:spacing w:before="0" w:beforeAutospacing="0" w:after="0" w:afterAutospacing="0" w:line="360" w:lineRule="auto"/>
              <w:ind w:left="0" w:right="0" w:firstLine="482" w:firstLineChars="200"/>
              <w:rPr>
                <w:rFonts w:hint="default"/>
                <w:color w:val="000000" w:themeColor="text1"/>
                <w:sz w:val="24"/>
                <w:highlight w:val="none"/>
                <w14:textFill>
                  <w14:solidFill>
                    <w14:schemeClr w14:val="tx1"/>
                  </w14:solidFill>
                </w14:textFill>
              </w:rPr>
            </w:pPr>
            <w:bookmarkStart w:id="32" w:name="_Toc7644"/>
            <w:bookmarkStart w:id="33" w:name="_Toc25083"/>
            <w:r>
              <w:rPr>
                <w:rFonts w:hint="eastAsia"/>
                <w:color w:val="000000" w:themeColor="text1"/>
                <w:sz w:val="24"/>
                <w:szCs w:val="24"/>
                <w:highlight w:val="none"/>
                <w14:textFill>
                  <w14:solidFill>
                    <w14:schemeClr w14:val="tx1"/>
                  </w14:solidFill>
                </w14:textFill>
              </w:rPr>
              <w:t>（二）电磁环境现状调查与评价</w:t>
            </w:r>
            <w:bookmarkEnd w:id="32"/>
            <w:bookmarkEnd w:id="33"/>
          </w:p>
          <w:p w14:paraId="2589155E">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auto"/>
                <w:sz w:val="24"/>
              </w:rPr>
              <w:t>本项目委托</w:t>
            </w:r>
            <w:r>
              <w:rPr>
                <w:rFonts w:hint="eastAsia"/>
                <w:color w:val="auto"/>
                <w:sz w:val="24"/>
                <w:lang w:val="en-US" w:eastAsia="zh-CN"/>
              </w:rPr>
              <w:t>黑龙江省津环碧诚检测有限责任公司</w:t>
            </w:r>
            <w:r>
              <w:rPr>
                <w:rFonts w:hint="default"/>
                <w:color w:val="auto"/>
                <w:sz w:val="24"/>
              </w:rPr>
              <w:t>对恒山220kV变电站、鸡西500kV变电站出线位置、拟建线路检测点位、改造线路、环境敏感目标</w:t>
            </w:r>
            <w:r>
              <w:rPr>
                <w:rFonts w:hint="eastAsia"/>
                <w:color w:val="auto"/>
                <w:sz w:val="24"/>
                <w:lang w:val="en-US" w:eastAsia="zh-CN"/>
              </w:rPr>
              <w:t>处电磁</w:t>
            </w:r>
            <w:r>
              <w:rPr>
                <w:rFonts w:hint="default"/>
                <w:color w:val="auto"/>
                <w:sz w:val="24"/>
              </w:rPr>
              <w:t>环境现状</w:t>
            </w:r>
            <w:r>
              <w:rPr>
                <w:rFonts w:hint="default"/>
                <w:color w:val="auto"/>
                <w:sz w:val="24"/>
                <w:highlight w:val="none"/>
              </w:rPr>
              <w:t>进行了监测，监测日期</w:t>
            </w:r>
            <w:r>
              <w:rPr>
                <w:rFonts w:hint="eastAsia"/>
                <w:color w:val="auto"/>
                <w:sz w:val="24"/>
                <w:highlight w:val="none"/>
              </w:rPr>
              <w:t>为202</w:t>
            </w:r>
            <w:r>
              <w:rPr>
                <w:rFonts w:hint="eastAsia"/>
                <w:color w:val="auto"/>
                <w:sz w:val="24"/>
                <w:highlight w:val="none"/>
                <w:lang w:val="en-US" w:eastAsia="zh-CN"/>
              </w:rPr>
              <w:t>4</w:t>
            </w:r>
            <w:r>
              <w:rPr>
                <w:rFonts w:hint="eastAsia"/>
                <w:color w:val="auto"/>
                <w:sz w:val="24"/>
                <w:highlight w:val="none"/>
              </w:rPr>
              <w:t>年</w:t>
            </w:r>
            <w:r>
              <w:rPr>
                <w:rFonts w:hint="eastAsia"/>
                <w:color w:val="auto"/>
                <w:sz w:val="24"/>
                <w:highlight w:val="none"/>
                <w:lang w:val="en-US" w:eastAsia="zh-CN"/>
              </w:rPr>
              <w:t>11</w:t>
            </w:r>
            <w:r>
              <w:rPr>
                <w:rFonts w:hint="eastAsia"/>
                <w:color w:val="auto"/>
                <w:sz w:val="24"/>
                <w:highlight w:val="none"/>
              </w:rPr>
              <w:t>月</w:t>
            </w:r>
            <w:r>
              <w:rPr>
                <w:rFonts w:hint="eastAsia"/>
                <w:color w:val="auto"/>
                <w:sz w:val="24"/>
                <w:highlight w:val="none"/>
                <w:lang w:val="en-US" w:eastAsia="zh-CN"/>
              </w:rPr>
              <w:t>1</w:t>
            </w:r>
            <w:r>
              <w:rPr>
                <w:rFonts w:hint="eastAsia"/>
                <w:color w:val="auto"/>
                <w:sz w:val="24"/>
                <w:highlight w:val="none"/>
              </w:rPr>
              <w:t>日，室外温度</w:t>
            </w:r>
            <w:r>
              <w:rPr>
                <w:rFonts w:hint="eastAsia"/>
                <w:color w:val="auto"/>
                <w:sz w:val="24"/>
                <w:highlight w:val="none"/>
                <w:lang w:val="en-US" w:eastAsia="zh-CN"/>
              </w:rPr>
              <w:t>0</w:t>
            </w:r>
            <w:r>
              <w:rPr>
                <w:rFonts w:hint="eastAsia"/>
                <w:color w:val="auto"/>
                <w:sz w:val="24"/>
                <w:highlight w:val="none"/>
              </w:rPr>
              <w:t>-1</w:t>
            </w:r>
            <w:r>
              <w:rPr>
                <w:rFonts w:hint="eastAsia"/>
                <w:color w:val="auto"/>
                <w:sz w:val="24"/>
                <w:highlight w:val="none"/>
                <w:lang w:val="en-US" w:eastAsia="zh-CN"/>
              </w:rPr>
              <w:t>0℃</w:t>
            </w:r>
            <w:r>
              <w:rPr>
                <w:rFonts w:hint="eastAsia"/>
                <w:color w:val="auto"/>
                <w:sz w:val="24"/>
                <w:highlight w:val="none"/>
              </w:rPr>
              <w:t>，室外湿度28.4-39.7%RH，风速3.4~5.4m/s，</w:t>
            </w:r>
            <w:r>
              <w:rPr>
                <w:rFonts w:hint="default"/>
                <w:color w:val="auto"/>
                <w:sz w:val="24"/>
              </w:rPr>
              <w:t>监测仪器为低频电磁辐射分析仪S</w:t>
            </w:r>
            <w:r>
              <w:rPr>
                <w:rFonts w:hint="eastAsia"/>
                <w:color w:val="auto"/>
                <w:sz w:val="24"/>
                <w:lang w:val="en-US" w:eastAsia="zh-CN"/>
              </w:rPr>
              <w:t>EM</w:t>
            </w:r>
            <w:r>
              <w:rPr>
                <w:rFonts w:hint="default"/>
                <w:color w:val="auto"/>
                <w:sz w:val="24"/>
              </w:rPr>
              <w:t>-600</w:t>
            </w:r>
            <w:r>
              <w:rPr>
                <w:rFonts w:hint="eastAsia"/>
                <w:color w:val="auto"/>
                <w:sz w:val="24"/>
                <w:lang w:val="en-US" w:eastAsia="zh-CN"/>
              </w:rPr>
              <w:t>及电磁场探头LF-04</w:t>
            </w:r>
            <w:r>
              <w:rPr>
                <w:rFonts w:hint="default"/>
                <w:color w:val="auto"/>
                <w:kern w:val="0"/>
                <w:sz w:val="24"/>
                <w:highlight w:val="none"/>
              </w:rPr>
              <w:t>。</w:t>
            </w:r>
          </w:p>
          <w:p w14:paraId="0FA5B9F2">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表 3 电磁辐射仪技术指标</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2087"/>
              <w:gridCol w:w="3287"/>
              <w:gridCol w:w="1879"/>
            </w:tblGrid>
            <w:tr w14:paraId="34510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627" w:type="pct"/>
                  <w:tcBorders>
                    <w:tl2br w:val="nil"/>
                    <w:tr2bl w:val="nil"/>
                  </w:tcBorders>
                  <w:vAlign w:val="center"/>
                </w:tcPr>
                <w:p w14:paraId="58525742">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序号</w:t>
                  </w:r>
                </w:p>
              </w:tc>
              <w:tc>
                <w:tcPr>
                  <w:tcW w:w="1258" w:type="pct"/>
                  <w:tcBorders>
                    <w:tl2br w:val="nil"/>
                    <w:tr2bl w:val="nil"/>
                  </w:tcBorders>
                  <w:vAlign w:val="center"/>
                </w:tcPr>
                <w:p w14:paraId="36AE019F">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检测项目</w:t>
                  </w:r>
                </w:p>
              </w:tc>
              <w:tc>
                <w:tcPr>
                  <w:tcW w:w="1981" w:type="pct"/>
                  <w:tcBorders>
                    <w:tl2br w:val="nil"/>
                    <w:tr2bl w:val="nil"/>
                  </w:tcBorders>
                  <w:vAlign w:val="center"/>
                </w:tcPr>
                <w:p w14:paraId="1CA408F4">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仪器名称及型号</w:t>
                  </w:r>
                </w:p>
              </w:tc>
              <w:tc>
                <w:tcPr>
                  <w:tcW w:w="1132" w:type="pct"/>
                  <w:tcBorders>
                    <w:tl2br w:val="nil"/>
                    <w:tr2bl w:val="nil"/>
                  </w:tcBorders>
                  <w:vAlign w:val="center"/>
                </w:tcPr>
                <w:p w14:paraId="2B94229B">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仪器设备编号</w:t>
                  </w:r>
                </w:p>
              </w:tc>
            </w:tr>
            <w:tr w14:paraId="66575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5" w:hRule="atLeast"/>
              </w:trPr>
              <w:tc>
                <w:tcPr>
                  <w:tcW w:w="627" w:type="pct"/>
                  <w:tcBorders>
                    <w:tl2br w:val="nil"/>
                    <w:tr2bl w:val="nil"/>
                  </w:tcBorders>
                  <w:vAlign w:val="center"/>
                </w:tcPr>
                <w:p w14:paraId="588C0EDA">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1</w:t>
                  </w:r>
                </w:p>
              </w:tc>
              <w:tc>
                <w:tcPr>
                  <w:tcW w:w="1258" w:type="pct"/>
                  <w:tcBorders>
                    <w:tl2br w:val="nil"/>
                    <w:tr2bl w:val="nil"/>
                  </w:tcBorders>
                  <w:vAlign w:val="center"/>
                </w:tcPr>
                <w:p w14:paraId="227FE8A6">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工频电场、工频磁场</w:t>
                  </w:r>
                </w:p>
              </w:tc>
              <w:tc>
                <w:tcPr>
                  <w:tcW w:w="1981" w:type="pct"/>
                  <w:tcBorders>
                    <w:tl2br w:val="nil"/>
                    <w:tr2bl w:val="nil"/>
                  </w:tcBorders>
                  <w:vAlign w:val="center"/>
                </w:tcPr>
                <w:p w14:paraId="069B5042">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低频电磁辐射分析仪/电磁场探头SEM-600/LF-04</w:t>
                  </w:r>
                </w:p>
              </w:tc>
              <w:tc>
                <w:tcPr>
                  <w:tcW w:w="1132" w:type="pct"/>
                  <w:tcBorders>
                    <w:tl2br w:val="nil"/>
                    <w:tr2bl w:val="nil"/>
                  </w:tcBorders>
                  <w:vAlign w:val="center"/>
                </w:tcPr>
                <w:p w14:paraId="512F5531">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JHSB-B003</w:t>
                  </w:r>
                </w:p>
              </w:tc>
            </w:tr>
          </w:tbl>
          <w:p w14:paraId="1C5526EB">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表 </w:t>
            </w:r>
            <w:r>
              <w:rPr>
                <w:rFonts w:hint="eastAsia" w:eastAsia="宋体" w:cs="Times New Roman"/>
                <w:b/>
                <w:bCs/>
                <w:color w:val="000000" w:themeColor="text1"/>
                <w:kern w:val="2"/>
                <w:sz w:val="24"/>
                <w:szCs w:val="24"/>
                <w:lang w:val="en-US" w:eastAsia="zh-CN" w:bidi="ar-SA"/>
                <w14:textFill>
                  <w14:solidFill>
                    <w14:schemeClr w14:val="tx1"/>
                  </w14:solidFill>
                </w14:textFill>
              </w:rPr>
              <w:t>4</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检测工况</w:t>
            </w:r>
          </w:p>
          <w:tbl>
            <w:tblPr>
              <w:tblStyle w:val="3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5"/>
              <w:gridCol w:w="975"/>
              <w:gridCol w:w="1318"/>
              <w:gridCol w:w="1212"/>
              <w:gridCol w:w="1868"/>
              <w:gridCol w:w="1941"/>
            </w:tblGrid>
            <w:tr w14:paraId="0A2A9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176" w:type="pct"/>
                  <w:gridSpan w:val="2"/>
                  <w:tcBorders>
                    <w:tl2br w:val="nil"/>
                    <w:tr2bl w:val="nil"/>
                  </w:tcBorders>
                  <w:noWrap w:val="0"/>
                  <w:vAlign w:val="center"/>
                </w:tcPr>
                <w:p w14:paraId="3F44E78E">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名称</w:t>
                  </w:r>
                </w:p>
              </w:tc>
              <w:tc>
                <w:tcPr>
                  <w:tcW w:w="795" w:type="pct"/>
                  <w:tcBorders>
                    <w:tl2br w:val="nil"/>
                    <w:tr2bl w:val="nil"/>
                  </w:tcBorders>
                  <w:noWrap w:val="0"/>
                  <w:vAlign w:val="center"/>
                </w:tcPr>
                <w:p w14:paraId="2980B942">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电压（kV）</w:t>
                  </w:r>
                </w:p>
              </w:tc>
              <w:tc>
                <w:tcPr>
                  <w:tcW w:w="731" w:type="pct"/>
                  <w:tcBorders>
                    <w:tl2br w:val="nil"/>
                    <w:tr2bl w:val="nil"/>
                  </w:tcBorders>
                  <w:noWrap w:val="0"/>
                  <w:vAlign w:val="center"/>
                </w:tcPr>
                <w:p w14:paraId="1E82D904">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电流（A）</w:t>
                  </w:r>
                </w:p>
              </w:tc>
              <w:tc>
                <w:tcPr>
                  <w:tcW w:w="1126" w:type="pct"/>
                  <w:tcBorders>
                    <w:tl2br w:val="nil"/>
                    <w:tr2bl w:val="nil"/>
                  </w:tcBorders>
                  <w:noWrap w:val="0"/>
                  <w:vAlign w:val="center"/>
                </w:tcPr>
                <w:p w14:paraId="69A0C1CB">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有功功率（MW）</w:t>
                  </w:r>
                </w:p>
              </w:tc>
              <w:tc>
                <w:tcPr>
                  <w:tcW w:w="1170" w:type="pct"/>
                  <w:tcBorders>
                    <w:tl2br w:val="nil"/>
                    <w:tr2bl w:val="nil"/>
                  </w:tcBorders>
                  <w:noWrap w:val="0"/>
                  <w:vAlign w:val="center"/>
                </w:tcPr>
                <w:p w14:paraId="780AA02D">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无功功率（Mvar）</w:t>
                  </w:r>
                </w:p>
              </w:tc>
            </w:tr>
            <w:tr w14:paraId="6BEFC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88" w:type="pct"/>
                  <w:vMerge w:val="restart"/>
                  <w:tcBorders>
                    <w:tl2br w:val="nil"/>
                    <w:tr2bl w:val="nil"/>
                  </w:tcBorders>
                  <w:noWrap w:val="0"/>
                  <w:vAlign w:val="center"/>
                </w:tcPr>
                <w:p w14:paraId="3E7DA641">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恒山220kV变电站</w:t>
                  </w:r>
                </w:p>
              </w:tc>
              <w:tc>
                <w:tcPr>
                  <w:tcW w:w="588" w:type="pct"/>
                  <w:tcBorders>
                    <w:tl2br w:val="nil"/>
                    <w:tr2bl w:val="nil"/>
                  </w:tcBorders>
                  <w:noWrap w:val="0"/>
                  <w:vAlign w:val="center"/>
                </w:tcPr>
                <w:p w14:paraId="60A9FF1C">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#1主变</w:t>
                  </w:r>
                </w:p>
              </w:tc>
              <w:tc>
                <w:tcPr>
                  <w:tcW w:w="795" w:type="pct"/>
                  <w:tcBorders>
                    <w:tl2br w:val="nil"/>
                    <w:tr2bl w:val="nil"/>
                  </w:tcBorders>
                  <w:noWrap w:val="0"/>
                  <w:vAlign w:val="center"/>
                </w:tcPr>
                <w:p w14:paraId="75AE2572">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233.11</w:t>
                  </w:r>
                </w:p>
              </w:tc>
              <w:tc>
                <w:tcPr>
                  <w:tcW w:w="731" w:type="pct"/>
                  <w:tcBorders>
                    <w:tl2br w:val="nil"/>
                    <w:tr2bl w:val="nil"/>
                  </w:tcBorders>
                  <w:noWrap w:val="0"/>
                  <w:vAlign w:val="center"/>
                </w:tcPr>
                <w:p w14:paraId="493CD24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12.33</w:t>
                  </w:r>
                </w:p>
              </w:tc>
              <w:tc>
                <w:tcPr>
                  <w:tcW w:w="1126" w:type="pct"/>
                  <w:tcBorders>
                    <w:tl2br w:val="nil"/>
                    <w:tr2bl w:val="nil"/>
                  </w:tcBorders>
                  <w:noWrap w:val="0"/>
                  <w:vAlign w:val="center"/>
                </w:tcPr>
                <w:p w14:paraId="2FD4905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2.91</w:t>
                  </w:r>
                </w:p>
              </w:tc>
              <w:tc>
                <w:tcPr>
                  <w:tcW w:w="1170" w:type="pct"/>
                  <w:tcBorders>
                    <w:tl2br w:val="nil"/>
                    <w:tr2bl w:val="nil"/>
                  </w:tcBorders>
                  <w:noWrap w:val="0"/>
                  <w:vAlign w:val="center"/>
                </w:tcPr>
                <w:p w14:paraId="54436A08">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-3.68</w:t>
                  </w:r>
                </w:p>
              </w:tc>
            </w:tr>
            <w:tr w14:paraId="66D9F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88" w:type="pct"/>
                  <w:vMerge w:val="continue"/>
                  <w:tcBorders>
                    <w:tl2br w:val="nil"/>
                    <w:tr2bl w:val="nil"/>
                  </w:tcBorders>
                  <w:noWrap w:val="0"/>
                  <w:vAlign w:val="center"/>
                </w:tcPr>
                <w:p w14:paraId="143799D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88" w:type="pct"/>
                  <w:tcBorders>
                    <w:tl2br w:val="nil"/>
                    <w:tr2bl w:val="nil"/>
                  </w:tcBorders>
                  <w:noWrap w:val="0"/>
                  <w:vAlign w:val="center"/>
                </w:tcPr>
                <w:p w14:paraId="4777BD97">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#2主变</w:t>
                  </w:r>
                </w:p>
              </w:tc>
              <w:tc>
                <w:tcPr>
                  <w:tcW w:w="795" w:type="pct"/>
                  <w:tcBorders>
                    <w:tl2br w:val="nil"/>
                    <w:tr2bl w:val="nil"/>
                  </w:tcBorders>
                  <w:noWrap w:val="0"/>
                  <w:vAlign w:val="center"/>
                </w:tcPr>
                <w:p w14:paraId="77CB4524">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232.79</w:t>
                  </w:r>
                </w:p>
              </w:tc>
              <w:tc>
                <w:tcPr>
                  <w:tcW w:w="731" w:type="pct"/>
                  <w:tcBorders>
                    <w:tl2br w:val="nil"/>
                    <w:tr2bl w:val="nil"/>
                  </w:tcBorders>
                  <w:noWrap w:val="0"/>
                  <w:vAlign w:val="center"/>
                </w:tcPr>
                <w:p w14:paraId="1BD49463">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11.56</w:t>
                  </w:r>
                </w:p>
              </w:tc>
              <w:tc>
                <w:tcPr>
                  <w:tcW w:w="1126" w:type="pct"/>
                  <w:tcBorders>
                    <w:tl2br w:val="nil"/>
                    <w:tr2bl w:val="nil"/>
                  </w:tcBorders>
                  <w:noWrap w:val="0"/>
                  <w:vAlign w:val="center"/>
                </w:tcPr>
                <w:p w14:paraId="4F78E74A">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3.30</w:t>
                  </w:r>
                </w:p>
              </w:tc>
              <w:tc>
                <w:tcPr>
                  <w:tcW w:w="1170" w:type="pct"/>
                  <w:tcBorders>
                    <w:tl2br w:val="nil"/>
                    <w:tr2bl w:val="nil"/>
                  </w:tcBorders>
                  <w:noWrap w:val="0"/>
                  <w:vAlign w:val="center"/>
                </w:tcPr>
                <w:p w14:paraId="7DB83D98">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-3.20</w:t>
                  </w:r>
                </w:p>
              </w:tc>
            </w:tr>
            <w:tr w14:paraId="5E27B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176" w:type="pct"/>
                  <w:gridSpan w:val="2"/>
                  <w:tcBorders>
                    <w:tl2br w:val="nil"/>
                    <w:tr2bl w:val="nil"/>
                  </w:tcBorders>
                  <w:noWrap w:val="0"/>
                  <w:vAlign w:val="center"/>
                </w:tcPr>
                <w:p w14:paraId="56ECDC73">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鸡联变-恒山变甲线</w:t>
                  </w:r>
                </w:p>
              </w:tc>
              <w:tc>
                <w:tcPr>
                  <w:tcW w:w="795" w:type="pct"/>
                  <w:tcBorders>
                    <w:tl2br w:val="nil"/>
                    <w:tr2bl w:val="nil"/>
                  </w:tcBorders>
                  <w:noWrap w:val="0"/>
                  <w:vAlign w:val="center"/>
                </w:tcPr>
                <w:p w14:paraId="149ABC72">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232.53</w:t>
                  </w:r>
                </w:p>
              </w:tc>
              <w:tc>
                <w:tcPr>
                  <w:tcW w:w="731" w:type="pct"/>
                  <w:tcBorders>
                    <w:tl2br w:val="nil"/>
                    <w:tr2bl w:val="nil"/>
                  </w:tcBorders>
                  <w:noWrap w:val="0"/>
                  <w:vAlign w:val="center"/>
                </w:tcPr>
                <w:p w14:paraId="5909A0B8">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11.87</w:t>
                  </w:r>
                </w:p>
              </w:tc>
              <w:tc>
                <w:tcPr>
                  <w:tcW w:w="1126" w:type="pct"/>
                  <w:tcBorders>
                    <w:tl2br w:val="nil"/>
                    <w:tr2bl w:val="nil"/>
                  </w:tcBorders>
                  <w:noWrap w:val="0"/>
                  <w:vAlign w:val="center"/>
                </w:tcPr>
                <w:p w14:paraId="38258D50">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3.50</w:t>
                  </w:r>
                </w:p>
              </w:tc>
              <w:tc>
                <w:tcPr>
                  <w:tcW w:w="1170" w:type="pct"/>
                  <w:tcBorders>
                    <w:tl2br w:val="nil"/>
                    <w:tr2bl w:val="nil"/>
                  </w:tcBorders>
                  <w:noWrap w:val="0"/>
                  <w:vAlign w:val="center"/>
                </w:tcPr>
                <w:p w14:paraId="603A64D8">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-3.54</w:t>
                  </w:r>
                </w:p>
              </w:tc>
            </w:tr>
            <w:tr w14:paraId="4FC54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176" w:type="pct"/>
                  <w:gridSpan w:val="2"/>
                  <w:tcBorders>
                    <w:tl2br w:val="nil"/>
                    <w:tr2bl w:val="nil"/>
                  </w:tcBorders>
                  <w:shd w:val="clear" w:color="auto" w:fill="auto"/>
                  <w:noWrap w:val="0"/>
                  <w:vAlign w:val="center"/>
                </w:tcPr>
                <w:p w14:paraId="1F0348F3">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鸡联变-恒山变</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乙</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线</w:t>
                  </w:r>
                </w:p>
              </w:tc>
              <w:tc>
                <w:tcPr>
                  <w:tcW w:w="795" w:type="pct"/>
                  <w:tcBorders>
                    <w:tl2br w:val="nil"/>
                    <w:tr2bl w:val="nil"/>
                  </w:tcBorders>
                  <w:noWrap w:val="0"/>
                  <w:vAlign w:val="center"/>
                </w:tcPr>
                <w:p w14:paraId="3EC38F73">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232.66</w:t>
                  </w:r>
                </w:p>
              </w:tc>
              <w:tc>
                <w:tcPr>
                  <w:tcW w:w="731" w:type="pct"/>
                  <w:tcBorders>
                    <w:tl2br w:val="nil"/>
                    <w:tr2bl w:val="nil"/>
                  </w:tcBorders>
                  <w:noWrap w:val="0"/>
                  <w:vAlign w:val="center"/>
                </w:tcPr>
                <w:p w14:paraId="4540FC1C">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12.58</w:t>
                  </w:r>
                </w:p>
              </w:tc>
              <w:tc>
                <w:tcPr>
                  <w:tcW w:w="1126" w:type="pct"/>
                  <w:tcBorders>
                    <w:tl2br w:val="nil"/>
                    <w:tr2bl w:val="nil"/>
                  </w:tcBorders>
                  <w:noWrap w:val="0"/>
                  <w:vAlign w:val="center"/>
                </w:tcPr>
                <w:p w14:paraId="20AF29CC">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3.97</w:t>
                  </w:r>
                </w:p>
              </w:tc>
              <w:tc>
                <w:tcPr>
                  <w:tcW w:w="1170" w:type="pct"/>
                  <w:tcBorders>
                    <w:tl2br w:val="nil"/>
                    <w:tr2bl w:val="nil"/>
                  </w:tcBorders>
                  <w:noWrap w:val="0"/>
                  <w:vAlign w:val="center"/>
                </w:tcPr>
                <w:p w14:paraId="2D175492">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-3.13</w:t>
                  </w:r>
                </w:p>
              </w:tc>
            </w:tr>
          </w:tbl>
          <w:p w14:paraId="1A6AAED3">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rPr>
              <w:drawing>
                <wp:inline distT="0" distB="0" distL="114300" distR="114300">
                  <wp:extent cx="3892550" cy="3283585"/>
                  <wp:effectExtent l="0" t="0" r="12700" b="1206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0"/>
                          <a:stretch>
                            <a:fillRect/>
                          </a:stretch>
                        </pic:blipFill>
                        <pic:spPr>
                          <a:xfrm>
                            <a:off x="0" y="0"/>
                            <a:ext cx="3892550" cy="3283585"/>
                          </a:xfrm>
                          <a:prstGeom prst="rect">
                            <a:avLst/>
                          </a:prstGeom>
                          <a:noFill/>
                          <a:ln>
                            <a:noFill/>
                          </a:ln>
                        </pic:spPr>
                      </pic:pic>
                    </a:graphicData>
                  </a:graphic>
                </wp:inline>
              </w:drawing>
            </w:r>
          </w:p>
          <w:p w14:paraId="5F3ABF8D">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 1 恒山变电站电磁环境检测布点示意图</w:t>
            </w:r>
          </w:p>
          <w:p w14:paraId="1D357DBA">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rPr>
              <w:drawing>
                <wp:inline distT="0" distB="0" distL="114300" distR="114300">
                  <wp:extent cx="3811905" cy="3683000"/>
                  <wp:effectExtent l="0" t="0" r="17145" b="12700"/>
                  <wp:docPr id="2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
                          <pic:cNvPicPr>
                            <a:picLocks noChangeAspect="1"/>
                          </pic:cNvPicPr>
                        </pic:nvPicPr>
                        <pic:blipFill>
                          <a:blip r:embed="rId31"/>
                          <a:stretch>
                            <a:fillRect/>
                          </a:stretch>
                        </pic:blipFill>
                        <pic:spPr>
                          <a:xfrm>
                            <a:off x="0" y="0"/>
                            <a:ext cx="3811905" cy="3683000"/>
                          </a:xfrm>
                          <a:prstGeom prst="rect">
                            <a:avLst/>
                          </a:prstGeom>
                          <a:noFill/>
                          <a:ln>
                            <a:noFill/>
                          </a:ln>
                        </pic:spPr>
                      </pic:pic>
                    </a:graphicData>
                  </a:graphic>
                </wp:inline>
              </w:drawing>
            </w:r>
          </w:p>
          <w:p w14:paraId="497ABA26">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 2 改造线路电磁环境检测布点示意图</w:t>
            </w:r>
          </w:p>
          <w:p w14:paraId="6639D1C0">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rPr>
              <w:drawing>
                <wp:inline distT="0" distB="0" distL="114300" distR="114300">
                  <wp:extent cx="3839845" cy="2841625"/>
                  <wp:effectExtent l="0" t="0" r="8255" b="15875"/>
                  <wp:docPr id="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
                          <pic:cNvPicPr>
                            <a:picLocks noChangeAspect="1"/>
                          </pic:cNvPicPr>
                        </pic:nvPicPr>
                        <pic:blipFill>
                          <a:blip r:embed="rId32"/>
                          <a:stretch>
                            <a:fillRect/>
                          </a:stretch>
                        </pic:blipFill>
                        <pic:spPr>
                          <a:xfrm>
                            <a:off x="0" y="0"/>
                            <a:ext cx="3839845" cy="2841625"/>
                          </a:xfrm>
                          <a:prstGeom prst="rect">
                            <a:avLst/>
                          </a:prstGeom>
                          <a:noFill/>
                          <a:ln>
                            <a:noFill/>
                          </a:ln>
                        </pic:spPr>
                      </pic:pic>
                    </a:graphicData>
                  </a:graphic>
                </wp:inline>
              </w:drawing>
            </w:r>
            <w:r>
              <w:rPr>
                <w:rFonts w:hint="default"/>
              </w:rPr>
              <w:drawing>
                <wp:inline distT="0" distB="0" distL="114300" distR="114300">
                  <wp:extent cx="5010785" cy="2069465"/>
                  <wp:effectExtent l="0" t="0" r="18415" b="698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33"/>
                          <a:stretch>
                            <a:fillRect/>
                          </a:stretch>
                        </pic:blipFill>
                        <pic:spPr>
                          <a:xfrm>
                            <a:off x="0" y="0"/>
                            <a:ext cx="5010785" cy="2069465"/>
                          </a:xfrm>
                          <a:prstGeom prst="rect">
                            <a:avLst/>
                          </a:prstGeom>
                          <a:noFill/>
                          <a:ln>
                            <a:noFill/>
                          </a:ln>
                        </pic:spPr>
                      </pic:pic>
                    </a:graphicData>
                  </a:graphic>
                </wp:inline>
              </w:drawing>
            </w:r>
          </w:p>
          <w:p w14:paraId="200904A8">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 3 拟建线路电磁环境检测布点示意图</w:t>
            </w:r>
          </w:p>
          <w:p w14:paraId="47BA32CC">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rPr>
              <w:drawing>
                <wp:inline distT="0" distB="0" distL="114300" distR="114300">
                  <wp:extent cx="4242435" cy="3504565"/>
                  <wp:effectExtent l="0" t="0" r="5715" b="63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34"/>
                          <a:stretch>
                            <a:fillRect/>
                          </a:stretch>
                        </pic:blipFill>
                        <pic:spPr>
                          <a:xfrm>
                            <a:off x="0" y="0"/>
                            <a:ext cx="4242435" cy="3504565"/>
                          </a:xfrm>
                          <a:prstGeom prst="rect">
                            <a:avLst/>
                          </a:prstGeom>
                          <a:noFill/>
                          <a:ln>
                            <a:noFill/>
                          </a:ln>
                        </pic:spPr>
                      </pic:pic>
                    </a:graphicData>
                  </a:graphic>
                </wp:inline>
              </w:drawing>
            </w:r>
          </w:p>
          <w:p w14:paraId="6622300B">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图 4 鸡西500kV变电站出线位置布点示意图</w:t>
            </w:r>
          </w:p>
          <w:p w14:paraId="49FB1257">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表 </w:t>
            </w:r>
            <w:r>
              <w:rPr>
                <w:rFonts w:hint="eastAsia" w:eastAsia="宋体" w:cs="Times New Roman"/>
                <w:b/>
                <w:bCs/>
                <w:color w:val="000000" w:themeColor="text1"/>
                <w:kern w:val="2"/>
                <w:sz w:val="24"/>
                <w:szCs w:val="24"/>
                <w:lang w:val="en-US" w:eastAsia="zh-CN" w:bidi="ar-SA"/>
                <w14:textFill>
                  <w14:solidFill>
                    <w14:schemeClr w14:val="tx1"/>
                  </w14:solidFill>
                </w14:textFill>
              </w:rPr>
              <w:t>5</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eastAsia="宋体" w:cs="Times New Roman"/>
                <w:b/>
                <w:bCs/>
                <w:color w:val="000000" w:themeColor="text1"/>
                <w:kern w:val="2"/>
                <w:sz w:val="24"/>
                <w:szCs w:val="24"/>
                <w:lang w:val="en-US" w:eastAsia="zh-CN" w:bidi="ar-SA"/>
                <w14:textFill>
                  <w14:solidFill>
                    <w14:schemeClr w14:val="tx1"/>
                  </w14:solidFill>
                </w14:textFill>
              </w:rPr>
              <w:t>本项目</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电磁环境现状检测结果</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2"/>
              <w:gridCol w:w="750"/>
              <w:gridCol w:w="1471"/>
              <w:gridCol w:w="2933"/>
              <w:gridCol w:w="1231"/>
              <w:gridCol w:w="1289"/>
            </w:tblGrid>
            <w:tr w14:paraId="4B91D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vAlign w:val="center"/>
                </w:tcPr>
                <w:p w14:paraId="0FC1D0FD">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编号</w:t>
                  </w:r>
                </w:p>
              </w:tc>
              <w:tc>
                <w:tcPr>
                  <w:tcW w:w="819" w:type="dxa"/>
                  <w:vAlign w:val="center"/>
                </w:tcPr>
                <w:p w14:paraId="687C646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监测日期</w:t>
                  </w:r>
                </w:p>
              </w:tc>
              <w:tc>
                <w:tcPr>
                  <w:tcW w:w="4926" w:type="dxa"/>
                  <w:gridSpan w:val="2"/>
                  <w:vAlign w:val="center"/>
                </w:tcPr>
                <w:p w14:paraId="6E788F47">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检测点位置</w:t>
                  </w:r>
                </w:p>
              </w:tc>
              <w:tc>
                <w:tcPr>
                  <w:tcW w:w="1364" w:type="dxa"/>
                  <w:vAlign w:val="center"/>
                </w:tcPr>
                <w:p w14:paraId="42E408A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工频电场强度（V/m）</w:t>
                  </w:r>
                </w:p>
              </w:tc>
              <w:tc>
                <w:tcPr>
                  <w:tcW w:w="1429" w:type="dxa"/>
                  <w:vAlign w:val="center"/>
                </w:tcPr>
                <w:p w14:paraId="26714D3A">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工频磁感应强度（μT）</w:t>
                  </w:r>
                </w:p>
              </w:tc>
            </w:tr>
            <w:tr w14:paraId="38E64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vAlign w:val="center"/>
                </w:tcPr>
                <w:p w14:paraId="17827524">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w:t>
                  </w:r>
                </w:p>
              </w:tc>
              <w:tc>
                <w:tcPr>
                  <w:tcW w:w="819" w:type="dxa"/>
                  <w:vMerge w:val="restart"/>
                  <w:vAlign w:val="center"/>
                </w:tcPr>
                <w:p w14:paraId="3A7BDA4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2024年</w:t>
                  </w:r>
                  <w:r>
                    <w:rPr>
                      <w:rFonts w:hint="eastAsia" w:cs="Times New Roman"/>
                      <w:color w:val="000000" w:themeColor="text1"/>
                      <w:sz w:val="21"/>
                      <w:szCs w:val="21"/>
                      <w:vertAlign w:val="baseline"/>
                      <w:lang w:val="en-US" w:eastAsia="zh-CN"/>
                      <w14:textFill>
                        <w14:solidFill>
                          <w14:schemeClr w14:val="tx1"/>
                        </w14:solidFill>
                      </w14:textFill>
                    </w:rPr>
                    <w:t>11</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月</w:t>
                  </w:r>
                  <w:r>
                    <w:rPr>
                      <w:rFonts w:hint="eastAsia" w:cs="Times New Roman"/>
                      <w:color w:val="000000" w:themeColor="text1"/>
                      <w:sz w:val="21"/>
                      <w:szCs w:val="21"/>
                      <w:vertAlign w:val="baseli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日</w:t>
                  </w:r>
                </w:p>
              </w:tc>
              <w:tc>
                <w:tcPr>
                  <w:tcW w:w="1636" w:type="dxa"/>
                  <w:vMerge w:val="restart"/>
                  <w:vAlign w:val="center"/>
                </w:tcPr>
                <w:p w14:paraId="63F65638">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恒山220kV变电站</w:t>
                  </w:r>
                </w:p>
              </w:tc>
              <w:tc>
                <w:tcPr>
                  <w:tcW w:w="3290" w:type="dxa"/>
                  <w:vAlign w:val="center"/>
                </w:tcPr>
                <w:p w14:paraId="350CFC73">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北</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侧围墙5m处1#</w:t>
                  </w:r>
                </w:p>
              </w:tc>
              <w:tc>
                <w:tcPr>
                  <w:tcW w:w="1364" w:type="dxa"/>
                  <w:vAlign w:val="center"/>
                </w:tcPr>
                <w:p w14:paraId="04C44B8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0.18</w:t>
                  </w:r>
                </w:p>
              </w:tc>
              <w:tc>
                <w:tcPr>
                  <w:tcW w:w="1429" w:type="dxa"/>
                  <w:vAlign w:val="center"/>
                </w:tcPr>
                <w:p w14:paraId="0E90126C">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0.1846</w:t>
                  </w:r>
                </w:p>
              </w:tc>
            </w:tr>
            <w:tr w14:paraId="33BB3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700AD214">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w:t>
                  </w:r>
                </w:p>
              </w:tc>
              <w:tc>
                <w:tcPr>
                  <w:tcW w:w="819" w:type="dxa"/>
                  <w:vMerge w:val="continue"/>
                  <w:vAlign w:val="center"/>
                </w:tcPr>
                <w:p w14:paraId="182179DA">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continue"/>
                  <w:vAlign w:val="center"/>
                </w:tcPr>
                <w:p w14:paraId="31330F7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290" w:type="dxa"/>
                  <w:vAlign w:val="center"/>
                </w:tcPr>
                <w:p w14:paraId="3D55BFE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西</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侧围墙5m处</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364" w:type="dxa"/>
                  <w:vAlign w:val="center"/>
                </w:tcPr>
                <w:p w14:paraId="4AA0A36D">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204.56</w:t>
                  </w:r>
                </w:p>
              </w:tc>
              <w:tc>
                <w:tcPr>
                  <w:tcW w:w="1429" w:type="dxa"/>
                  <w:vAlign w:val="center"/>
                </w:tcPr>
                <w:p w14:paraId="7FF4E6CB">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0.0764</w:t>
                  </w:r>
                </w:p>
              </w:tc>
            </w:tr>
            <w:tr w14:paraId="53894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vAlign w:val="center"/>
                </w:tcPr>
                <w:p w14:paraId="553A151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w:t>
                  </w:r>
                </w:p>
              </w:tc>
              <w:tc>
                <w:tcPr>
                  <w:tcW w:w="819" w:type="dxa"/>
                  <w:vMerge w:val="continue"/>
                  <w:vAlign w:val="center"/>
                </w:tcPr>
                <w:p w14:paraId="19F10683">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continue"/>
                  <w:vAlign w:val="center"/>
                </w:tcPr>
                <w:p w14:paraId="18183524">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290" w:type="dxa"/>
                  <w:vAlign w:val="center"/>
                </w:tcPr>
                <w:p w14:paraId="6CED73AC">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南</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侧围墙5m处</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364" w:type="dxa"/>
                  <w:vAlign w:val="center"/>
                </w:tcPr>
                <w:p w14:paraId="4163E0B8">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0.55</w:t>
                  </w:r>
                </w:p>
              </w:tc>
              <w:tc>
                <w:tcPr>
                  <w:tcW w:w="1429" w:type="dxa"/>
                  <w:vAlign w:val="center"/>
                </w:tcPr>
                <w:p w14:paraId="105DF2CB">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1.5199</w:t>
                  </w:r>
                </w:p>
              </w:tc>
            </w:tr>
            <w:tr w14:paraId="2A767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vAlign w:val="center"/>
                </w:tcPr>
                <w:p w14:paraId="577226F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4</w:t>
                  </w:r>
                </w:p>
              </w:tc>
              <w:tc>
                <w:tcPr>
                  <w:tcW w:w="819" w:type="dxa"/>
                  <w:vMerge w:val="continue"/>
                  <w:vAlign w:val="center"/>
                </w:tcPr>
                <w:p w14:paraId="0BA2CC9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continue"/>
                  <w:vAlign w:val="center"/>
                </w:tcPr>
                <w:p w14:paraId="2F5975BC">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290" w:type="dxa"/>
                  <w:vAlign w:val="center"/>
                </w:tcPr>
                <w:p w14:paraId="5046FF42">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东</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侧围墙5m处</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364" w:type="dxa"/>
                  <w:vAlign w:val="center"/>
                </w:tcPr>
                <w:p w14:paraId="145CE539">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1.13</w:t>
                  </w:r>
                </w:p>
              </w:tc>
              <w:tc>
                <w:tcPr>
                  <w:tcW w:w="1429" w:type="dxa"/>
                  <w:vAlign w:val="center"/>
                </w:tcPr>
                <w:p w14:paraId="67E763E4">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0.1013</w:t>
                  </w:r>
                </w:p>
              </w:tc>
            </w:tr>
            <w:tr w14:paraId="2926B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42255C0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5</w:t>
                  </w:r>
                </w:p>
              </w:tc>
              <w:tc>
                <w:tcPr>
                  <w:tcW w:w="819" w:type="dxa"/>
                  <w:vMerge w:val="continue"/>
                  <w:vAlign w:val="center"/>
                </w:tcPr>
                <w:p w14:paraId="5C3E58F6">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Align w:val="center"/>
                </w:tcPr>
                <w:p w14:paraId="1F2D2583">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电磁敏感目标</w:t>
                  </w:r>
                </w:p>
              </w:tc>
              <w:tc>
                <w:tcPr>
                  <w:tcW w:w="3290" w:type="dxa"/>
                  <w:vAlign w:val="center"/>
                </w:tcPr>
                <w:p w14:paraId="5BE74AB2">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汽车修理厂（130.86715043,45.20377049）5#</w:t>
                  </w:r>
                </w:p>
              </w:tc>
              <w:tc>
                <w:tcPr>
                  <w:tcW w:w="1364" w:type="dxa"/>
                  <w:vAlign w:val="center"/>
                </w:tcPr>
                <w:p w14:paraId="73339DC6">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103.63</w:t>
                  </w:r>
                </w:p>
              </w:tc>
              <w:tc>
                <w:tcPr>
                  <w:tcW w:w="1429" w:type="dxa"/>
                  <w:vAlign w:val="center"/>
                </w:tcPr>
                <w:p w14:paraId="1C986ABE">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0.3221</w:t>
                  </w:r>
                </w:p>
              </w:tc>
            </w:tr>
            <w:tr w14:paraId="49DA7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162414D4">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6</w:t>
                  </w:r>
                </w:p>
              </w:tc>
              <w:tc>
                <w:tcPr>
                  <w:tcW w:w="819" w:type="dxa"/>
                  <w:vMerge w:val="continue"/>
                  <w:vAlign w:val="center"/>
                </w:tcPr>
                <w:p w14:paraId="40E18961">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Align w:val="center"/>
                </w:tcPr>
                <w:p w14:paraId="266CD867">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鸡联变-恒山变甲线</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现状</w:t>
                  </w:r>
                </w:p>
              </w:tc>
              <w:tc>
                <w:tcPr>
                  <w:tcW w:w="3290" w:type="dxa"/>
                  <w:vAlign w:val="center"/>
                </w:tcPr>
                <w:p w14:paraId="626D220B">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（130.86604536,45.20513495）6#</w:t>
                  </w:r>
                </w:p>
              </w:tc>
              <w:tc>
                <w:tcPr>
                  <w:tcW w:w="1364" w:type="dxa"/>
                  <w:vAlign w:val="center"/>
                </w:tcPr>
                <w:p w14:paraId="29D9DBA6">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137.26</w:t>
                  </w:r>
                </w:p>
              </w:tc>
              <w:tc>
                <w:tcPr>
                  <w:tcW w:w="1429" w:type="dxa"/>
                  <w:vAlign w:val="center"/>
                </w:tcPr>
                <w:p w14:paraId="18A70F7E">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0.1649</w:t>
                  </w:r>
                </w:p>
              </w:tc>
            </w:tr>
            <w:tr w14:paraId="52BC9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3D8802B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7</w:t>
                  </w:r>
                </w:p>
              </w:tc>
              <w:tc>
                <w:tcPr>
                  <w:tcW w:w="819" w:type="dxa"/>
                  <w:vMerge w:val="continue"/>
                  <w:vAlign w:val="center"/>
                </w:tcPr>
                <w:p w14:paraId="3EE4206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Align w:val="center"/>
                </w:tcPr>
                <w:p w14:paraId="12079CC7">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鸡联变-恒山变甲线</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改造</w:t>
                  </w:r>
                </w:p>
              </w:tc>
              <w:tc>
                <w:tcPr>
                  <w:tcW w:w="3290" w:type="dxa"/>
                  <w:vAlign w:val="center"/>
                </w:tcPr>
                <w:p w14:paraId="703682C0">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（130.86593807,45.20488927）7#</w:t>
                  </w:r>
                </w:p>
              </w:tc>
              <w:tc>
                <w:tcPr>
                  <w:tcW w:w="1364" w:type="dxa"/>
                  <w:vAlign w:val="center"/>
                </w:tcPr>
                <w:p w14:paraId="13899B90">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139.17</w:t>
                  </w:r>
                </w:p>
              </w:tc>
              <w:tc>
                <w:tcPr>
                  <w:tcW w:w="1429" w:type="dxa"/>
                  <w:vAlign w:val="center"/>
                </w:tcPr>
                <w:p w14:paraId="77D502B4">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0.1663</w:t>
                  </w:r>
                </w:p>
              </w:tc>
            </w:tr>
            <w:tr w14:paraId="632F5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40EFAAA9">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8</w:t>
                  </w:r>
                </w:p>
              </w:tc>
              <w:tc>
                <w:tcPr>
                  <w:tcW w:w="819" w:type="dxa"/>
                  <w:vMerge w:val="continue"/>
                  <w:vAlign w:val="center"/>
                </w:tcPr>
                <w:p w14:paraId="6A2BDE6D">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Align w:val="center"/>
                </w:tcPr>
                <w:p w14:paraId="3218E8DB">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鸡联变-恒山变</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乙</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线</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现状</w:t>
                  </w:r>
                </w:p>
              </w:tc>
              <w:tc>
                <w:tcPr>
                  <w:tcW w:w="3290" w:type="dxa"/>
                  <w:vAlign w:val="center"/>
                </w:tcPr>
                <w:p w14:paraId="73C181F4">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（130.86642623,45.20492329）8#</w:t>
                  </w:r>
                </w:p>
              </w:tc>
              <w:tc>
                <w:tcPr>
                  <w:tcW w:w="1364" w:type="dxa"/>
                  <w:vAlign w:val="center"/>
                </w:tcPr>
                <w:p w14:paraId="2EEAF0E0">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143.48</w:t>
                  </w:r>
                </w:p>
              </w:tc>
              <w:tc>
                <w:tcPr>
                  <w:tcW w:w="1429" w:type="dxa"/>
                  <w:vAlign w:val="center"/>
                </w:tcPr>
                <w:p w14:paraId="621FBFB7">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0.1417</w:t>
                  </w:r>
                </w:p>
              </w:tc>
            </w:tr>
            <w:tr w14:paraId="55F97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7EAED6F7">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w:t>
                  </w:r>
                </w:p>
              </w:tc>
              <w:tc>
                <w:tcPr>
                  <w:tcW w:w="819" w:type="dxa"/>
                  <w:vMerge w:val="continue"/>
                  <w:vAlign w:val="center"/>
                </w:tcPr>
                <w:p w14:paraId="52CE6056">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Align w:val="center"/>
                </w:tcPr>
                <w:p w14:paraId="1B914EDD">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鸡联变-恒山变</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乙</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线</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改造</w:t>
                  </w:r>
                </w:p>
              </w:tc>
              <w:tc>
                <w:tcPr>
                  <w:tcW w:w="3290" w:type="dxa"/>
                  <w:vAlign w:val="center"/>
                </w:tcPr>
                <w:p w14:paraId="76D82263">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（130.86639404,45.20484014）9#</w:t>
                  </w:r>
                </w:p>
              </w:tc>
              <w:tc>
                <w:tcPr>
                  <w:tcW w:w="1364" w:type="dxa"/>
                  <w:vAlign w:val="center"/>
                </w:tcPr>
                <w:p w14:paraId="4F8788A5">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144.59</w:t>
                  </w:r>
                </w:p>
              </w:tc>
              <w:tc>
                <w:tcPr>
                  <w:tcW w:w="1429" w:type="dxa"/>
                  <w:vAlign w:val="center"/>
                </w:tcPr>
                <w:p w14:paraId="61C23D8C">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0.1442</w:t>
                  </w:r>
                </w:p>
              </w:tc>
            </w:tr>
            <w:tr w14:paraId="72EA1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5E690BC9">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10</w:t>
                  </w:r>
                </w:p>
              </w:tc>
              <w:tc>
                <w:tcPr>
                  <w:tcW w:w="819" w:type="dxa"/>
                  <w:vMerge w:val="continue"/>
                  <w:vAlign w:val="center"/>
                </w:tcPr>
                <w:p w14:paraId="3DF11EBD">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restart"/>
                  <w:vAlign w:val="center"/>
                </w:tcPr>
                <w:p w14:paraId="1F8B64A1">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拟建输电线路</w:t>
                  </w:r>
                </w:p>
              </w:tc>
              <w:tc>
                <w:tcPr>
                  <w:tcW w:w="3290" w:type="dxa"/>
                  <w:vAlign w:val="center"/>
                </w:tcPr>
                <w:p w14:paraId="2CFA0E9D">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双回路（130.86481154,45.20509715）10#</w:t>
                  </w:r>
                </w:p>
              </w:tc>
              <w:tc>
                <w:tcPr>
                  <w:tcW w:w="1364" w:type="dxa"/>
                  <w:vAlign w:val="center"/>
                </w:tcPr>
                <w:p w14:paraId="01E60409">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2.20</w:t>
                  </w:r>
                </w:p>
              </w:tc>
              <w:tc>
                <w:tcPr>
                  <w:tcW w:w="1429" w:type="dxa"/>
                  <w:vAlign w:val="center"/>
                </w:tcPr>
                <w:p w14:paraId="0E55F58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0.0414</w:t>
                  </w:r>
                </w:p>
              </w:tc>
            </w:tr>
            <w:tr w14:paraId="08249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74B4164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11</w:t>
                  </w:r>
                </w:p>
              </w:tc>
              <w:tc>
                <w:tcPr>
                  <w:tcW w:w="819" w:type="dxa"/>
                  <w:vMerge w:val="continue"/>
                  <w:vAlign w:val="center"/>
                </w:tcPr>
                <w:p w14:paraId="46C9CEA4">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continue"/>
                  <w:vAlign w:val="center"/>
                </w:tcPr>
                <w:p w14:paraId="1B58EB67">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290" w:type="dxa"/>
                  <w:vAlign w:val="center"/>
                </w:tcPr>
                <w:p w14:paraId="2ADEC837">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双回路（130.86393956,45.20487685）11#</w:t>
                  </w:r>
                </w:p>
              </w:tc>
              <w:tc>
                <w:tcPr>
                  <w:tcW w:w="1364" w:type="dxa"/>
                  <w:vAlign w:val="center"/>
                </w:tcPr>
                <w:p w14:paraId="1176FF7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2.36</w:t>
                  </w:r>
                </w:p>
              </w:tc>
              <w:tc>
                <w:tcPr>
                  <w:tcW w:w="1429" w:type="dxa"/>
                  <w:vAlign w:val="center"/>
                </w:tcPr>
                <w:p w14:paraId="3B64546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0.0422</w:t>
                  </w:r>
                </w:p>
              </w:tc>
            </w:tr>
            <w:tr w14:paraId="7E050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50C9ABFD">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12</w:t>
                  </w:r>
                </w:p>
              </w:tc>
              <w:tc>
                <w:tcPr>
                  <w:tcW w:w="819" w:type="dxa"/>
                  <w:vMerge w:val="continue"/>
                  <w:vAlign w:val="center"/>
                </w:tcPr>
                <w:p w14:paraId="652CF570">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continue"/>
                  <w:vAlign w:val="center"/>
                </w:tcPr>
                <w:p w14:paraId="6C4EB8E6">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290" w:type="dxa"/>
                  <w:vAlign w:val="center"/>
                </w:tcPr>
                <w:p w14:paraId="4E438D07">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甲线单回路（130.84779137,45.18965894）12#</w:t>
                  </w:r>
                </w:p>
              </w:tc>
              <w:tc>
                <w:tcPr>
                  <w:tcW w:w="1364" w:type="dxa"/>
                  <w:vAlign w:val="center"/>
                </w:tcPr>
                <w:p w14:paraId="0FF62844">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8.00</w:t>
                  </w:r>
                </w:p>
              </w:tc>
              <w:tc>
                <w:tcPr>
                  <w:tcW w:w="1429" w:type="dxa"/>
                  <w:vAlign w:val="center"/>
                </w:tcPr>
                <w:p w14:paraId="0FEC7742">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0.0270</w:t>
                  </w:r>
                </w:p>
              </w:tc>
            </w:tr>
            <w:tr w14:paraId="60CBC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5" w:type="dxa"/>
                  <w:shd w:val="clear" w:color="auto" w:fill="auto"/>
                  <w:vAlign w:val="center"/>
                </w:tcPr>
                <w:p w14:paraId="48B212D0">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w:t>
                  </w:r>
                </w:p>
              </w:tc>
              <w:tc>
                <w:tcPr>
                  <w:tcW w:w="819" w:type="dxa"/>
                  <w:vMerge w:val="continue"/>
                  <w:vAlign w:val="center"/>
                </w:tcPr>
                <w:p w14:paraId="7589DD4E">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continue"/>
                  <w:vAlign w:val="center"/>
                </w:tcPr>
                <w:p w14:paraId="0271FA71">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290" w:type="dxa"/>
                  <w:vAlign w:val="center"/>
                </w:tcPr>
                <w:p w14:paraId="1DDF98EB">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乙线单回路（130.84719476,45.18952940）13#</w:t>
                  </w:r>
                </w:p>
              </w:tc>
              <w:tc>
                <w:tcPr>
                  <w:tcW w:w="1364" w:type="dxa"/>
                  <w:vAlign w:val="center"/>
                </w:tcPr>
                <w:p w14:paraId="3392B4DB">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5.96</w:t>
                  </w:r>
                </w:p>
              </w:tc>
              <w:tc>
                <w:tcPr>
                  <w:tcW w:w="1429" w:type="dxa"/>
                  <w:vAlign w:val="center"/>
                </w:tcPr>
                <w:p w14:paraId="5EB2BEE7">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0.0252</w:t>
                  </w:r>
                </w:p>
              </w:tc>
            </w:tr>
            <w:tr w14:paraId="7816C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675" w:type="dxa"/>
                  <w:shd w:val="clear" w:color="auto" w:fill="auto"/>
                  <w:vAlign w:val="center"/>
                </w:tcPr>
                <w:p w14:paraId="0EDA596C">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14</w:t>
                  </w:r>
                </w:p>
              </w:tc>
              <w:tc>
                <w:tcPr>
                  <w:tcW w:w="819" w:type="dxa"/>
                  <w:vMerge w:val="continue"/>
                  <w:vAlign w:val="center"/>
                </w:tcPr>
                <w:p w14:paraId="7786BBED">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continue"/>
                  <w:vAlign w:val="center"/>
                </w:tcPr>
                <w:p w14:paraId="4665E68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290" w:type="dxa"/>
                  <w:vAlign w:val="center"/>
                </w:tcPr>
                <w:p w14:paraId="3A7F05FB">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甲线单回路（131.41668503,45.15474554）14#</w:t>
                  </w:r>
                </w:p>
              </w:tc>
              <w:tc>
                <w:tcPr>
                  <w:tcW w:w="1364" w:type="dxa"/>
                  <w:vAlign w:val="center"/>
                </w:tcPr>
                <w:p w14:paraId="0851EB64">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55.19</w:t>
                  </w:r>
                </w:p>
              </w:tc>
              <w:tc>
                <w:tcPr>
                  <w:tcW w:w="1429" w:type="dxa"/>
                  <w:vAlign w:val="center"/>
                </w:tcPr>
                <w:p w14:paraId="38A2FE0B">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0.1130</w:t>
                  </w:r>
                </w:p>
              </w:tc>
            </w:tr>
            <w:tr w14:paraId="3BEA5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675" w:type="dxa"/>
                  <w:shd w:val="clear" w:color="auto" w:fill="auto"/>
                  <w:vAlign w:val="center"/>
                </w:tcPr>
                <w:p w14:paraId="3E970139">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15</w:t>
                  </w:r>
                </w:p>
              </w:tc>
              <w:tc>
                <w:tcPr>
                  <w:tcW w:w="819" w:type="dxa"/>
                  <w:vMerge w:val="continue"/>
                  <w:vAlign w:val="center"/>
                </w:tcPr>
                <w:p w14:paraId="180CEC86">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Merge w:val="continue"/>
                  <w:vAlign w:val="center"/>
                </w:tcPr>
                <w:p w14:paraId="3C0042D1">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290" w:type="dxa"/>
                  <w:vAlign w:val="center"/>
                </w:tcPr>
                <w:p w14:paraId="7A8C2262">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乙线单回路（131.41665287,45.15435222）15#</w:t>
                  </w:r>
                </w:p>
              </w:tc>
              <w:tc>
                <w:tcPr>
                  <w:tcW w:w="1364" w:type="dxa"/>
                  <w:vAlign w:val="center"/>
                </w:tcPr>
                <w:p w14:paraId="02E422D3">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177.25</w:t>
                  </w:r>
                </w:p>
              </w:tc>
              <w:tc>
                <w:tcPr>
                  <w:tcW w:w="1429" w:type="dxa"/>
                  <w:vAlign w:val="center"/>
                </w:tcPr>
                <w:p w14:paraId="11C162C9">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0.2780</w:t>
                  </w:r>
                </w:p>
              </w:tc>
            </w:tr>
            <w:tr w14:paraId="114C9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675" w:type="dxa"/>
                  <w:shd w:val="clear" w:color="auto" w:fill="auto"/>
                  <w:vAlign w:val="center"/>
                </w:tcPr>
                <w:p w14:paraId="222E80E5">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16</w:t>
                  </w:r>
                </w:p>
              </w:tc>
              <w:tc>
                <w:tcPr>
                  <w:tcW w:w="819" w:type="dxa"/>
                  <w:vMerge w:val="continue"/>
                  <w:vAlign w:val="center"/>
                </w:tcPr>
                <w:p w14:paraId="39EDB0C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636" w:type="dxa"/>
                  <w:vAlign w:val="center"/>
                </w:tcPr>
                <w:p w14:paraId="6F94491F">
                  <w:pPr>
                    <w:pStyle w:val="7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鸡西变出线位置</w:t>
                  </w:r>
                </w:p>
              </w:tc>
              <w:tc>
                <w:tcPr>
                  <w:tcW w:w="3290" w:type="dxa"/>
                  <w:vAlign w:val="center"/>
                </w:tcPr>
                <w:p w14:paraId="5A3145B4">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（131.47291103,45.16273754）16#</w:t>
                  </w:r>
                </w:p>
              </w:tc>
              <w:tc>
                <w:tcPr>
                  <w:tcW w:w="1364" w:type="dxa"/>
                  <w:vAlign w:val="center"/>
                </w:tcPr>
                <w:p w14:paraId="1D5ABCC2">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30.42</w:t>
                  </w:r>
                </w:p>
              </w:tc>
              <w:tc>
                <w:tcPr>
                  <w:tcW w:w="1429" w:type="dxa"/>
                  <w:vAlign w:val="center"/>
                </w:tcPr>
                <w:p w14:paraId="6173C637">
                  <w:pPr>
                    <w:pStyle w:val="74"/>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0.1487</w:t>
                  </w:r>
                </w:p>
              </w:tc>
            </w:tr>
          </w:tbl>
          <w:p w14:paraId="410138A8">
            <w:pPr>
              <w:keepNext w:val="0"/>
              <w:keepLines w:val="0"/>
              <w:pageBreakBefore w:val="0"/>
              <w:widowControl w:val="0"/>
              <w:suppressLineNumbers w:val="0"/>
              <w:kinsoku/>
              <w:wordWrap/>
              <w:bidi w:val="0"/>
              <w:spacing w:before="0" w:beforeAutospacing="0" w:after="0" w:afterAutospacing="0" w:line="360" w:lineRule="auto"/>
              <w:ind w:left="0" w:right="0" w:firstLine="435"/>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根据电磁环境现状监测结果表明，</w:t>
            </w:r>
            <w:r>
              <w:rPr>
                <w:rFonts w:hint="eastAsia" w:cs="Times New Roman"/>
                <w:color w:val="000000" w:themeColor="text1"/>
                <w:kern w:val="0"/>
                <w:sz w:val="24"/>
                <w:lang w:val="en-US" w:eastAsia="zh-CN" w:bidi="ar"/>
                <w14:textFill>
                  <w14:solidFill>
                    <w14:schemeClr w14:val="tx1"/>
                  </w14:solidFill>
                </w14:textFill>
              </w:rPr>
              <w:t>恒山</w:t>
            </w:r>
            <w:r>
              <w:rPr>
                <w:rFonts w:hint="default"/>
                <w:color w:val="000000" w:themeColor="text1"/>
                <w:sz w:val="24"/>
                <w14:textFill>
                  <w14:solidFill>
                    <w14:schemeClr w14:val="tx1"/>
                  </w14:solidFill>
                </w14:textFill>
              </w:rPr>
              <w:t>变电站工频电场强度范围为</w:t>
            </w:r>
            <w:r>
              <w:rPr>
                <w:rFonts w:hint="eastAsia"/>
                <w:color w:val="000000" w:themeColor="text1"/>
                <w:sz w:val="24"/>
                <w:lang w:val="en-US" w:eastAsia="zh-CN"/>
                <w14:textFill>
                  <w14:solidFill>
                    <w14:schemeClr w14:val="tx1"/>
                  </w14:solidFill>
                </w14:textFill>
              </w:rPr>
              <w:t>0.18</w:t>
            </w:r>
            <w:r>
              <w:rPr>
                <w:rFonts w:hint="default"/>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204.56</w:t>
            </w:r>
            <w:r>
              <w:rPr>
                <w:rFonts w:hint="default"/>
                <w:color w:val="000000" w:themeColor="text1"/>
                <w:sz w:val="24"/>
                <w14:textFill>
                  <w14:solidFill>
                    <w14:schemeClr w14:val="tx1"/>
                  </w14:solidFill>
                </w14:textFill>
              </w:rPr>
              <w:t>V/m，工频磁感应强度范围为</w:t>
            </w:r>
            <w:r>
              <w:rPr>
                <w:rFonts w:hint="eastAsia"/>
                <w:color w:val="000000" w:themeColor="text1"/>
                <w:sz w:val="24"/>
                <w:lang w:val="en-US" w:eastAsia="zh-CN"/>
                <w14:textFill>
                  <w14:solidFill>
                    <w14:schemeClr w14:val="tx1"/>
                  </w14:solidFill>
                </w14:textFill>
              </w:rPr>
              <w:t>0.0764</w:t>
            </w:r>
            <w:r>
              <w:rPr>
                <w:rFonts w:hint="default"/>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1.5199</w:t>
            </w:r>
            <w:r>
              <w:rPr>
                <w:rFonts w:hint="default"/>
                <w:color w:val="000000" w:themeColor="text1"/>
                <w:sz w:val="24"/>
                <w14:textFill>
                  <w14:solidFill>
                    <w14:schemeClr w14:val="tx1"/>
                  </w14:solidFill>
                </w14:textFill>
              </w:rPr>
              <w:t>μT；</w:t>
            </w:r>
            <w:r>
              <w:rPr>
                <w:rFonts w:hint="eastAsia"/>
                <w:color w:val="000000" w:themeColor="text1"/>
                <w:sz w:val="24"/>
                <w:lang w:val="en-US" w:eastAsia="zh-CN"/>
                <w14:textFill>
                  <w14:solidFill>
                    <w14:schemeClr w14:val="tx1"/>
                  </w14:solidFill>
                </w14:textFill>
              </w:rPr>
              <w:t>变电站</w:t>
            </w:r>
            <w:r>
              <w:rPr>
                <w:rFonts w:hint="default"/>
                <w:color w:val="000000" w:themeColor="text1"/>
                <w:sz w:val="24"/>
                <w14:textFill>
                  <w14:solidFill>
                    <w14:schemeClr w14:val="tx1"/>
                  </w14:solidFill>
                </w14:textFill>
              </w:rPr>
              <w:t>厂界电磁环境满足《电磁环境控制限值》（GB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8702-2014）要求（电场强度4000V/m，磁感应强度100μT）</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恒山变电站电磁敏感点</w:t>
            </w:r>
            <w:r>
              <w:rPr>
                <w:rFonts w:hint="default"/>
                <w:color w:val="000000" w:themeColor="text1"/>
                <w:sz w:val="24"/>
                <w14:textFill>
                  <w14:solidFill>
                    <w14:schemeClr w14:val="tx1"/>
                  </w14:solidFill>
                </w14:textFill>
              </w:rPr>
              <w:t>工频电场强度</w:t>
            </w:r>
            <w:r>
              <w:rPr>
                <w:rFonts w:hint="eastAsia"/>
                <w:color w:val="000000" w:themeColor="text1"/>
                <w:sz w:val="24"/>
                <w:lang w:val="en-US" w:eastAsia="zh-CN"/>
                <w14:textFill>
                  <w14:solidFill>
                    <w14:schemeClr w14:val="tx1"/>
                  </w14:solidFill>
                </w14:textFill>
              </w:rPr>
              <w:t>为103.63</w:t>
            </w:r>
            <w:r>
              <w:rPr>
                <w:rFonts w:hint="default"/>
                <w:color w:val="000000" w:themeColor="text1"/>
                <w:sz w:val="24"/>
                <w14:textFill>
                  <w14:solidFill>
                    <w14:schemeClr w14:val="tx1"/>
                  </w14:solidFill>
                </w14:textFill>
              </w:rPr>
              <w:t>V/m，工频磁感应强度</w:t>
            </w:r>
            <w:r>
              <w:rPr>
                <w:rFonts w:hint="eastAsia"/>
                <w:color w:val="000000" w:themeColor="text1"/>
                <w:sz w:val="24"/>
                <w:lang w:val="en-US" w:eastAsia="zh-CN"/>
                <w14:textFill>
                  <w14:solidFill>
                    <w14:schemeClr w14:val="tx1"/>
                  </w14:solidFill>
                </w14:textFill>
              </w:rPr>
              <w:t>为0.3221</w:t>
            </w:r>
            <w:r>
              <w:rPr>
                <w:rFonts w:hint="default"/>
                <w:color w:val="000000" w:themeColor="text1"/>
                <w:sz w:val="24"/>
                <w14:textFill>
                  <w14:solidFill>
                    <w14:schemeClr w14:val="tx1"/>
                  </w14:solidFill>
                </w14:textFill>
              </w:rPr>
              <w:t>μT</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满足《电磁环境控制限值》（GB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8702-2014）要求（电场强度4000V/m，磁感应强度100μT）</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鸡西变电站出线位置</w:t>
            </w:r>
            <w:r>
              <w:rPr>
                <w:rFonts w:hint="default"/>
                <w:color w:val="000000" w:themeColor="text1"/>
                <w:sz w:val="24"/>
                <w14:textFill>
                  <w14:solidFill>
                    <w14:schemeClr w14:val="tx1"/>
                  </w14:solidFill>
                </w14:textFill>
              </w:rPr>
              <w:t>工频电场强度</w:t>
            </w:r>
            <w:r>
              <w:rPr>
                <w:rFonts w:hint="eastAsia"/>
                <w:color w:val="000000" w:themeColor="text1"/>
                <w:sz w:val="24"/>
                <w:lang w:val="en-US" w:eastAsia="zh-CN"/>
                <w14:textFill>
                  <w14:solidFill>
                    <w14:schemeClr w14:val="tx1"/>
                  </w14:solidFill>
                </w14:textFill>
              </w:rPr>
              <w:t>为30.42</w:t>
            </w:r>
            <w:r>
              <w:rPr>
                <w:rFonts w:hint="default"/>
                <w:color w:val="000000" w:themeColor="text1"/>
                <w:sz w:val="24"/>
                <w14:textFill>
                  <w14:solidFill>
                    <w14:schemeClr w14:val="tx1"/>
                  </w14:solidFill>
                </w14:textFill>
              </w:rPr>
              <w:t>V/m，工频磁感应强度</w:t>
            </w:r>
            <w:r>
              <w:rPr>
                <w:rFonts w:hint="eastAsia"/>
                <w:color w:val="000000" w:themeColor="text1"/>
                <w:sz w:val="24"/>
                <w:lang w:val="en-US" w:eastAsia="zh-CN"/>
                <w14:textFill>
                  <w14:solidFill>
                    <w14:schemeClr w14:val="tx1"/>
                  </w14:solidFill>
                </w14:textFill>
              </w:rPr>
              <w:t>为0.1487</w:t>
            </w:r>
            <w:r>
              <w:rPr>
                <w:rFonts w:hint="default"/>
                <w:color w:val="000000" w:themeColor="text1"/>
                <w:sz w:val="24"/>
                <w14:textFill>
                  <w14:solidFill>
                    <w14:schemeClr w14:val="tx1"/>
                  </w14:solidFill>
                </w14:textFill>
              </w:rPr>
              <w:t>μT</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满足《电磁环境控制限值》（GB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8702-2014）要求（电场强度4000V/m，磁感应强度100μT）</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拟建</w:t>
            </w:r>
            <w:r>
              <w:rPr>
                <w:rFonts w:hint="eastAsia"/>
                <w:color w:val="000000" w:themeColor="text1"/>
                <w:sz w:val="24"/>
                <w14:textFill>
                  <w14:solidFill>
                    <w14:schemeClr w14:val="tx1"/>
                  </w14:solidFill>
                </w14:textFill>
              </w:rPr>
              <w:t>输电线路</w:t>
            </w:r>
            <w:r>
              <w:rPr>
                <w:rFonts w:hint="eastAsia"/>
                <w:color w:val="000000" w:themeColor="text1"/>
                <w:sz w:val="24"/>
                <w:lang w:val="en-US" w:eastAsia="zh-CN"/>
                <w14:textFill>
                  <w14:solidFill>
                    <w14:schemeClr w14:val="tx1"/>
                  </w14:solidFill>
                </w14:textFill>
              </w:rPr>
              <w:t>及改造线路</w:t>
            </w:r>
            <w:r>
              <w:rPr>
                <w:rFonts w:hint="eastAsia"/>
                <w:color w:val="000000" w:themeColor="text1"/>
                <w:sz w:val="24"/>
                <w14:textFill>
                  <w14:solidFill>
                    <w14:schemeClr w14:val="tx1"/>
                  </w14:solidFill>
                </w14:textFill>
              </w:rPr>
              <w:t>现状监测点电磁环境监测结果</w:t>
            </w:r>
            <w:r>
              <w:rPr>
                <w:rFonts w:hint="default"/>
                <w:color w:val="000000" w:themeColor="text1"/>
                <w:sz w:val="24"/>
                <w14:textFill>
                  <w14:solidFill>
                    <w14:schemeClr w14:val="tx1"/>
                  </w14:solidFill>
                </w14:textFill>
              </w:rPr>
              <w:t>满足《电磁环境控制限值》（GB</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8702-2014）</w:t>
            </w:r>
            <w:r>
              <w:rPr>
                <w:rFonts w:hint="eastAsia"/>
                <w:color w:val="000000" w:themeColor="text1"/>
                <w:sz w:val="24"/>
                <w14:textFill>
                  <w14:solidFill>
                    <w14:schemeClr w14:val="tx1"/>
                  </w14:solidFill>
                </w14:textFill>
              </w:rPr>
              <w:t>中标准限值</w:t>
            </w:r>
            <w:r>
              <w:rPr>
                <w:rFonts w:hint="default"/>
                <w:color w:val="000000" w:themeColor="text1"/>
                <w:sz w:val="24"/>
                <w14:textFill>
                  <w14:solidFill>
                    <w14:schemeClr w14:val="tx1"/>
                  </w14:solidFill>
                </w14:textFill>
              </w:rPr>
              <w:t>要求（电场强度</w:t>
            </w:r>
            <w:r>
              <w:rPr>
                <w:rFonts w:hint="eastAsia"/>
                <w:color w:val="000000" w:themeColor="text1"/>
                <w:sz w:val="24"/>
                <w:lang w:val="en-US" w:eastAsia="zh-CN"/>
                <w14:textFill>
                  <w14:solidFill>
                    <w14:schemeClr w14:val="tx1"/>
                  </w14:solidFill>
                </w14:textFill>
              </w:rPr>
              <w:t>10000</w:t>
            </w:r>
            <w:r>
              <w:rPr>
                <w:rFonts w:hint="default"/>
                <w:color w:val="000000" w:themeColor="text1"/>
                <w:sz w:val="24"/>
                <w14:textFill>
                  <w14:solidFill>
                    <w14:schemeClr w14:val="tx1"/>
                  </w14:solidFill>
                </w14:textFill>
              </w:rPr>
              <w:t>V/m，磁感应强度100μT）。</w:t>
            </w:r>
          </w:p>
          <w:p w14:paraId="251892BA">
            <w:pPr>
              <w:pStyle w:val="22"/>
              <w:keepNext w:val="0"/>
              <w:keepLines w:val="0"/>
              <w:suppressLineNumbers w:val="0"/>
              <w:spacing w:before="0" w:beforeAutospacing="0" w:after="0" w:afterAutospacing="0" w:line="360" w:lineRule="auto"/>
              <w:ind w:left="0" w:right="0" w:firstLine="482" w:firstLineChars="200"/>
              <w:rPr>
                <w:rFonts w:hint="default"/>
                <w:color w:val="000000" w:themeColor="text1"/>
                <w:highlight w:val="none"/>
                <w14:textFill>
                  <w14:solidFill>
                    <w14:schemeClr w14:val="tx1"/>
                  </w14:solidFill>
                </w14:textFill>
              </w:rPr>
            </w:pPr>
            <w:bookmarkStart w:id="34" w:name="_Toc29952"/>
            <w:bookmarkStart w:id="35" w:name="_Toc2815"/>
            <w:r>
              <w:rPr>
                <w:rFonts w:hint="eastAsia"/>
                <w:color w:val="000000" w:themeColor="text1"/>
                <w:sz w:val="24"/>
                <w:szCs w:val="24"/>
                <w:highlight w:val="none"/>
                <w14:textFill>
                  <w14:solidFill>
                    <w14:schemeClr w14:val="tx1"/>
                  </w14:solidFill>
                </w14:textFill>
              </w:rPr>
              <w:t>（三）电磁环境影响预测评价</w:t>
            </w:r>
            <w:bookmarkEnd w:id="34"/>
            <w:bookmarkEnd w:id="35"/>
          </w:p>
          <w:p w14:paraId="4D662013">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eastAsia" w:cs="Times New Roman"/>
                <w:b/>
                <w:bCs/>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电磁环境影响评价的基本内容</w:t>
            </w:r>
          </w:p>
          <w:p w14:paraId="49EDB430">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根据本项目工程内容，参照《环境影响评价技术导则</w:t>
            </w:r>
            <w:r>
              <w:rPr>
                <w:rFonts w:hint="eastAsia"/>
                <w:color w:val="000000" w:themeColor="text1"/>
                <w:sz w:val="24"/>
                <w:lang w:val="en-US" w:eastAsia="zh-CN"/>
                <w14:textFill>
                  <w14:solidFill>
                    <w14:schemeClr w14:val="tx1"/>
                  </w14:solidFill>
                </w14:textFill>
              </w:rPr>
              <w:t xml:space="preserve"> </w:t>
            </w:r>
            <w:r>
              <w:rPr>
                <w:rFonts w:hint="default"/>
                <w:color w:val="000000" w:themeColor="text1"/>
                <w:sz w:val="24"/>
                <w14:textFill>
                  <w14:solidFill>
                    <w14:schemeClr w14:val="tx1"/>
                  </w14:solidFill>
                </w14:textFill>
              </w:rPr>
              <w:t>输变电》（HJ24-2020），本工程电磁环境影响评价工作等级确定为</w:t>
            </w:r>
            <w:r>
              <w:rPr>
                <w:rFonts w:hint="eastAsia"/>
                <w:color w:val="000000" w:themeColor="text1"/>
                <w:sz w:val="24"/>
                <w:lang w:val="en-US" w:eastAsia="zh-CN"/>
                <w14:textFill>
                  <w14:solidFill>
                    <w14:schemeClr w14:val="tx1"/>
                  </w14:solidFill>
                </w14:textFill>
              </w:rPr>
              <w:t>一</w:t>
            </w:r>
            <w:r>
              <w:rPr>
                <w:rFonts w:hint="default"/>
                <w:color w:val="000000" w:themeColor="text1"/>
                <w:sz w:val="24"/>
                <w14:textFill>
                  <w14:solidFill>
                    <w14:schemeClr w14:val="tx1"/>
                  </w14:solidFill>
                </w14:textFill>
              </w:rPr>
              <w:t>级。导则中有关电磁环境影响评价（</w:t>
            </w:r>
            <w:r>
              <w:rPr>
                <w:rFonts w:hint="eastAsia"/>
                <w:color w:val="000000" w:themeColor="text1"/>
                <w:sz w:val="24"/>
                <w:lang w:val="en-US" w:eastAsia="zh-CN"/>
                <w14:textFill>
                  <w14:solidFill>
                    <w14:schemeClr w14:val="tx1"/>
                  </w14:solidFill>
                </w14:textFill>
              </w:rPr>
              <w:t>一级</w:t>
            </w:r>
            <w:r>
              <w:rPr>
                <w:rFonts w:hint="default"/>
                <w:color w:val="000000" w:themeColor="text1"/>
                <w:sz w:val="24"/>
                <w14:textFill>
                  <w14:solidFill>
                    <w14:schemeClr w14:val="tx1"/>
                  </w14:solidFill>
                </w14:textFill>
              </w:rPr>
              <w:t>评价）的基本要求如下：</w:t>
            </w:r>
          </w:p>
          <w:p w14:paraId="4517FB58">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对于输电线路，其评价范围内具有代表性的电磁环境敏感目标和典型线位的电磁环境现状应实测，对实测结果进行评价，并分析现有电磁源的构成及其对电磁环境敏感目标的影响；电磁环境影响预测应采用类比监测结合的方式。</w:t>
            </w:r>
          </w:p>
          <w:p w14:paraId="2243FBBC">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对于变电站、换流站、开关站、串补站，其评价范围内临近各侧站界的电磁环境敏感目标和站界的电磁环境现状应实测，并对实测结果进行评价，分析现有电磁源的构成及其对电磁环境敏感目标的影响；电磁环境影响预测应采用类比监测的方式。</w:t>
            </w:r>
          </w:p>
          <w:p w14:paraId="76D55594">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b/>
                <w:bCs/>
                <w:snapToGrid w:val="0"/>
                <w:color w:val="000000" w:themeColor="text1"/>
                <w:sz w:val="24"/>
                <w:lang w:val="en-US" w:eastAsia="zh-CN"/>
                <w14:textFill>
                  <w14:solidFill>
                    <w14:schemeClr w14:val="tx1"/>
                  </w14:solidFill>
                </w14:textFill>
              </w:rPr>
              <w:t>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变电站站址电磁环境影响分析</w:t>
            </w:r>
          </w:p>
          <w:p w14:paraId="5E8C7A84">
            <w:pPr>
              <w:pStyle w:val="22"/>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 类比对象选择</w:t>
            </w:r>
          </w:p>
          <w:p w14:paraId="1A22A486">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（1）类比对象选择的原则</w:t>
            </w:r>
          </w:p>
          <w:p w14:paraId="68D5C1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电磁环境影响的主要因素为电压等级和布置形式，类比对象选择电压等级相同，总平面布置、建设规模、环境条件等因素类似，运行稳定，且已通过竣工环境保护验收的变电站。</w:t>
            </w:r>
          </w:p>
          <w:p w14:paraId="30C2632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（2）类比对象的选取</w:t>
            </w:r>
          </w:p>
          <w:p w14:paraId="5F8C01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14:textFill>
                  <w14:solidFill>
                    <w14:schemeClr w14:val="tx1"/>
                  </w14:solidFill>
                </w14:textFill>
              </w:rPr>
            </w:pPr>
            <w:r>
              <w:rPr>
                <w:rFonts w:hint="default"/>
                <w:color w:val="000000" w:themeColor="text1"/>
                <w:sz w:val="24"/>
                <w14:textFill>
                  <w14:solidFill>
                    <w14:schemeClr w14:val="tx1"/>
                  </w14:solidFill>
                </w14:textFill>
              </w:rPr>
              <w:t>本次电磁环境影响预测评价采用类比</w:t>
            </w:r>
            <w:r>
              <w:rPr>
                <w:rFonts w:hint="eastAsia"/>
                <w:color w:val="000000" w:themeColor="text1"/>
                <w:sz w:val="24"/>
                <w:lang w:val="en-US" w:eastAsia="zh-CN"/>
                <w14:textFill>
                  <w14:solidFill>
                    <w14:schemeClr w14:val="tx1"/>
                  </w14:solidFill>
                </w14:textFill>
              </w:rPr>
              <w:t>监测</w:t>
            </w:r>
            <w:r>
              <w:rPr>
                <w:rFonts w:hint="default"/>
                <w:color w:val="000000" w:themeColor="text1"/>
                <w:sz w:val="24"/>
                <w14:textFill>
                  <w14:solidFill>
                    <w14:schemeClr w14:val="tx1"/>
                  </w14:solidFill>
                </w14:textFill>
              </w:rPr>
              <w:t>的方法来预测</w:t>
            </w:r>
            <w:r>
              <w:rPr>
                <w:rFonts w:hint="eastAsia"/>
                <w:color w:val="000000" w:themeColor="text1"/>
                <w:sz w:val="24"/>
                <w:lang w:val="en-US" w:eastAsia="zh-CN"/>
                <w14:textFill>
                  <w14:solidFill>
                    <w14:schemeClr w14:val="tx1"/>
                  </w14:solidFill>
                </w14:textFill>
              </w:rPr>
              <w:t>220千伏恒山变电站</w:t>
            </w:r>
            <w:r>
              <w:rPr>
                <w:rFonts w:hint="default"/>
                <w:color w:val="000000" w:themeColor="text1"/>
                <w:sz w:val="24"/>
                <w14:textFill>
                  <w14:solidFill>
                    <w14:schemeClr w14:val="tx1"/>
                  </w14:solidFill>
                </w14:textFill>
              </w:rPr>
              <w:t>对其周围电磁环境的影响，</w:t>
            </w:r>
            <w:r>
              <w:rPr>
                <w:rFonts w:hint="eastAsia"/>
                <w:color w:val="000000" w:themeColor="text1"/>
                <w:sz w:val="24"/>
                <w14:textFill>
                  <w14:solidFill>
                    <w14:schemeClr w14:val="tx1"/>
                  </w14:solidFill>
                </w14:textFill>
              </w:rPr>
              <w:t>220千伏</w:t>
            </w:r>
            <w:r>
              <w:rPr>
                <w:rFonts w:hint="eastAsia"/>
                <w:color w:val="000000" w:themeColor="text1"/>
                <w:sz w:val="24"/>
                <w:lang w:val="en-US" w:eastAsia="zh-CN"/>
                <w14:textFill>
                  <w14:solidFill>
                    <w14:schemeClr w14:val="tx1"/>
                  </w14:solidFill>
                </w14:textFill>
              </w:rPr>
              <w:t>恒山变电站</w:t>
            </w:r>
            <w:r>
              <w:rPr>
                <w:rFonts w:hint="default"/>
                <w:color w:val="000000" w:themeColor="text1"/>
                <w:sz w:val="24"/>
                <w14:textFill>
                  <w14:solidFill>
                    <w14:schemeClr w14:val="tx1"/>
                  </w14:solidFill>
                </w14:textFill>
              </w:rPr>
              <w:t>电磁评价范围为变电站站界外40m范围内。</w:t>
            </w:r>
          </w:p>
          <w:p w14:paraId="76CDB350">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在电压转换过程中，高压配电设备与周围环境存在电位差，产生极低频（工频50Hz）的电磁场，对周围环境有所影响，辐射污染超过某一限值时将有可能对人体健康产生影响。由此，变电站对电磁环境的影响主要是电场（E）、磁场（H）。变电站运行期间，主变压器处于持续工作状态，对电磁环境可能产生影响；其他如电容器、开关柜、高压母线及电缆等也可能对电磁辐射环境产生影响。由于变电站内安装数量较多的各类送、变电设备，各设备产生的电磁场会发生交错和叠加，难以用计算方法来描述其周围环境的电磁场分布，因此本次环评采用类比分析方法预测</w:t>
            </w:r>
            <w:r>
              <w:rPr>
                <w:rFonts w:hint="eastAsia"/>
                <w:color w:val="000000" w:themeColor="text1"/>
                <w:sz w:val="24"/>
                <w:lang w:eastAsia="zh-CN"/>
                <w14:textFill>
                  <w14:solidFill>
                    <w14:schemeClr w14:val="tx1"/>
                  </w14:solidFill>
                </w14:textFill>
              </w:rPr>
              <w:t>变电站</w:t>
            </w:r>
            <w:r>
              <w:rPr>
                <w:rFonts w:hint="default"/>
                <w:color w:val="000000" w:themeColor="text1"/>
                <w:sz w:val="24"/>
                <w14:textFill>
                  <w14:solidFill>
                    <w14:schemeClr w14:val="tx1"/>
                  </w14:solidFill>
                </w14:textFill>
              </w:rPr>
              <w:t>运行对其周围电磁场环境的影响。</w:t>
            </w:r>
          </w:p>
          <w:p w14:paraId="5309E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根据类比对象选择原则，选取已通过竣工环境保护验收的秦相</w:t>
            </w:r>
            <w:r>
              <w:rPr>
                <w:rFonts w:hint="default" w:ascii="Times New Roman" w:hAnsi="Times New Roman" w:cs="Times New Roman"/>
                <w:color w:val="000000" w:themeColor="text1"/>
                <w:sz w:val="24"/>
                <w14:textFill>
                  <w14:solidFill>
                    <w14:schemeClr w14:val="tx1"/>
                  </w14:solidFill>
                </w14:textFill>
              </w:rPr>
              <w:t>220kV变电站</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作为类比对象。</w:t>
            </w:r>
          </w:p>
          <w:p w14:paraId="005B7543">
            <w:pPr>
              <w:keepNext w:val="0"/>
              <w:keepLines w:val="0"/>
              <w:suppressLineNumbers w:val="0"/>
              <w:spacing w:before="0" w:beforeAutospacing="0" w:after="0" w:afterAutospacing="0"/>
              <w:ind w:left="0" w:right="0"/>
              <w:jc w:val="center"/>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4"/>
                <w:szCs w:val="21"/>
                <w:highlight w:val="none"/>
                <w:lang w:val="en-US" w:eastAsia="zh-CN" w:bidi="ar-SA"/>
                <w14:textFill>
                  <w14:solidFill>
                    <w14:schemeClr w14:val="tx1"/>
                  </w14:solidFill>
                </w14:textFill>
              </w:rPr>
              <w:t>表</w:t>
            </w:r>
            <w:r>
              <w:rPr>
                <w:rFonts w:hint="eastAsia" w:cs="Times New Roman"/>
                <w:b/>
                <w:bCs/>
                <w:color w:val="000000" w:themeColor="text1"/>
                <w:kern w:val="2"/>
                <w:sz w:val="24"/>
                <w:szCs w:val="21"/>
                <w:highlight w:val="none"/>
                <w:lang w:val="en-US" w:eastAsia="zh-CN" w:bidi="ar-SA"/>
                <w14:textFill>
                  <w14:solidFill>
                    <w14:schemeClr w14:val="tx1"/>
                  </w14:solidFill>
                </w14:textFill>
              </w:rPr>
              <w:t xml:space="preserve"> 6 220千伏</w:t>
            </w:r>
            <w:r>
              <w:rPr>
                <w:rFonts w:hint="eastAsia" w:ascii="Times New Roman" w:hAnsi="Times New Roman" w:eastAsia="宋体" w:cs="Times New Roman"/>
                <w:b/>
                <w:bCs/>
                <w:color w:val="000000" w:themeColor="text1"/>
                <w:kern w:val="2"/>
                <w:sz w:val="24"/>
                <w:szCs w:val="21"/>
                <w:highlight w:val="none"/>
                <w:lang w:val="en-US" w:eastAsia="zh-CN" w:bidi="ar-SA"/>
                <w14:textFill>
                  <w14:solidFill>
                    <w14:schemeClr w14:val="tx1"/>
                  </w14:solidFill>
                </w14:textFill>
              </w:rPr>
              <w:t>变电站类比工程对照表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16"/>
              <w:gridCol w:w="431"/>
              <w:gridCol w:w="506"/>
              <w:gridCol w:w="2007"/>
              <w:gridCol w:w="505"/>
              <w:gridCol w:w="2224"/>
              <w:gridCol w:w="1820"/>
            </w:tblGrid>
            <w:tr w14:paraId="46AF6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00A52726">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工程名称</w:t>
                  </w:r>
                </w:p>
              </w:tc>
              <w:tc>
                <w:tcPr>
                  <w:tcW w:w="1515" w:type="pct"/>
                  <w:gridSpan w:val="2"/>
                  <w:noWrap w:val="0"/>
                  <w:vAlign w:val="center"/>
                </w:tcPr>
                <w:p w14:paraId="62340751">
                  <w:pPr>
                    <w:pStyle w:val="25"/>
                    <w:keepNext w:val="0"/>
                    <w:keepLines w:val="0"/>
                    <w:widowControl w:val="0"/>
                    <w:suppressLineNumbers w:val="0"/>
                    <w:autoSpaceDE w:val="0"/>
                    <w:autoSpaceDN/>
                    <w:snapToGrid w:val="0"/>
                    <w:spacing w:before="48" w:beforeLines="15" w:beforeAutospacing="0" w:after="48" w:afterLines="15" w:afterAutospacing="0"/>
                    <w:ind w:left="0" w:leftChars="0" w:right="0" w:rightChars="0" w:firstLine="0" w:firstLineChars="0"/>
                    <w:jc w:val="center"/>
                    <w:rPr>
                      <w:rFonts w:hint="eastAsia" w:ascii="宋体" w:hAnsi="宋体" w:eastAsia="宋体" w:cs="宋体"/>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秦相220kV</w:t>
                  </w:r>
                  <w:r>
                    <w:rPr>
                      <w:rFonts w:hint="eastAsia" w:ascii="宋体" w:hAnsi="宋体" w:eastAsia="宋体" w:cs="宋体"/>
                      <w:color w:val="000000" w:themeColor="text1"/>
                      <w:kern w:val="2"/>
                      <w:sz w:val="21"/>
                      <w:szCs w:val="21"/>
                      <w:lang w:val="en-US" w:eastAsia="zh-CN" w:bidi="ar"/>
                      <w14:textFill>
                        <w14:solidFill>
                          <w14:schemeClr w14:val="tx1"/>
                        </w14:solidFill>
                      </w14:textFill>
                    </w:rPr>
                    <w:t>变电站</w:t>
                  </w:r>
                </w:p>
                <w:p w14:paraId="70B67247">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eastAsia" w:cs="宋体"/>
                      <w:color w:val="000000" w:themeColor="text1"/>
                      <w:kern w:val="2"/>
                      <w:sz w:val="21"/>
                      <w:szCs w:val="21"/>
                      <w:lang w:val="en-US" w:eastAsia="zh-CN" w:bidi="ar"/>
                      <w14:textFill>
                        <w14:solidFill>
                          <w14:schemeClr w14:val="tx1"/>
                        </w14:solidFill>
                      </w14:textFill>
                    </w:rPr>
                    <w:t>（类比项目）</w:t>
                  </w:r>
                </w:p>
              </w:tc>
              <w:tc>
                <w:tcPr>
                  <w:tcW w:w="1645" w:type="pct"/>
                  <w:gridSpan w:val="2"/>
                  <w:noWrap w:val="0"/>
                  <w:vAlign w:val="center"/>
                </w:tcPr>
                <w:p w14:paraId="602033C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lang w:val="en-US" w:eastAsia="zh-CN"/>
                      <w14:textFill>
                        <w14:solidFill>
                          <w14:schemeClr w14:val="tx1"/>
                        </w14:solidFill>
                      </w14:textFill>
                    </w:rPr>
                  </w:pPr>
                  <w:r>
                    <w:rPr>
                      <w:rFonts w:hint="default" w:ascii="Times New Roman" w:hAnsi="Times New Roman" w:cs="Times New Roman"/>
                      <w:bCs/>
                      <w:color w:val="000000" w:themeColor="text1"/>
                      <w14:textFill>
                        <w14:solidFill>
                          <w14:schemeClr w14:val="tx1"/>
                        </w14:solidFill>
                      </w14:textFill>
                    </w:rPr>
                    <w:t>220</w:t>
                  </w:r>
                  <w:r>
                    <w:rPr>
                      <w:rFonts w:hint="default" w:ascii="Times New Roman" w:hAnsi="Times New Roman" w:cs="Times New Roman"/>
                      <w:bCs/>
                      <w:color w:val="000000" w:themeColor="text1"/>
                      <w:lang w:eastAsia="zh-CN"/>
                      <w14:textFill>
                        <w14:solidFill>
                          <w14:schemeClr w14:val="tx1"/>
                        </w14:solidFill>
                      </w14:textFill>
                    </w:rPr>
                    <w:t>kV</w:t>
                  </w:r>
                  <w:r>
                    <w:rPr>
                      <w:rFonts w:hint="eastAsia" w:cs="Times New Roman"/>
                      <w:bCs/>
                      <w:color w:val="000000" w:themeColor="text1"/>
                      <w:lang w:val="en-US" w:eastAsia="zh-CN"/>
                      <w14:textFill>
                        <w14:solidFill>
                          <w14:schemeClr w14:val="tx1"/>
                        </w14:solidFill>
                      </w14:textFill>
                    </w:rPr>
                    <w:t>恒山变电站</w:t>
                  </w:r>
                </w:p>
                <w:p w14:paraId="46C099C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（本项目）</w:t>
                  </w:r>
                </w:p>
              </w:tc>
              <w:tc>
                <w:tcPr>
                  <w:tcW w:w="1097" w:type="pct"/>
                  <w:noWrap w:val="0"/>
                  <w:vAlign w:val="center"/>
                </w:tcPr>
                <w:p w14:paraId="0A39977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可类比性</w:t>
                  </w:r>
                </w:p>
              </w:tc>
            </w:tr>
            <w:tr w14:paraId="02F95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1B618B09">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电压等级</w:t>
                  </w:r>
                </w:p>
              </w:tc>
              <w:tc>
                <w:tcPr>
                  <w:tcW w:w="1515" w:type="pct"/>
                  <w:gridSpan w:val="2"/>
                  <w:noWrap w:val="0"/>
                  <w:vAlign w:val="center"/>
                </w:tcPr>
                <w:p w14:paraId="67A0A183">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220kV</w:t>
                  </w:r>
                </w:p>
              </w:tc>
              <w:tc>
                <w:tcPr>
                  <w:tcW w:w="1645" w:type="pct"/>
                  <w:gridSpan w:val="2"/>
                  <w:noWrap w:val="0"/>
                  <w:vAlign w:val="center"/>
                </w:tcPr>
                <w:p w14:paraId="40538908">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220kV</w:t>
                  </w:r>
                </w:p>
              </w:tc>
              <w:tc>
                <w:tcPr>
                  <w:tcW w:w="1097" w:type="pct"/>
                  <w:noWrap w:val="0"/>
                  <w:vAlign w:val="center"/>
                </w:tcPr>
                <w:p w14:paraId="7CC4670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一致</w:t>
                  </w:r>
                </w:p>
              </w:tc>
            </w:tr>
            <w:tr w14:paraId="64B59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12" w:type="pct"/>
                  <w:vMerge w:val="restart"/>
                  <w:noWrap w:val="0"/>
                  <w:vAlign w:val="center"/>
                </w:tcPr>
                <w:p w14:paraId="53754E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建设规模</w:t>
                  </w:r>
                </w:p>
              </w:tc>
              <w:tc>
                <w:tcPr>
                  <w:tcW w:w="329" w:type="pct"/>
                  <w:gridSpan w:val="2"/>
                  <w:noWrap w:val="0"/>
                  <w:vAlign w:val="center"/>
                </w:tcPr>
                <w:p w14:paraId="5DDF06C1">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出线规模</w:t>
                  </w:r>
                </w:p>
              </w:tc>
              <w:tc>
                <w:tcPr>
                  <w:tcW w:w="1515" w:type="pct"/>
                  <w:gridSpan w:val="2"/>
                  <w:noWrap w:val="0"/>
                  <w:vAlign w:val="center"/>
                </w:tcPr>
                <w:p w14:paraId="100F4F4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220kV出线</w:t>
                  </w:r>
                  <w:r>
                    <w:rPr>
                      <w:rFonts w:hint="eastAsia" w:cs="Times New Roman"/>
                      <w:color w:val="000000" w:themeColor="text1"/>
                      <w:szCs w:val="21"/>
                      <w:lang w:val="en-US" w:eastAsia="zh-CN"/>
                      <w14:textFill>
                        <w14:solidFill>
                          <w14:schemeClr w14:val="tx1"/>
                        </w14:solidFill>
                      </w14:textFill>
                    </w:rPr>
                    <w:t>4</w:t>
                  </w:r>
                  <w:r>
                    <w:rPr>
                      <w:rFonts w:hint="default" w:ascii="Times New Roman" w:hAnsi="Times New Roman" w:eastAsia="宋体" w:cs="Times New Roman"/>
                      <w:color w:val="000000" w:themeColor="text1"/>
                      <w:szCs w:val="21"/>
                      <w:lang w:val="en-US" w:eastAsia="zh-CN"/>
                      <w14:textFill>
                        <w14:solidFill>
                          <w14:schemeClr w14:val="tx1"/>
                        </w14:solidFill>
                      </w14:textFill>
                    </w:rPr>
                    <w:t>回</w:t>
                  </w:r>
                </w:p>
              </w:tc>
              <w:tc>
                <w:tcPr>
                  <w:tcW w:w="1645" w:type="pct"/>
                  <w:gridSpan w:val="2"/>
                  <w:noWrap w:val="0"/>
                  <w:vAlign w:val="center"/>
                </w:tcPr>
                <w:p w14:paraId="690180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220kV出线</w:t>
                  </w:r>
                  <w:r>
                    <w:rPr>
                      <w:rFonts w:hint="eastAsia" w:cs="Times New Roman"/>
                      <w:color w:val="000000" w:themeColor="text1"/>
                      <w:szCs w:val="21"/>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回</w:t>
                  </w:r>
                  <w:r>
                    <w:rPr>
                      <w:rFonts w:hint="eastAsia" w:ascii="Times New Roman" w:hAnsi="Times New Roman" w:eastAsia="宋体" w:cs="Times New Roman"/>
                      <w:color w:val="000000" w:themeColor="text1"/>
                      <w:szCs w:val="21"/>
                      <w:lang w:val="en-US" w:eastAsia="zh-CN"/>
                      <w14:textFill>
                        <w14:solidFill>
                          <w14:schemeClr w14:val="tx1"/>
                        </w14:solidFill>
                      </w14:textFill>
                    </w:rPr>
                    <w:t>（现有）</w:t>
                  </w:r>
                  <w:r>
                    <w:rPr>
                      <w:rFonts w:hint="eastAsia" w:cs="Times New Roman"/>
                      <w:color w:val="000000" w:themeColor="text1"/>
                      <w:szCs w:val="21"/>
                      <w:lang w:val="en-US" w:eastAsia="zh-CN"/>
                      <w14:textFill>
                        <w14:solidFill>
                          <w14:schemeClr w14:val="tx1"/>
                        </w14:solidFill>
                      </w14:textFill>
                    </w:rPr>
                    <w:t>、本期新增出线2回</w:t>
                  </w:r>
                </w:p>
              </w:tc>
              <w:tc>
                <w:tcPr>
                  <w:tcW w:w="1097" w:type="pct"/>
                  <w:noWrap w:val="0"/>
                  <w:vAlign w:val="center"/>
                </w:tcPr>
                <w:p w14:paraId="056E2F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类比规模大于本项目</w:t>
                  </w:r>
                </w:p>
              </w:tc>
            </w:tr>
            <w:tr w14:paraId="143EC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12" w:type="pct"/>
                  <w:vMerge w:val="continue"/>
                  <w:noWrap w:val="0"/>
                  <w:vAlign w:val="center"/>
                </w:tcPr>
                <w:p w14:paraId="7B8F3C75">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c>
                <w:tcPr>
                  <w:tcW w:w="329" w:type="pct"/>
                  <w:gridSpan w:val="2"/>
                  <w:noWrap w:val="0"/>
                  <w:vAlign w:val="center"/>
                </w:tcPr>
                <w:p w14:paraId="26614B78">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主变规模</w:t>
                  </w:r>
                </w:p>
              </w:tc>
              <w:tc>
                <w:tcPr>
                  <w:tcW w:w="1515" w:type="pct"/>
                  <w:gridSpan w:val="2"/>
                  <w:noWrap w:val="0"/>
                  <w:vAlign w:val="center"/>
                </w:tcPr>
                <w:p w14:paraId="364CC6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w:t>
                  </w:r>
                  <w:r>
                    <w:rPr>
                      <w:rFonts w:hint="default" w:ascii="Times New Roman" w:hAnsi="Times New Roman" w:cs="Times New Roman"/>
                      <w:color w:val="000000" w:themeColor="text1"/>
                      <w:szCs w:val="21"/>
                      <w14:textFill>
                        <w14:solidFill>
                          <w14:schemeClr w14:val="tx1"/>
                        </w14:solidFill>
                      </w14:textFill>
                    </w:rPr>
                    <w:t>×1</w:t>
                  </w:r>
                  <w:r>
                    <w:rPr>
                      <w:rFonts w:hint="eastAsia" w:cs="Times New Roman"/>
                      <w:color w:val="000000" w:themeColor="text1"/>
                      <w:szCs w:val="21"/>
                      <w:lang w:val="en-US" w:eastAsia="zh-CN"/>
                      <w14:textFill>
                        <w14:solidFill>
                          <w14:schemeClr w14:val="tx1"/>
                        </w14:solidFill>
                      </w14:textFill>
                    </w:rPr>
                    <w:t>8</w:t>
                  </w:r>
                  <w:r>
                    <w:rPr>
                      <w:rFonts w:hint="default" w:ascii="Times New Roman" w:hAnsi="Times New Roman" w:cs="Times New Roman"/>
                      <w:color w:val="000000" w:themeColor="text1"/>
                      <w:szCs w:val="21"/>
                      <w14:textFill>
                        <w14:solidFill>
                          <w14:schemeClr w14:val="tx1"/>
                        </w14:solidFill>
                      </w14:textFill>
                    </w:rPr>
                    <w:t>0MVA</w:t>
                  </w:r>
                </w:p>
              </w:tc>
              <w:tc>
                <w:tcPr>
                  <w:tcW w:w="1645" w:type="pct"/>
                  <w:gridSpan w:val="2"/>
                  <w:noWrap w:val="0"/>
                  <w:vAlign w:val="center"/>
                </w:tcPr>
                <w:p w14:paraId="75F3706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w:t>
                  </w:r>
                  <w:r>
                    <w:rPr>
                      <w:rFonts w:hint="default" w:ascii="Times New Roman" w:hAnsi="Times New Roman" w:cs="Times New Roman"/>
                      <w:color w:val="000000" w:themeColor="text1"/>
                      <w:szCs w:val="21"/>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90</w:t>
                  </w:r>
                  <w:r>
                    <w:rPr>
                      <w:rFonts w:hint="default" w:ascii="Times New Roman" w:hAnsi="Times New Roman" w:cs="Times New Roman"/>
                      <w:color w:val="000000" w:themeColor="text1"/>
                      <w:szCs w:val="21"/>
                      <w14:textFill>
                        <w14:solidFill>
                          <w14:schemeClr w14:val="tx1"/>
                        </w14:solidFill>
                      </w14:textFill>
                    </w:rPr>
                    <w:t>MVA</w:t>
                  </w:r>
                </w:p>
              </w:tc>
              <w:tc>
                <w:tcPr>
                  <w:tcW w:w="1097" w:type="pct"/>
                  <w:noWrap w:val="0"/>
                  <w:vAlign w:val="center"/>
                </w:tcPr>
                <w:p w14:paraId="2E9277AF">
                  <w:pPr>
                    <w:keepNext w:val="0"/>
                    <w:keepLines w:val="0"/>
                    <w:suppressLineNumbers w:val="0"/>
                    <w:spacing w:before="0" w:beforeAutospacing="0" w:after="0" w:afterAutospacing="0"/>
                    <w:ind w:left="0" w:right="0"/>
                    <w:jc w:val="center"/>
                    <w:rPr>
                      <w:rFonts w:hint="eastAsia"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类比规模大于本项目</w:t>
                  </w:r>
                </w:p>
              </w:tc>
            </w:tr>
            <w:tr w14:paraId="6426A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61A3D6D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布置方式</w:t>
                  </w:r>
                </w:p>
              </w:tc>
              <w:tc>
                <w:tcPr>
                  <w:tcW w:w="1515" w:type="pct"/>
                  <w:gridSpan w:val="2"/>
                  <w:noWrap w:val="0"/>
                  <w:vAlign w:val="center"/>
                </w:tcPr>
                <w:p w14:paraId="415DB735">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户外布置</w:t>
                  </w:r>
                </w:p>
              </w:tc>
              <w:tc>
                <w:tcPr>
                  <w:tcW w:w="1645" w:type="pct"/>
                  <w:gridSpan w:val="2"/>
                  <w:noWrap w:val="0"/>
                  <w:vAlign w:val="center"/>
                </w:tcPr>
                <w:p w14:paraId="4E196F6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户外布置</w:t>
                  </w:r>
                </w:p>
              </w:tc>
              <w:tc>
                <w:tcPr>
                  <w:tcW w:w="1097" w:type="pct"/>
                  <w:noWrap w:val="0"/>
                  <w:vAlign w:val="center"/>
                </w:tcPr>
                <w:p w14:paraId="03D9E9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一致</w:t>
                  </w:r>
                </w:p>
              </w:tc>
            </w:tr>
            <w:tr w14:paraId="37040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126A29E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占地面积（</w:t>
                  </w:r>
                  <w:r>
                    <w:rPr>
                      <w:rFonts w:hint="eastAsia" w:cs="Times New Roman"/>
                      <w:color w:val="000000" w:themeColor="text1"/>
                      <w:szCs w:val="21"/>
                      <w:lang w:val="en-US" w:eastAsia="zh-CN"/>
                      <w14:textFill>
                        <w14:solidFill>
                          <w14:schemeClr w14:val="tx1"/>
                        </w14:solidFill>
                      </w14:textFill>
                    </w:rPr>
                    <w:t>h</w:t>
                  </w:r>
                  <w:r>
                    <w:rPr>
                      <w:rFonts w:hint="default" w:ascii="Times New Roman" w:hAnsi="Times New Roman" w:cs="Times New Roman"/>
                      <w:color w:val="000000" w:themeColor="text1"/>
                      <w:szCs w:val="21"/>
                      <w14:textFill>
                        <w14:solidFill>
                          <w14:schemeClr w14:val="tx1"/>
                        </w14:solidFill>
                      </w14:textFill>
                    </w:rPr>
                    <w:t>m</w:t>
                  </w:r>
                  <w:r>
                    <w:rPr>
                      <w:rFonts w:hint="default" w:ascii="Times New Roman" w:hAnsi="Times New Roman" w:cs="Times New Roman"/>
                      <w:color w:val="000000" w:themeColor="text1"/>
                      <w:szCs w:val="21"/>
                      <w:vertAlign w:val="superscript"/>
                      <w14:textFill>
                        <w14:solidFill>
                          <w14:schemeClr w14:val="tx1"/>
                        </w14:solidFill>
                      </w14:textFill>
                    </w:rPr>
                    <w:t>2</w:t>
                  </w:r>
                  <w:r>
                    <w:rPr>
                      <w:rFonts w:hint="default" w:ascii="Times New Roman" w:hAnsi="Times New Roman" w:cs="Times New Roman"/>
                      <w:color w:val="000000" w:themeColor="text1"/>
                      <w:szCs w:val="21"/>
                      <w14:textFill>
                        <w14:solidFill>
                          <w14:schemeClr w14:val="tx1"/>
                        </w14:solidFill>
                      </w14:textFill>
                    </w:rPr>
                    <w:t>）</w:t>
                  </w:r>
                </w:p>
              </w:tc>
              <w:tc>
                <w:tcPr>
                  <w:tcW w:w="1515" w:type="pct"/>
                  <w:gridSpan w:val="2"/>
                  <w:noWrap w:val="0"/>
                  <w:vAlign w:val="center"/>
                </w:tcPr>
                <w:p w14:paraId="44B619E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1.85</w:t>
                  </w:r>
                </w:p>
              </w:tc>
              <w:tc>
                <w:tcPr>
                  <w:tcW w:w="1645" w:type="pct"/>
                  <w:gridSpan w:val="2"/>
                  <w:noWrap w:val="0"/>
                  <w:vAlign w:val="center"/>
                </w:tcPr>
                <w:p w14:paraId="2B9A87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1.44</w:t>
                  </w:r>
                </w:p>
              </w:tc>
              <w:tc>
                <w:tcPr>
                  <w:tcW w:w="1097" w:type="pct"/>
                  <w:noWrap w:val="0"/>
                  <w:vAlign w:val="center"/>
                </w:tcPr>
                <w:p w14:paraId="27C95EFE">
                  <w:pPr>
                    <w:keepNext w:val="0"/>
                    <w:keepLines w:val="0"/>
                    <w:suppressLineNumbers w:val="0"/>
                    <w:spacing w:before="0" w:beforeAutospacing="0" w:after="0" w:afterAutospacing="0"/>
                    <w:ind w:left="0" w:right="0"/>
                    <w:jc w:val="center"/>
                    <w:rPr>
                      <w:rFonts w:hint="default"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相似</w:t>
                  </w:r>
                </w:p>
              </w:tc>
            </w:tr>
            <w:tr w14:paraId="3BFB0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616C806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架线形式</w:t>
                  </w:r>
                </w:p>
              </w:tc>
              <w:tc>
                <w:tcPr>
                  <w:tcW w:w="1515" w:type="pct"/>
                  <w:gridSpan w:val="2"/>
                  <w:noWrap w:val="0"/>
                  <w:vAlign w:val="center"/>
                </w:tcPr>
                <w:p w14:paraId="0A7C38B6">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架空</w:t>
                  </w:r>
                </w:p>
              </w:tc>
              <w:tc>
                <w:tcPr>
                  <w:tcW w:w="1645" w:type="pct"/>
                  <w:gridSpan w:val="2"/>
                  <w:noWrap w:val="0"/>
                  <w:vAlign w:val="center"/>
                </w:tcPr>
                <w:p w14:paraId="58B28F1B">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架空</w:t>
                  </w:r>
                </w:p>
              </w:tc>
              <w:tc>
                <w:tcPr>
                  <w:tcW w:w="1097" w:type="pct"/>
                  <w:noWrap w:val="0"/>
                  <w:vAlign w:val="center"/>
                </w:tcPr>
                <w:p w14:paraId="047C7ED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一致</w:t>
                  </w:r>
                </w:p>
              </w:tc>
            </w:tr>
            <w:tr w14:paraId="0E5AE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4EC2928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架线高度</w:t>
                  </w:r>
                </w:p>
              </w:tc>
              <w:tc>
                <w:tcPr>
                  <w:tcW w:w="1515" w:type="pct"/>
                  <w:gridSpan w:val="2"/>
                  <w:noWrap w:val="0"/>
                  <w:vAlign w:val="center"/>
                </w:tcPr>
                <w:p w14:paraId="016B5D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4.5</w:t>
                  </w:r>
                  <w:r>
                    <w:rPr>
                      <w:rFonts w:hint="default" w:ascii="Times New Roman" w:hAnsi="Times New Roman" w:cs="Times New Roman"/>
                      <w:color w:val="000000" w:themeColor="text1"/>
                      <w:szCs w:val="21"/>
                      <w:lang w:val="en-US" w:eastAsia="zh-CN"/>
                      <w14:textFill>
                        <w14:solidFill>
                          <w14:schemeClr w14:val="tx1"/>
                        </w14:solidFill>
                      </w14:textFill>
                    </w:rPr>
                    <w:t>m</w:t>
                  </w:r>
                </w:p>
              </w:tc>
              <w:tc>
                <w:tcPr>
                  <w:tcW w:w="1645" w:type="pct"/>
                  <w:gridSpan w:val="2"/>
                  <w:noWrap w:val="0"/>
                  <w:vAlign w:val="center"/>
                </w:tcPr>
                <w:p w14:paraId="5B7C20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4.5m</w:t>
                  </w:r>
                </w:p>
              </w:tc>
              <w:tc>
                <w:tcPr>
                  <w:tcW w:w="1097" w:type="pct"/>
                  <w:noWrap w:val="0"/>
                  <w:vAlign w:val="center"/>
                </w:tcPr>
                <w:p w14:paraId="4F889471">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一致</w:t>
                  </w:r>
                </w:p>
              </w:tc>
            </w:tr>
            <w:tr w14:paraId="0520E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2313B2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电气形式</w:t>
                  </w:r>
                </w:p>
              </w:tc>
              <w:tc>
                <w:tcPr>
                  <w:tcW w:w="1515" w:type="pct"/>
                  <w:gridSpan w:val="2"/>
                  <w:noWrap w:val="0"/>
                  <w:vAlign w:val="center"/>
                </w:tcPr>
                <w:p w14:paraId="2972B492">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配电装置、主变户外布置</w:t>
                  </w:r>
                </w:p>
              </w:tc>
              <w:tc>
                <w:tcPr>
                  <w:tcW w:w="1645" w:type="pct"/>
                  <w:gridSpan w:val="2"/>
                  <w:noWrap w:val="0"/>
                  <w:vAlign w:val="center"/>
                </w:tcPr>
                <w:p w14:paraId="4FEEFAFF">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配电装置、主变户外布置</w:t>
                  </w:r>
                </w:p>
              </w:tc>
              <w:tc>
                <w:tcPr>
                  <w:tcW w:w="1097" w:type="pct"/>
                  <w:noWrap w:val="0"/>
                  <w:vAlign w:val="center"/>
                </w:tcPr>
                <w:p w14:paraId="3963C316">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一致</w:t>
                  </w:r>
                </w:p>
              </w:tc>
            </w:tr>
            <w:tr w14:paraId="0D1C9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6497F98A">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母线形式</w:t>
                  </w:r>
                </w:p>
              </w:tc>
              <w:tc>
                <w:tcPr>
                  <w:tcW w:w="1515" w:type="pct"/>
                  <w:gridSpan w:val="2"/>
                  <w:noWrap w:val="0"/>
                  <w:vAlign w:val="center"/>
                </w:tcPr>
                <w:p w14:paraId="7A0A19EB">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采用GIS设备</w:t>
                  </w:r>
                </w:p>
              </w:tc>
              <w:tc>
                <w:tcPr>
                  <w:tcW w:w="1645" w:type="pct"/>
                  <w:gridSpan w:val="2"/>
                  <w:noWrap w:val="0"/>
                  <w:vAlign w:val="center"/>
                </w:tcPr>
                <w:p w14:paraId="6DB88177">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采用GIS设备</w:t>
                  </w:r>
                </w:p>
              </w:tc>
              <w:tc>
                <w:tcPr>
                  <w:tcW w:w="1097" w:type="pct"/>
                  <w:noWrap w:val="0"/>
                  <w:vAlign w:val="center"/>
                </w:tcPr>
                <w:p w14:paraId="49B1BCA6">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一致</w:t>
                  </w:r>
                </w:p>
              </w:tc>
            </w:tr>
            <w:tr w14:paraId="3305C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noWrap w:val="0"/>
                  <w:vAlign w:val="center"/>
                </w:tcPr>
                <w:p w14:paraId="7F39A187">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环境条件</w:t>
                  </w:r>
                </w:p>
              </w:tc>
              <w:tc>
                <w:tcPr>
                  <w:tcW w:w="1515" w:type="pct"/>
                  <w:gridSpan w:val="2"/>
                  <w:noWrap w:val="0"/>
                  <w:vAlign w:val="center"/>
                </w:tcPr>
                <w:p w14:paraId="58171C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平原地区，变电站周围均为空地</w:t>
                  </w:r>
                </w:p>
              </w:tc>
              <w:tc>
                <w:tcPr>
                  <w:tcW w:w="1645" w:type="pct"/>
                  <w:gridSpan w:val="2"/>
                  <w:noWrap w:val="0"/>
                  <w:vAlign w:val="center"/>
                </w:tcPr>
                <w:p w14:paraId="67AFCA4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平原地区，变电站周围均为空地</w:t>
                  </w:r>
                </w:p>
              </w:tc>
              <w:tc>
                <w:tcPr>
                  <w:tcW w:w="1097" w:type="pct"/>
                  <w:noWrap w:val="0"/>
                  <w:vAlign w:val="center"/>
                </w:tcPr>
                <w:p w14:paraId="022C735E">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一致</w:t>
                  </w:r>
                </w:p>
              </w:tc>
            </w:tr>
            <w:tr w14:paraId="66B1D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vMerge w:val="restart"/>
                  <w:noWrap w:val="0"/>
                  <w:vAlign w:val="center"/>
                </w:tcPr>
                <w:p w14:paraId="5F26864F">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运行工况</w:t>
                  </w:r>
                </w:p>
              </w:tc>
              <w:tc>
                <w:tcPr>
                  <w:tcW w:w="305" w:type="pct"/>
                  <w:noWrap w:val="0"/>
                  <w:vAlign w:val="center"/>
                </w:tcPr>
                <w:p w14:paraId="47D46F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电流</w:t>
                  </w:r>
                </w:p>
              </w:tc>
              <w:tc>
                <w:tcPr>
                  <w:tcW w:w="1210" w:type="pct"/>
                  <w:noWrap w:val="0"/>
                  <w:vAlign w:val="center"/>
                </w:tcPr>
                <w:p w14:paraId="204ADC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120.4～133.5（</w:t>
                  </w:r>
                  <w:r>
                    <w:rPr>
                      <w:rFonts w:hint="eastAsia" w:cs="Times New Roman"/>
                      <w:color w:val="000000" w:themeColor="text1"/>
                      <w:szCs w:val="21"/>
                      <w:lang w:val="en-US" w:eastAsia="zh-CN"/>
                      <w14:textFill>
                        <w14:solidFill>
                          <w14:schemeClr w14:val="tx1"/>
                        </w14:solidFill>
                      </w14:textFill>
                    </w:rPr>
                    <w:t>A</w:t>
                  </w:r>
                  <w:r>
                    <w:rPr>
                      <w:rFonts w:hint="default" w:ascii="Times New Roman" w:hAnsi="Times New Roman" w:cs="Times New Roman"/>
                      <w:color w:val="000000" w:themeColor="text1"/>
                      <w:szCs w:val="21"/>
                      <w:lang w:val="en-US" w:eastAsia="zh-CN"/>
                      <w14:textFill>
                        <w14:solidFill>
                          <w14:schemeClr w14:val="tx1"/>
                        </w14:solidFill>
                      </w14:textFill>
                    </w:rPr>
                    <w:t>）</w:t>
                  </w:r>
                </w:p>
              </w:tc>
              <w:tc>
                <w:tcPr>
                  <w:tcW w:w="304" w:type="pct"/>
                  <w:noWrap w:val="0"/>
                  <w:vAlign w:val="center"/>
                </w:tcPr>
                <w:p w14:paraId="73EA77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电流</w:t>
                  </w:r>
                </w:p>
              </w:tc>
              <w:tc>
                <w:tcPr>
                  <w:tcW w:w="1340" w:type="pct"/>
                  <w:noWrap w:val="0"/>
                  <w:vAlign w:val="center"/>
                </w:tcPr>
                <w:p w14:paraId="083A4F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kern w:val="2"/>
                      <w:sz w:val="21"/>
                      <w:szCs w:val="21"/>
                      <w:lang w:val="en-US" w:eastAsia="zh-CN" w:bidi="ar-SA"/>
                      <w14:textFill>
                        <w14:solidFill>
                          <w14:schemeClr w14:val="tx1"/>
                        </w14:solidFill>
                      </w14:textFill>
                    </w:rPr>
                    <w:t>11.56~12.33</w:t>
                  </w:r>
                  <w:r>
                    <w:rPr>
                      <w:rFonts w:hint="default" w:ascii="Times New Roman" w:hAnsi="Times New Roman" w:cs="Times New Roman"/>
                      <w:color w:val="000000" w:themeColor="text1"/>
                      <w:szCs w:val="21"/>
                      <w:lang w:val="en-US"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A</w:t>
                  </w:r>
                  <w:r>
                    <w:rPr>
                      <w:rFonts w:hint="default" w:ascii="Times New Roman" w:hAnsi="Times New Roman" w:cs="Times New Roman"/>
                      <w:color w:val="000000" w:themeColor="text1"/>
                      <w:szCs w:val="21"/>
                      <w:lang w:val="en-US" w:eastAsia="zh-CN"/>
                      <w14:textFill>
                        <w14:solidFill>
                          <w14:schemeClr w14:val="tx1"/>
                        </w14:solidFill>
                      </w14:textFill>
                    </w:rPr>
                    <w:t>）</w:t>
                  </w:r>
                </w:p>
              </w:tc>
              <w:tc>
                <w:tcPr>
                  <w:tcW w:w="1097" w:type="pct"/>
                  <w:vMerge w:val="restart"/>
                  <w:noWrap w:val="0"/>
                  <w:vAlign w:val="center"/>
                </w:tcPr>
                <w:p w14:paraId="005E5096">
                  <w:pPr>
                    <w:keepNext w:val="0"/>
                    <w:keepLines w:val="0"/>
                    <w:suppressLineNumbers w:val="0"/>
                    <w:spacing w:before="0" w:beforeAutospacing="0" w:after="0" w:afterAutospacing="0"/>
                    <w:ind w:left="0" w:right="0"/>
                    <w:jc w:val="center"/>
                    <w:rPr>
                      <w:rFonts w:hint="default" w:eastAsia="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kern w:val="2"/>
                      <w:sz w:val="21"/>
                      <w:szCs w:val="21"/>
                      <w:lang w:val="en-US" w:eastAsia="zh-CN" w:bidi="ar-SA"/>
                      <w14:textFill>
                        <w14:solidFill>
                          <w14:schemeClr w14:val="tx1"/>
                        </w14:solidFill>
                      </w14:textFill>
                    </w:rPr>
                    <w:t>/</w:t>
                  </w:r>
                </w:p>
              </w:tc>
            </w:tr>
            <w:tr w14:paraId="3A40C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vMerge w:val="continue"/>
                  <w:noWrap w:val="0"/>
                  <w:vAlign w:val="center"/>
                </w:tcPr>
                <w:p w14:paraId="50A185A9">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c>
                <w:tcPr>
                  <w:tcW w:w="305" w:type="pct"/>
                  <w:noWrap w:val="0"/>
                  <w:vAlign w:val="center"/>
                </w:tcPr>
                <w:p w14:paraId="20C18B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电压</w:t>
                  </w:r>
                </w:p>
              </w:tc>
              <w:tc>
                <w:tcPr>
                  <w:tcW w:w="1210" w:type="pct"/>
                  <w:noWrap w:val="0"/>
                  <w:vAlign w:val="center"/>
                </w:tcPr>
                <w:p w14:paraId="5A3B94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229.1～229.6（kV）</w:t>
                  </w:r>
                </w:p>
              </w:tc>
              <w:tc>
                <w:tcPr>
                  <w:tcW w:w="304" w:type="pct"/>
                  <w:noWrap w:val="0"/>
                  <w:vAlign w:val="center"/>
                </w:tcPr>
                <w:p w14:paraId="1C02FE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电压</w:t>
                  </w:r>
                </w:p>
              </w:tc>
              <w:tc>
                <w:tcPr>
                  <w:tcW w:w="1340" w:type="pct"/>
                  <w:noWrap w:val="0"/>
                  <w:vAlign w:val="center"/>
                </w:tcPr>
                <w:p w14:paraId="6570CE7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232.79~233.11</w:t>
                  </w:r>
                  <w:r>
                    <w:rPr>
                      <w:rFonts w:hint="default" w:ascii="Times New Roman" w:hAnsi="Times New Roman" w:cs="Times New Roman"/>
                      <w:color w:val="000000" w:themeColor="text1"/>
                      <w:szCs w:val="21"/>
                      <w:lang w:val="en-US" w:eastAsia="zh-CN"/>
                      <w14:textFill>
                        <w14:solidFill>
                          <w14:schemeClr w14:val="tx1"/>
                        </w14:solidFill>
                      </w14:textFill>
                    </w:rPr>
                    <w:t>（kV）</w:t>
                  </w:r>
                </w:p>
              </w:tc>
              <w:tc>
                <w:tcPr>
                  <w:tcW w:w="1097" w:type="pct"/>
                  <w:vMerge w:val="continue"/>
                  <w:noWrap w:val="0"/>
                  <w:vAlign w:val="center"/>
                </w:tcPr>
                <w:p w14:paraId="0F424A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468EF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vMerge w:val="continue"/>
                  <w:noWrap w:val="0"/>
                  <w:vAlign w:val="center"/>
                </w:tcPr>
                <w:p w14:paraId="76BD562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c>
                <w:tcPr>
                  <w:tcW w:w="305" w:type="pct"/>
                  <w:noWrap w:val="0"/>
                  <w:vAlign w:val="center"/>
                </w:tcPr>
                <w:p w14:paraId="6DE294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有功功率</w:t>
                  </w:r>
                </w:p>
              </w:tc>
              <w:tc>
                <w:tcPr>
                  <w:tcW w:w="1210" w:type="pct"/>
                  <w:noWrap w:val="0"/>
                  <w:vAlign w:val="center"/>
                </w:tcPr>
                <w:p w14:paraId="745E85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45.4～50.4（MW）</w:t>
                  </w:r>
                </w:p>
              </w:tc>
              <w:tc>
                <w:tcPr>
                  <w:tcW w:w="304" w:type="pct"/>
                  <w:noWrap w:val="0"/>
                  <w:vAlign w:val="center"/>
                </w:tcPr>
                <w:p w14:paraId="0FBB04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有功功率</w:t>
                  </w:r>
                </w:p>
              </w:tc>
              <w:tc>
                <w:tcPr>
                  <w:tcW w:w="1340" w:type="pct"/>
                  <w:noWrap w:val="0"/>
                  <w:vAlign w:val="center"/>
                </w:tcPr>
                <w:p w14:paraId="2E34B2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kern w:val="2"/>
                      <w:sz w:val="21"/>
                      <w:szCs w:val="21"/>
                      <w:lang w:val="en-US" w:eastAsia="zh-CN" w:bidi="ar-SA"/>
                      <w14:textFill>
                        <w14:solidFill>
                          <w14:schemeClr w14:val="tx1"/>
                        </w14:solidFill>
                      </w14:textFill>
                    </w:rPr>
                    <w:t>2.91~3.30</w:t>
                  </w:r>
                  <w:r>
                    <w:rPr>
                      <w:rFonts w:hint="default" w:ascii="Times New Roman" w:hAnsi="Times New Roman" w:cs="Times New Roman"/>
                      <w:color w:val="000000" w:themeColor="text1"/>
                      <w:szCs w:val="21"/>
                      <w:lang w:val="en-US" w:eastAsia="zh-CN"/>
                      <w14:textFill>
                        <w14:solidFill>
                          <w14:schemeClr w14:val="tx1"/>
                        </w14:solidFill>
                      </w14:textFill>
                    </w:rPr>
                    <w:t>（MW）</w:t>
                  </w:r>
                </w:p>
              </w:tc>
              <w:tc>
                <w:tcPr>
                  <w:tcW w:w="1097" w:type="pct"/>
                  <w:vMerge w:val="continue"/>
                  <w:noWrap w:val="0"/>
                  <w:vAlign w:val="center"/>
                </w:tcPr>
                <w:p w14:paraId="2D111142">
                  <w:pPr>
                    <w:keepNext w:val="0"/>
                    <w:keepLines w:val="0"/>
                    <w:suppressLineNumbers w:val="0"/>
                    <w:spacing w:before="0" w:beforeAutospacing="0" w:after="0" w:afterAutospacing="0"/>
                    <w:ind w:left="0" w:right="0"/>
                    <w:jc w:val="center"/>
                    <w:rPr>
                      <w:rFonts w:hint="eastAsia" w:eastAsia="宋体"/>
                      <w:color w:val="000000" w:themeColor="text1"/>
                      <w:kern w:val="2"/>
                      <w:sz w:val="21"/>
                      <w:szCs w:val="21"/>
                      <w:lang w:val="en-US" w:eastAsia="zh-CN" w:bidi="ar-SA"/>
                      <w14:textFill>
                        <w14:solidFill>
                          <w14:schemeClr w14:val="tx1"/>
                        </w14:solidFill>
                      </w14:textFill>
                    </w:rPr>
                  </w:pPr>
                </w:p>
              </w:tc>
            </w:tr>
            <w:tr w14:paraId="6CD1E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42" w:type="pct"/>
                  <w:gridSpan w:val="3"/>
                  <w:vMerge w:val="continue"/>
                  <w:noWrap w:val="0"/>
                  <w:vAlign w:val="center"/>
                </w:tcPr>
                <w:p w14:paraId="0F4A3F91">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c>
                <w:tcPr>
                  <w:tcW w:w="305" w:type="pct"/>
                  <w:noWrap w:val="0"/>
                  <w:vAlign w:val="center"/>
                </w:tcPr>
                <w:p w14:paraId="7A8DFF2C">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无功功率</w:t>
                  </w:r>
                </w:p>
              </w:tc>
              <w:tc>
                <w:tcPr>
                  <w:tcW w:w="1210" w:type="pct"/>
                  <w:noWrap w:val="0"/>
                  <w:vAlign w:val="center"/>
                </w:tcPr>
                <w:p w14:paraId="2453F9B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12.06</w:t>
                  </w:r>
                  <w:r>
                    <w:rPr>
                      <w:rFonts w:hint="default" w:ascii="Times New Roman" w:hAnsi="Times New Roman" w:cs="Times New Roman"/>
                      <w:color w:val="000000" w:themeColor="text1"/>
                      <w:szCs w:val="21"/>
                      <w:lang w:val="en-US"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12.36</w:t>
                  </w:r>
                  <w:r>
                    <w:rPr>
                      <w:rFonts w:hint="default" w:ascii="Times New Roman" w:hAnsi="Times New Roman" w:cs="Times New Roman"/>
                      <w:color w:val="000000" w:themeColor="text1"/>
                      <w:szCs w:val="21"/>
                      <w:lang w:val="en-US" w:eastAsia="zh-CN"/>
                      <w14:textFill>
                        <w14:solidFill>
                          <w14:schemeClr w14:val="tx1"/>
                        </w14:solidFill>
                      </w14:textFill>
                    </w:rPr>
                    <w:t>（Mvar）</w:t>
                  </w:r>
                </w:p>
              </w:tc>
              <w:tc>
                <w:tcPr>
                  <w:tcW w:w="304" w:type="pct"/>
                  <w:noWrap w:val="0"/>
                  <w:vAlign w:val="center"/>
                </w:tcPr>
                <w:p w14:paraId="1FF9B80E">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无功功率</w:t>
                  </w:r>
                </w:p>
              </w:tc>
              <w:tc>
                <w:tcPr>
                  <w:tcW w:w="1340" w:type="pct"/>
                  <w:noWrap w:val="0"/>
                  <w:vAlign w:val="center"/>
                </w:tcPr>
                <w:p w14:paraId="41DD3F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kern w:val="2"/>
                      <w:sz w:val="21"/>
                      <w:szCs w:val="21"/>
                      <w:lang w:val="en-US" w:eastAsia="zh-CN" w:bidi="ar-SA"/>
                      <w14:textFill>
                        <w14:solidFill>
                          <w14:schemeClr w14:val="tx1"/>
                        </w14:solidFill>
                      </w14:textFill>
                    </w:rPr>
                    <w:t>-3.20~-3.68</w:t>
                  </w:r>
                  <w:r>
                    <w:rPr>
                      <w:rFonts w:hint="default" w:ascii="Times New Roman" w:hAnsi="Times New Roman" w:cs="Times New Roman"/>
                      <w:color w:val="000000" w:themeColor="text1"/>
                      <w:szCs w:val="21"/>
                      <w:lang w:val="en-US" w:eastAsia="zh-CN"/>
                      <w14:textFill>
                        <w14:solidFill>
                          <w14:schemeClr w14:val="tx1"/>
                        </w14:solidFill>
                      </w14:textFill>
                    </w:rPr>
                    <w:t>（Mvar）</w:t>
                  </w:r>
                </w:p>
              </w:tc>
              <w:tc>
                <w:tcPr>
                  <w:tcW w:w="1097" w:type="pct"/>
                  <w:vMerge w:val="continue"/>
                  <w:noWrap w:val="0"/>
                  <w:vAlign w:val="center"/>
                </w:tcPr>
                <w:p w14:paraId="25758CCD">
                  <w:pPr>
                    <w:keepNext w:val="0"/>
                    <w:keepLines w:val="0"/>
                    <w:suppressLineNumbers w:val="0"/>
                    <w:spacing w:before="0" w:beforeAutospacing="0" w:after="0" w:afterAutospacing="0"/>
                    <w:ind w:left="0" w:right="0"/>
                    <w:jc w:val="center"/>
                    <w:rPr>
                      <w:rFonts w:hint="eastAsia" w:eastAsia="宋体"/>
                      <w:color w:val="000000" w:themeColor="text1"/>
                      <w:kern w:val="2"/>
                      <w:sz w:val="21"/>
                      <w:szCs w:val="21"/>
                      <w:lang w:val="en-US" w:eastAsia="zh-CN" w:bidi="ar-SA"/>
                      <w14:textFill>
                        <w14:solidFill>
                          <w14:schemeClr w14:val="tx1"/>
                        </w14:solidFill>
                      </w14:textFill>
                    </w:rPr>
                  </w:pPr>
                </w:p>
              </w:tc>
            </w:tr>
            <w:tr w14:paraId="2E8E7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82" w:type="pct"/>
                  <w:gridSpan w:val="2"/>
                  <w:vMerge w:val="restart"/>
                  <w:noWrap w:val="0"/>
                  <w:vAlign w:val="center"/>
                </w:tcPr>
                <w:p w14:paraId="4C825E61">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距离厂界距离（m）</w:t>
                  </w:r>
                </w:p>
              </w:tc>
              <w:tc>
                <w:tcPr>
                  <w:tcW w:w="259" w:type="pct"/>
                  <w:noWrap w:val="0"/>
                  <w:vAlign w:val="center"/>
                </w:tcPr>
                <w:p w14:paraId="5258FC60">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北侧</w:t>
                  </w:r>
                </w:p>
              </w:tc>
              <w:tc>
                <w:tcPr>
                  <w:tcW w:w="1515" w:type="pct"/>
                  <w:gridSpan w:val="2"/>
                  <w:noWrap w:val="0"/>
                  <w:vAlign w:val="center"/>
                </w:tcPr>
                <w:p w14:paraId="0242185A">
                  <w:pPr>
                    <w:pStyle w:val="68"/>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Cs w:val="21"/>
                      <w:lang w:val="en-US"/>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34</w:t>
                  </w:r>
                </w:p>
              </w:tc>
              <w:tc>
                <w:tcPr>
                  <w:tcW w:w="1645" w:type="pct"/>
                  <w:gridSpan w:val="2"/>
                  <w:noWrap w:val="0"/>
                  <w:vAlign w:val="center"/>
                </w:tcPr>
                <w:p w14:paraId="435E18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47</w:t>
                  </w:r>
                </w:p>
              </w:tc>
              <w:tc>
                <w:tcPr>
                  <w:tcW w:w="1097" w:type="pct"/>
                  <w:vMerge w:val="restart"/>
                  <w:noWrap w:val="0"/>
                  <w:vAlign w:val="center"/>
                </w:tcPr>
                <w:p w14:paraId="209CC60E">
                  <w:pPr>
                    <w:keepNext w:val="0"/>
                    <w:keepLines w:val="0"/>
                    <w:suppressLineNumbers w:val="0"/>
                    <w:spacing w:before="0" w:beforeAutospacing="0" w:after="0" w:afterAutospacing="0"/>
                    <w:ind w:left="0" w:right="0"/>
                    <w:jc w:val="center"/>
                    <w:rPr>
                      <w:rFonts w:hint="default"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类比项目北侧、西侧、东侧厂界小于本项目厂界距离，具备可比性。</w:t>
                  </w:r>
                </w:p>
              </w:tc>
            </w:tr>
            <w:tr w14:paraId="7B6C1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82" w:type="pct"/>
                  <w:gridSpan w:val="2"/>
                  <w:vMerge w:val="continue"/>
                  <w:noWrap w:val="0"/>
                  <w:vAlign w:val="center"/>
                </w:tcPr>
                <w:p w14:paraId="5DF86F02">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14:textFill>
                        <w14:solidFill>
                          <w14:schemeClr w14:val="tx1"/>
                        </w14:solidFill>
                      </w14:textFill>
                    </w:rPr>
                  </w:pPr>
                </w:p>
              </w:tc>
              <w:tc>
                <w:tcPr>
                  <w:tcW w:w="259" w:type="pct"/>
                  <w:noWrap w:val="0"/>
                  <w:vAlign w:val="center"/>
                </w:tcPr>
                <w:p w14:paraId="7E037FD5">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南侧</w:t>
                  </w:r>
                </w:p>
              </w:tc>
              <w:tc>
                <w:tcPr>
                  <w:tcW w:w="1515" w:type="pct"/>
                  <w:gridSpan w:val="2"/>
                  <w:noWrap w:val="0"/>
                  <w:vAlign w:val="center"/>
                </w:tcPr>
                <w:p w14:paraId="6E50C5AC">
                  <w:pPr>
                    <w:pStyle w:val="68"/>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Cs w:val="21"/>
                      <w:lang w:val="en-US"/>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80</w:t>
                  </w:r>
                </w:p>
              </w:tc>
              <w:tc>
                <w:tcPr>
                  <w:tcW w:w="1645" w:type="pct"/>
                  <w:gridSpan w:val="2"/>
                  <w:noWrap w:val="0"/>
                  <w:vAlign w:val="center"/>
                </w:tcPr>
                <w:p w14:paraId="30A741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38</w:t>
                  </w:r>
                </w:p>
              </w:tc>
              <w:tc>
                <w:tcPr>
                  <w:tcW w:w="1097" w:type="pct"/>
                  <w:vMerge w:val="continue"/>
                  <w:noWrap w:val="0"/>
                  <w:vAlign w:val="center"/>
                </w:tcPr>
                <w:p w14:paraId="7EB8C131">
                  <w:pPr>
                    <w:keepNext w:val="0"/>
                    <w:keepLines w:val="0"/>
                    <w:suppressLineNumbers w:val="0"/>
                    <w:spacing w:before="0" w:beforeAutospacing="0" w:after="0" w:afterAutospacing="0"/>
                    <w:ind w:left="0" w:right="0"/>
                    <w:jc w:val="center"/>
                    <w:rPr>
                      <w:rFonts w:hint="eastAsia" w:cs="Times New Roman"/>
                      <w:color w:val="000000" w:themeColor="text1"/>
                      <w:szCs w:val="21"/>
                      <w:lang w:val="en-US" w:eastAsia="zh-CN"/>
                      <w14:textFill>
                        <w14:solidFill>
                          <w14:schemeClr w14:val="tx1"/>
                        </w14:solidFill>
                      </w14:textFill>
                    </w:rPr>
                  </w:pPr>
                </w:p>
              </w:tc>
            </w:tr>
            <w:tr w14:paraId="2D9CB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82" w:type="pct"/>
                  <w:gridSpan w:val="2"/>
                  <w:vMerge w:val="continue"/>
                  <w:noWrap w:val="0"/>
                  <w:vAlign w:val="center"/>
                </w:tcPr>
                <w:p w14:paraId="14557423">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c>
                <w:tcPr>
                  <w:tcW w:w="259" w:type="pct"/>
                  <w:noWrap w:val="0"/>
                  <w:vAlign w:val="center"/>
                </w:tcPr>
                <w:p w14:paraId="390BEA09">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东侧</w:t>
                  </w:r>
                </w:p>
              </w:tc>
              <w:tc>
                <w:tcPr>
                  <w:tcW w:w="1515" w:type="pct"/>
                  <w:gridSpan w:val="2"/>
                  <w:noWrap w:val="0"/>
                  <w:vAlign w:val="center"/>
                </w:tcPr>
                <w:p w14:paraId="274F02B0">
                  <w:pPr>
                    <w:pStyle w:val="68"/>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Cs w:val="21"/>
                      <w:lang w:val="en-US"/>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54</w:t>
                  </w:r>
                </w:p>
              </w:tc>
              <w:tc>
                <w:tcPr>
                  <w:tcW w:w="1645" w:type="pct"/>
                  <w:gridSpan w:val="2"/>
                  <w:noWrap w:val="0"/>
                  <w:vAlign w:val="center"/>
                </w:tcPr>
                <w:p w14:paraId="016028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70</w:t>
                  </w:r>
                </w:p>
              </w:tc>
              <w:tc>
                <w:tcPr>
                  <w:tcW w:w="1097" w:type="pct"/>
                  <w:vMerge w:val="continue"/>
                  <w:noWrap w:val="0"/>
                  <w:vAlign w:val="center"/>
                </w:tcPr>
                <w:p w14:paraId="63CA5786">
                  <w:pPr>
                    <w:keepNext w:val="0"/>
                    <w:keepLines w:val="0"/>
                    <w:suppressLineNumbers w:val="0"/>
                    <w:spacing w:before="0" w:beforeAutospacing="0" w:after="0" w:afterAutospacing="0"/>
                    <w:ind w:left="0" w:right="0"/>
                    <w:jc w:val="center"/>
                    <w:rPr>
                      <w:rFonts w:hint="eastAsia" w:cs="Times New Roman"/>
                      <w:color w:val="000000" w:themeColor="text1"/>
                      <w:szCs w:val="21"/>
                      <w:lang w:val="en-US" w:eastAsia="zh-CN"/>
                      <w14:textFill>
                        <w14:solidFill>
                          <w14:schemeClr w14:val="tx1"/>
                        </w14:solidFill>
                      </w14:textFill>
                    </w:rPr>
                  </w:pPr>
                </w:p>
              </w:tc>
            </w:tr>
            <w:tr w14:paraId="65046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82" w:type="pct"/>
                  <w:gridSpan w:val="2"/>
                  <w:vMerge w:val="continue"/>
                  <w:noWrap w:val="0"/>
                  <w:vAlign w:val="center"/>
                </w:tcPr>
                <w:p w14:paraId="6B4B359A">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c>
                <w:tcPr>
                  <w:tcW w:w="259" w:type="pct"/>
                  <w:noWrap w:val="0"/>
                  <w:vAlign w:val="center"/>
                </w:tcPr>
                <w:p w14:paraId="287453A1">
                  <w:pPr>
                    <w:pStyle w:val="68"/>
                    <w:keepNext w:val="0"/>
                    <w:keepLines w:val="0"/>
                    <w:suppressLineNumbers w:val="0"/>
                    <w:spacing w:before="0" w:beforeAutospacing="0" w:after="0" w:afterAutospacing="0"/>
                    <w:ind w:left="0" w:right="0"/>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西侧</w:t>
                  </w:r>
                </w:p>
              </w:tc>
              <w:tc>
                <w:tcPr>
                  <w:tcW w:w="1515" w:type="pct"/>
                  <w:gridSpan w:val="2"/>
                  <w:noWrap w:val="0"/>
                  <w:vAlign w:val="center"/>
                </w:tcPr>
                <w:p w14:paraId="2890FA47">
                  <w:pPr>
                    <w:pStyle w:val="68"/>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szCs w:val="21"/>
                      <w:lang w:val="en-US"/>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60</w:t>
                  </w:r>
                </w:p>
              </w:tc>
              <w:tc>
                <w:tcPr>
                  <w:tcW w:w="1645" w:type="pct"/>
                  <w:gridSpan w:val="2"/>
                  <w:noWrap w:val="0"/>
                  <w:vAlign w:val="center"/>
                </w:tcPr>
                <w:p w14:paraId="049ED6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77</w:t>
                  </w:r>
                </w:p>
              </w:tc>
              <w:tc>
                <w:tcPr>
                  <w:tcW w:w="1097" w:type="pct"/>
                  <w:vMerge w:val="continue"/>
                  <w:noWrap w:val="0"/>
                  <w:vAlign w:val="center"/>
                </w:tcPr>
                <w:p w14:paraId="13DCB259">
                  <w:pPr>
                    <w:keepNext w:val="0"/>
                    <w:keepLines w:val="0"/>
                    <w:suppressLineNumbers w:val="0"/>
                    <w:spacing w:before="0" w:beforeAutospacing="0" w:after="0" w:afterAutospacing="0"/>
                    <w:ind w:left="0" w:right="0"/>
                    <w:jc w:val="center"/>
                    <w:rPr>
                      <w:rFonts w:hint="eastAsia" w:cs="Times New Roman"/>
                      <w:color w:val="000000" w:themeColor="text1"/>
                      <w:szCs w:val="21"/>
                      <w:lang w:val="en-US" w:eastAsia="zh-CN"/>
                      <w14:textFill>
                        <w14:solidFill>
                          <w14:schemeClr w14:val="tx1"/>
                        </w14:solidFill>
                      </w14:textFill>
                    </w:rPr>
                  </w:pPr>
                </w:p>
              </w:tc>
            </w:tr>
          </w:tbl>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6"/>
              <w:gridCol w:w="4147"/>
            </w:tblGrid>
            <w:tr w14:paraId="44FC4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16" w:type="pct"/>
                  <w:noWrap w:val="0"/>
                  <w:vAlign w:val="top"/>
                </w:tcPr>
                <w:p w14:paraId="216880DC">
                  <w:pPr>
                    <w:pStyle w:val="23"/>
                    <w:keepNext w:val="0"/>
                    <w:keepLines w:val="0"/>
                    <w:suppressLineNumbers w:val="0"/>
                    <w:spacing w:before="0" w:beforeAutospacing="0" w:after="0" w:afterAutospacing="0"/>
                    <w:ind w:left="0" w:leftChars="0" w:right="0" w:firstLine="0" w:firstLineChars="0"/>
                    <w:jc w:val="center"/>
                    <w:rPr>
                      <w:rFonts w:hint="eastAsia" w:eastAsia="宋体"/>
                      <w:color w:val="000000" w:themeColor="text1"/>
                      <w:vertAlign w:val="baseline"/>
                      <w:lang w:val="en-US" w:eastAsia="zh-CN"/>
                      <w14:textFill>
                        <w14:solidFill>
                          <w14:schemeClr w14:val="tx1"/>
                        </w14:solidFill>
                      </w14:textFill>
                    </w:rPr>
                  </w:pPr>
                  <w:r>
                    <w:rPr>
                      <w:rFonts w:hint="default"/>
                    </w:rPr>
                    <w:drawing>
                      <wp:inline distT="0" distB="0" distL="114300" distR="114300">
                        <wp:extent cx="1583055" cy="1820545"/>
                        <wp:effectExtent l="0" t="0" r="17145" b="8255"/>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35"/>
                                <a:stretch>
                                  <a:fillRect/>
                                </a:stretch>
                              </pic:blipFill>
                              <pic:spPr>
                                <a:xfrm>
                                  <a:off x="0" y="0"/>
                                  <a:ext cx="1583055" cy="1820545"/>
                                </a:xfrm>
                                <a:prstGeom prst="rect">
                                  <a:avLst/>
                                </a:prstGeom>
                                <a:noFill/>
                                <a:ln>
                                  <a:noFill/>
                                </a:ln>
                              </pic:spPr>
                            </pic:pic>
                          </a:graphicData>
                        </a:graphic>
                      </wp:inline>
                    </w:drawing>
                  </w:r>
                </w:p>
              </w:tc>
              <w:tc>
                <w:tcPr>
                  <w:tcW w:w="2316" w:type="pct"/>
                  <w:noWrap w:val="0"/>
                  <w:vAlign w:val="center"/>
                </w:tcPr>
                <w:p w14:paraId="779913F6">
                  <w:pPr>
                    <w:pStyle w:val="23"/>
                    <w:keepNext w:val="0"/>
                    <w:keepLines w:val="0"/>
                    <w:suppressLineNumbers w:val="0"/>
                    <w:spacing w:before="0" w:beforeAutospacing="0" w:after="0" w:afterAutospacing="0"/>
                    <w:ind w:left="0" w:leftChars="0" w:right="0" w:firstLine="0" w:firstLineChars="0"/>
                    <w:jc w:val="center"/>
                    <w:rPr>
                      <w:rFonts w:hint="default"/>
                      <w:color w:val="000000" w:themeColor="text1"/>
                      <w:vertAlign w:val="baseline"/>
                      <w:lang w:val="en-US" w:eastAsia="zh-CN"/>
                      <w14:textFill>
                        <w14:solidFill>
                          <w14:schemeClr w14:val="tx1"/>
                        </w14:solidFill>
                      </w14:textFill>
                    </w:rPr>
                  </w:pPr>
                  <w:r>
                    <w:rPr>
                      <w:rFonts w:hint="default"/>
                    </w:rPr>
                    <w:drawing>
                      <wp:inline distT="0" distB="0" distL="114300" distR="114300">
                        <wp:extent cx="2265045" cy="1757045"/>
                        <wp:effectExtent l="0" t="0" r="1905" b="14605"/>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36"/>
                                <a:stretch>
                                  <a:fillRect/>
                                </a:stretch>
                              </pic:blipFill>
                              <pic:spPr>
                                <a:xfrm>
                                  <a:off x="0" y="0"/>
                                  <a:ext cx="2265045" cy="1757045"/>
                                </a:xfrm>
                                <a:prstGeom prst="rect">
                                  <a:avLst/>
                                </a:prstGeom>
                                <a:noFill/>
                                <a:ln>
                                  <a:noFill/>
                                </a:ln>
                              </pic:spPr>
                            </pic:pic>
                          </a:graphicData>
                        </a:graphic>
                      </wp:inline>
                    </w:drawing>
                  </w:r>
                </w:p>
              </w:tc>
            </w:tr>
            <w:tr w14:paraId="593F7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16" w:type="pct"/>
                  <w:noWrap w:val="0"/>
                  <w:vAlign w:val="center"/>
                </w:tcPr>
                <w:p w14:paraId="78639272">
                  <w:pPr>
                    <w:keepNext w:val="0"/>
                    <w:keepLines w:val="0"/>
                    <w:suppressLineNumbers w:val="0"/>
                    <w:spacing w:before="0" w:beforeAutospacing="0" w:after="0" w:afterAutospacing="0"/>
                    <w:ind w:left="0" w:right="0"/>
                    <w:jc w:val="center"/>
                    <w:rPr>
                      <w:rFonts w:hint="default"/>
                      <w:color w:val="000000" w:themeColor="text1"/>
                      <w:kern w:val="2"/>
                      <w:sz w:val="21"/>
                      <w:szCs w:val="21"/>
                      <w:lang w:val="en-US" w:eastAsia="zh-CN" w:bidi="ar-SA"/>
                      <w14:textFill>
                        <w14:solidFill>
                          <w14:schemeClr w14:val="tx1"/>
                        </w14:solidFill>
                      </w14:textFill>
                    </w:rPr>
                  </w:pPr>
                  <w:r>
                    <w:rPr>
                      <w:rFonts w:hint="eastAsia" w:cs="宋体"/>
                      <w:color w:val="000000" w:themeColor="text1"/>
                      <w:kern w:val="2"/>
                      <w:sz w:val="21"/>
                      <w:szCs w:val="21"/>
                      <w:lang w:val="en-US" w:eastAsia="zh-CN" w:bidi="ar"/>
                      <w14:textFill>
                        <w14:solidFill>
                          <w14:schemeClr w14:val="tx1"/>
                        </w14:solidFill>
                      </w14:textFill>
                    </w:rPr>
                    <w:t>秦相</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220kV</w:t>
                  </w:r>
                  <w:r>
                    <w:rPr>
                      <w:rFonts w:hint="eastAsia" w:ascii="宋体" w:hAnsi="宋体" w:eastAsia="宋体" w:cs="宋体"/>
                      <w:color w:val="000000" w:themeColor="text1"/>
                      <w:kern w:val="2"/>
                      <w:sz w:val="21"/>
                      <w:szCs w:val="21"/>
                      <w:lang w:val="en-US" w:eastAsia="zh-CN" w:bidi="ar"/>
                      <w14:textFill>
                        <w14:solidFill>
                          <w14:schemeClr w14:val="tx1"/>
                        </w14:solidFill>
                      </w14:textFill>
                    </w:rPr>
                    <w:t>变电站</w:t>
                  </w:r>
                </w:p>
              </w:tc>
              <w:tc>
                <w:tcPr>
                  <w:tcW w:w="2316" w:type="pct"/>
                  <w:noWrap w:val="0"/>
                  <w:vAlign w:val="center"/>
                </w:tcPr>
                <w:p w14:paraId="5B26228D">
                  <w:pPr>
                    <w:keepNext w:val="0"/>
                    <w:keepLines w:val="0"/>
                    <w:suppressLineNumbers w:val="0"/>
                    <w:spacing w:before="0" w:beforeAutospacing="0" w:after="0" w:afterAutospacing="0"/>
                    <w:ind w:left="0" w:right="0"/>
                    <w:jc w:val="center"/>
                    <w:rPr>
                      <w:rFonts w:hint="eastAsia" w:eastAsia="宋体"/>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本项目</w:t>
                  </w:r>
                  <w:r>
                    <w:rPr>
                      <w:rFonts w:hint="eastAsia"/>
                      <w:color w:val="000000" w:themeColor="text1"/>
                      <w:szCs w:val="21"/>
                      <w:lang w:val="en-US" w:eastAsia="zh-CN"/>
                      <w14:textFill>
                        <w14:solidFill>
                          <w14:schemeClr w14:val="tx1"/>
                        </w14:solidFill>
                      </w14:textFill>
                    </w:rPr>
                    <w:t>恒山变电站</w:t>
                  </w:r>
                </w:p>
              </w:tc>
            </w:tr>
          </w:tbl>
          <w:p w14:paraId="4DC409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（3）类比对象的可行性分析</w:t>
            </w:r>
          </w:p>
          <w:p w14:paraId="00D24E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s="Times New Roman"/>
                <w:color w:val="000000" w:themeColor="text1"/>
                <w:kern w:val="2"/>
                <w:sz w:val="24"/>
                <w:szCs w:val="24"/>
                <w:lang w:val="en-US" w:eastAsia="zh-CN" w:bidi="ar-SA"/>
                <w14:textFill>
                  <w14:solidFill>
                    <w14:schemeClr w14:val="tx1"/>
                  </w14:solidFill>
                </w14:textFill>
              </w:rPr>
            </w:pPr>
            <w:r>
              <w:rPr>
                <w:rFonts w:hint="eastAsia" w:cs="Times New Roman"/>
                <w:color w:val="000000" w:themeColor="text1"/>
                <w:kern w:val="2"/>
                <w:sz w:val="24"/>
                <w:szCs w:val="24"/>
                <w:lang w:val="en-US" w:eastAsia="zh-CN" w:bidi="ar-SA"/>
                <w14:textFill>
                  <w14:solidFill>
                    <w14:schemeClr w14:val="tx1"/>
                  </w14:solidFill>
                </w14:textFill>
              </w:rPr>
              <w:t>由于变电站产生的工频电场主要与运行电压有关，对于设计和布置基本相同且电压等级相同的变电站，其产生的工频电场即具有可比性；对于工频磁场，则主要与主变压器容量（即运行电流）和线路电流有关，且目前实测的变电站围墙外工频磁场均远小于标准限值要求。</w:t>
            </w:r>
          </w:p>
          <w:p w14:paraId="467424DD">
            <w:pPr>
              <w:pStyle w:val="7"/>
              <w:keepNext w:val="0"/>
              <w:keepLines w:val="0"/>
              <w:suppressLineNumbers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由类比可知恒山220kV变电站与类比对象秦相220kV变电站电压等级、主变数量、设备布置型式、平面布置方式、环境条件、占地面积均相似，两工程所在区域的环境条件相似，恒山220kV变电站主变容量小于类比的秦相220kV变电站。因此，选用秦相220kV变电站作为类比对象，可反映本工程投产后的电磁环境影响，并且结果是保守的。</w:t>
            </w:r>
          </w:p>
          <w:p w14:paraId="43CD2F63">
            <w:pPr>
              <w:pStyle w:val="22"/>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2.2 </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类比</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监测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结果</w:t>
            </w:r>
          </w:p>
          <w:p w14:paraId="27EB99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秦相</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220kV变电站厂界电磁环境监测结果见下表。数据来源于《</w:t>
            </w:r>
            <w:r>
              <w:rPr>
                <w:rFonts w:hint="eastAsia" w:cs="Times New Roman"/>
                <w:color w:val="000000" w:themeColor="text1"/>
                <w:kern w:val="2"/>
                <w:sz w:val="24"/>
                <w:szCs w:val="24"/>
                <w:highlight w:val="none"/>
                <w:lang w:val="en-US" w:eastAsia="zh-CN" w:bidi="ar-SA"/>
                <w14:textFill>
                  <w14:solidFill>
                    <w14:schemeClr w14:val="tx1"/>
                  </w14:solidFill>
                </w14:textFill>
              </w:rPr>
              <w:t>河南驻马店上蔡秦相220千伏变电站2号主变扩建工程</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建设项目竣工环境保护验收调查报告表》中验收监测数据。</w:t>
            </w:r>
          </w:p>
          <w:p w14:paraId="74E2D22B">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000000" w:themeColor="text1"/>
                <w:kern w:val="2"/>
                <w:sz w:val="24"/>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1"/>
                <w:lang w:val="en-US" w:eastAsia="zh-CN" w:bidi="ar-SA"/>
                <w14:textFill>
                  <w14:solidFill>
                    <w14:schemeClr w14:val="tx1"/>
                  </w14:solidFill>
                </w14:textFill>
              </w:rPr>
              <w:t>表</w:t>
            </w:r>
            <w:r>
              <w:rPr>
                <w:rFonts w:hint="eastAsia" w:cs="Times New Roman"/>
                <w:b/>
                <w:bCs/>
                <w:color w:val="000000" w:themeColor="text1"/>
                <w:kern w:val="2"/>
                <w:sz w:val="24"/>
                <w:szCs w:val="21"/>
                <w:lang w:val="en-US" w:eastAsia="zh-CN" w:bidi="ar-SA"/>
                <w14:textFill>
                  <w14:solidFill>
                    <w14:schemeClr w14:val="tx1"/>
                  </w14:solidFill>
                </w14:textFill>
              </w:rPr>
              <w:t xml:space="preserve"> 7</w:t>
            </w:r>
            <w:r>
              <w:rPr>
                <w:rFonts w:hint="eastAsia" w:ascii="Times New Roman" w:hAnsi="Times New Roman" w:eastAsia="宋体" w:cs="Times New Roman"/>
                <w:b/>
                <w:bCs/>
                <w:color w:val="000000" w:themeColor="text1"/>
                <w:kern w:val="2"/>
                <w:sz w:val="24"/>
                <w:szCs w:val="21"/>
                <w:lang w:val="en-US" w:eastAsia="zh-CN" w:bidi="ar-SA"/>
                <w14:textFill>
                  <w14:solidFill>
                    <w14:schemeClr w14:val="tx1"/>
                  </w14:solidFill>
                </w14:textFill>
              </w:rPr>
              <w:t xml:space="preserve"> </w:t>
            </w:r>
            <w:r>
              <w:rPr>
                <w:rFonts w:hint="eastAsia" w:cs="Times New Roman"/>
                <w:b/>
                <w:bCs/>
                <w:color w:val="000000" w:themeColor="text1"/>
                <w:kern w:val="2"/>
                <w:sz w:val="24"/>
                <w:szCs w:val="21"/>
                <w:lang w:val="en-US" w:eastAsia="zh-CN" w:bidi="ar-SA"/>
                <w14:textFill>
                  <w14:solidFill>
                    <w14:schemeClr w14:val="tx1"/>
                  </w14:solidFill>
                </w14:textFill>
              </w:rPr>
              <w:t>秦相</w:t>
            </w:r>
            <w:r>
              <w:rPr>
                <w:rFonts w:hint="eastAsia" w:ascii="Times New Roman" w:hAnsi="Times New Roman" w:eastAsia="宋体" w:cs="Times New Roman"/>
                <w:b/>
                <w:bCs/>
                <w:color w:val="000000" w:themeColor="text1"/>
                <w:kern w:val="2"/>
                <w:sz w:val="24"/>
                <w:szCs w:val="21"/>
                <w:lang w:val="en-US" w:eastAsia="zh-CN" w:bidi="ar-SA"/>
                <w14:textFill>
                  <w14:solidFill>
                    <w14:schemeClr w14:val="tx1"/>
                  </w14:solidFill>
                </w14:textFill>
              </w:rPr>
              <w:t>变电站电磁环境检测结果</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1089"/>
              <w:gridCol w:w="1496"/>
              <w:gridCol w:w="2282"/>
              <w:gridCol w:w="2263"/>
            </w:tblGrid>
            <w:tr w14:paraId="0FAB9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blHeader/>
                <w:jc w:val="center"/>
              </w:trPr>
              <w:tc>
                <w:tcPr>
                  <w:tcW w:w="1166" w:type="dxa"/>
                  <w:noWrap w:val="0"/>
                  <w:vAlign w:val="center"/>
                </w:tcPr>
                <w:p w14:paraId="71C7978E">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序号</w:t>
                  </w:r>
                </w:p>
              </w:tc>
              <w:tc>
                <w:tcPr>
                  <w:tcW w:w="2585" w:type="dxa"/>
                  <w:gridSpan w:val="2"/>
                  <w:noWrap w:val="0"/>
                  <w:vAlign w:val="center"/>
                </w:tcPr>
                <w:p w14:paraId="51175985">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检测点位置</w:t>
                  </w:r>
                </w:p>
              </w:tc>
              <w:tc>
                <w:tcPr>
                  <w:tcW w:w="2282" w:type="dxa"/>
                  <w:noWrap w:val="0"/>
                  <w:vAlign w:val="center"/>
                </w:tcPr>
                <w:p w14:paraId="7EE26DC9">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工频电场强度（V/m）</w:t>
                  </w:r>
                </w:p>
              </w:tc>
              <w:tc>
                <w:tcPr>
                  <w:tcW w:w="2263" w:type="dxa"/>
                  <w:noWrap w:val="0"/>
                  <w:vAlign w:val="center"/>
                </w:tcPr>
                <w:p w14:paraId="6A4E1296">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工</w:t>
                  </w:r>
                  <w:r>
                    <w:rPr>
                      <w:rFonts w:hint="default" w:ascii="Times New Roman" w:hAnsi="Times New Roman" w:eastAsia="宋体" w:cs="Times New Roman"/>
                      <w:color w:val="000000" w:themeColor="text1"/>
                      <w:szCs w:val="21"/>
                      <w14:textFill>
                        <w14:solidFill>
                          <w14:schemeClr w14:val="tx1"/>
                        </w14:solidFill>
                      </w14:textFill>
                    </w:rPr>
                    <w:t>频磁感应强度（μ</w:t>
                  </w:r>
                  <w:r>
                    <w:rPr>
                      <w:rFonts w:hint="eastAsia" w:ascii="Times New Roman" w:hAnsi="Times New Roman" w:eastAsia="宋体" w:cs="Times New Roman"/>
                      <w:color w:val="000000" w:themeColor="text1"/>
                      <w:szCs w:val="21"/>
                      <w14:textFill>
                        <w14:solidFill>
                          <w14:schemeClr w14:val="tx1"/>
                        </w14:solidFill>
                      </w14:textFill>
                    </w:rPr>
                    <w:t>T）</w:t>
                  </w:r>
                </w:p>
              </w:tc>
            </w:tr>
            <w:tr w14:paraId="01738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noWrap w:val="0"/>
                  <w:vAlign w:val="center"/>
                </w:tcPr>
                <w:p w14:paraId="0A744E1E">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w:t>
                  </w:r>
                </w:p>
              </w:tc>
              <w:tc>
                <w:tcPr>
                  <w:tcW w:w="1089" w:type="dxa"/>
                  <w:vMerge w:val="restart"/>
                  <w:noWrap w:val="0"/>
                  <w:vAlign w:val="center"/>
                </w:tcPr>
                <w:p w14:paraId="587204AE">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秦相</w:t>
                  </w:r>
                  <w:r>
                    <w:rPr>
                      <w:rFonts w:hint="eastAsia" w:ascii="Times New Roman" w:hAnsi="Times New Roman" w:eastAsia="宋体" w:cs="Times New Roman"/>
                      <w:color w:val="000000" w:themeColor="text1"/>
                      <w:szCs w:val="21"/>
                      <w14:textFill>
                        <w14:solidFill>
                          <w14:schemeClr w14:val="tx1"/>
                        </w14:solidFill>
                      </w14:textFill>
                    </w:rPr>
                    <w:t>变电站</w:t>
                  </w:r>
                </w:p>
              </w:tc>
              <w:tc>
                <w:tcPr>
                  <w:tcW w:w="1496" w:type="dxa"/>
                  <w:noWrap w:val="0"/>
                  <w:vAlign w:val="center"/>
                </w:tcPr>
                <w:p w14:paraId="4E449EC3">
                  <w:pPr>
                    <w:pStyle w:val="68"/>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东侧</w:t>
                  </w:r>
                  <w:r>
                    <w:rPr>
                      <w:rFonts w:hint="eastAsia" w:ascii="Times New Roman" w:hAnsi="Times New Roman" w:eastAsia="宋体" w:cs="Times New Roman"/>
                      <w:color w:val="000000" w:themeColor="text1"/>
                      <w:szCs w:val="21"/>
                      <w:lang w:val="en-US" w:eastAsia="zh-CN"/>
                      <w14:textFill>
                        <w14:solidFill>
                          <w14:schemeClr w14:val="tx1"/>
                        </w14:solidFill>
                      </w14:textFill>
                    </w:rPr>
                    <w:t>5m</w:t>
                  </w:r>
                </w:p>
              </w:tc>
              <w:tc>
                <w:tcPr>
                  <w:tcW w:w="2282" w:type="dxa"/>
                  <w:noWrap w:val="0"/>
                  <w:vAlign w:val="center"/>
                </w:tcPr>
                <w:p w14:paraId="41DC9505">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26.29</w:t>
                  </w:r>
                </w:p>
              </w:tc>
              <w:tc>
                <w:tcPr>
                  <w:tcW w:w="2263" w:type="dxa"/>
                  <w:noWrap w:val="0"/>
                  <w:vAlign w:val="center"/>
                </w:tcPr>
                <w:p w14:paraId="674B7129">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0.0912</w:t>
                  </w:r>
                </w:p>
              </w:tc>
            </w:tr>
            <w:tr w14:paraId="75E5B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noWrap w:val="0"/>
                  <w:vAlign w:val="center"/>
                </w:tcPr>
                <w:p w14:paraId="244FFE49">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w:t>
                  </w:r>
                </w:p>
              </w:tc>
              <w:tc>
                <w:tcPr>
                  <w:tcW w:w="1089" w:type="dxa"/>
                  <w:vMerge w:val="continue"/>
                  <w:noWrap w:val="0"/>
                  <w:vAlign w:val="center"/>
                </w:tcPr>
                <w:p w14:paraId="2AC727D2">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664A5EDD">
                  <w:pPr>
                    <w:pStyle w:val="68"/>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东侧</w:t>
                  </w:r>
                  <w:r>
                    <w:rPr>
                      <w:rFonts w:hint="eastAsia" w:ascii="Times New Roman" w:hAnsi="Times New Roman" w:eastAsia="宋体" w:cs="Times New Roman"/>
                      <w:color w:val="000000" w:themeColor="text1"/>
                      <w:szCs w:val="21"/>
                      <w:lang w:val="en-US" w:eastAsia="zh-CN"/>
                      <w14:textFill>
                        <w14:solidFill>
                          <w14:schemeClr w14:val="tx1"/>
                        </w14:solidFill>
                      </w14:textFill>
                    </w:rPr>
                    <w:t>5m</w:t>
                  </w:r>
                </w:p>
              </w:tc>
              <w:tc>
                <w:tcPr>
                  <w:tcW w:w="2282" w:type="dxa"/>
                  <w:noWrap w:val="0"/>
                  <w:vAlign w:val="center"/>
                </w:tcPr>
                <w:p w14:paraId="7EB27BB9">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17.16</w:t>
                  </w:r>
                </w:p>
              </w:tc>
              <w:tc>
                <w:tcPr>
                  <w:tcW w:w="2263" w:type="dxa"/>
                  <w:noWrap w:val="0"/>
                  <w:vAlign w:val="center"/>
                </w:tcPr>
                <w:p w14:paraId="7D993EF6">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0.1145</w:t>
                  </w:r>
                </w:p>
              </w:tc>
            </w:tr>
            <w:tr w14:paraId="5548F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1166" w:type="dxa"/>
                  <w:noWrap w:val="0"/>
                  <w:vAlign w:val="center"/>
                </w:tcPr>
                <w:p w14:paraId="6EF2E067">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w:t>
                  </w:r>
                </w:p>
              </w:tc>
              <w:tc>
                <w:tcPr>
                  <w:tcW w:w="1089" w:type="dxa"/>
                  <w:vMerge w:val="continue"/>
                  <w:noWrap w:val="0"/>
                  <w:vAlign w:val="center"/>
                </w:tcPr>
                <w:p w14:paraId="0971BDCE">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263A744C">
                  <w:pPr>
                    <w:pStyle w:val="68"/>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5m</w:t>
                  </w:r>
                </w:p>
              </w:tc>
              <w:tc>
                <w:tcPr>
                  <w:tcW w:w="2282" w:type="dxa"/>
                  <w:noWrap w:val="0"/>
                  <w:vAlign w:val="center"/>
                </w:tcPr>
                <w:p w14:paraId="44578377">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120.36</w:t>
                  </w:r>
                </w:p>
              </w:tc>
              <w:tc>
                <w:tcPr>
                  <w:tcW w:w="2263" w:type="dxa"/>
                  <w:noWrap w:val="0"/>
                  <w:vAlign w:val="center"/>
                </w:tcPr>
                <w:p w14:paraId="2C7EF76D">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0.0921</w:t>
                  </w:r>
                </w:p>
              </w:tc>
            </w:tr>
            <w:tr w14:paraId="49613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noWrap w:val="0"/>
                  <w:vAlign w:val="center"/>
                </w:tcPr>
                <w:p w14:paraId="7DC0169F">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w:t>
                  </w:r>
                </w:p>
              </w:tc>
              <w:tc>
                <w:tcPr>
                  <w:tcW w:w="1089" w:type="dxa"/>
                  <w:vMerge w:val="continue"/>
                  <w:noWrap w:val="0"/>
                  <w:vAlign w:val="center"/>
                </w:tcPr>
                <w:p w14:paraId="046EBC87">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5201B148">
                  <w:pPr>
                    <w:pStyle w:val="68"/>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5m</w:t>
                  </w:r>
                </w:p>
              </w:tc>
              <w:tc>
                <w:tcPr>
                  <w:tcW w:w="2282" w:type="dxa"/>
                  <w:noWrap w:val="0"/>
                  <w:vAlign w:val="center"/>
                </w:tcPr>
                <w:p w14:paraId="48828ECB">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32.52</w:t>
                  </w:r>
                </w:p>
              </w:tc>
              <w:tc>
                <w:tcPr>
                  <w:tcW w:w="2263" w:type="dxa"/>
                  <w:noWrap w:val="0"/>
                  <w:vAlign w:val="center"/>
                </w:tcPr>
                <w:p w14:paraId="21FE93CE">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0.0917</w:t>
                  </w:r>
                </w:p>
              </w:tc>
            </w:tr>
            <w:tr w14:paraId="743A8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shd w:val="clear" w:color="auto" w:fill="auto"/>
                  <w:noWrap w:val="0"/>
                  <w:vAlign w:val="center"/>
                </w:tcPr>
                <w:p w14:paraId="12DF8041">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5</w:t>
                  </w:r>
                </w:p>
              </w:tc>
              <w:tc>
                <w:tcPr>
                  <w:tcW w:w="1089" w:type="dxa"/>
                  <w:vMerge w:val="continue"/>
                  <w:noWrap w:val="0"/>
                  <w:vAlign w:val="center"/>
                </w:tcPr>
                <w:p w14:paraId="6208E9C2">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5FEED238">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西</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5m</w:t>
                  </w:r>
                </w:p>
              </w:tc>
              <w:tc>
                <w:tcPr>
                  <w:tcW w:w="2282" w:type="dxa"/>
                  <w:noWrap w:val="0"/>
                  <w:vAlign w:val="center"/>
                </w:tcPr>
                <w:p w14:paraId="626DBD74">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338.53</w:t>
                  </w:r>
                </w:p>
              </w:tc>
              <w:tc>
                <w:tcPr>
                  <w:tcW w:w="2263" w:type="dxa"/>
                  <w:noWrap w:val="0"/>
                  <w:vAlign w:val="center"/>
                </w:tcPr>
                <w:p w14:paraId="438D9F22">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0.1292</w:t>
                  </w:r>
                </w:p>
              </w:tc>
            </w:tr>
            <w:tr w14:paraId="4C644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shd w:val="clear" w:color="auto" w:fill="auto"/>
                  <w:noWrap w:val="0"/>
                  <w:vAlign w:val="center"/>
                </w:tcPr>
                <w:p w14:paraId="068166DF">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6</w:t>
                  </w:r>
                </w:p>
              </w:tc>
              <w:tc>
                <w:tcPr>
                  <w:tcW w:w="1089" w:type="dxa"/>
                  <w:vMerge w:val="continue"/>
                  <w:noWrap w:val="0"/>
                  <w:vAlign w:val="center"/>
                </w:tcPr>
                <w:p w14:paraId="7F9E36D8">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2C40E8F3">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西</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5m</w:t>
                  </w:r>
                </w:p>
              </w:tc>
              <w:tc>
                <w:tcPr>
                  <w:tcW w:w="2282" w:type="dxa"/>
                  <w:noWrap w:val="0"/>
                  <w:vAlign w:val="center"/>
                </w:tcPr>
                <w:p w14:paraId="6F1B4C09">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115.32</w:t>
                  </w:r>
                </w:p>
              </w:tc>
              <w:tc>
                <w:tcPr>
                  <w:tcW w:w="2263" w:type="dxa"/>
                  <w:noWrap w:val="0"/>
                  <w:vAlign w:val="center"/>
                </w:tcPr>
                <w:p w14:paraId="2E0CA254">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0.0926</w:t>
                  </w:r>
                </w:p>
              </w:tc>
            </w:tr>
            <w:tr w14:paraId="605C0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shd w:val="clear" w:color="auto" w:fill="auto"/>
                  <w:noWrap w:val="0"/>
                  <w:vAlign w:val="center"/>
                </w:tcPr>
                <w:p w14:paraId="4C6F4123">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7</w:t>
                  </w:r>
                </w:p>
              </w:tc>
              <w:tc>
                <w:tcPr>
                  <w:tcW w:w="1089" w:type="dxa"/>
                  <w:vMerge w:val="continue"/>
                  <w:noWrap w:val="0"/>
                  <w:vAlign w:val="center"/>
                </w:tcPr>
                <w:p w14:paraId="694F13F5">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0B651AD5">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5m</w:t>
                  </w:r>
                </w:p>
              </w:tc>
              <w:tc>
                <w:tcPr>
                  <w:tcW w:w="2282" w:type="dxa"/>
                  <w:noWrap w:val="0"/>
                  <w:vAlign w:val="center"/>
                </w:tcPr>
                <w:p w14:paraId="77EC56A4">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75.81</w:t>
                  </w:r>
                </w:p>
              </w:tc>
              <w:tc>
                <w:tcPr>
                  <w:tcW w:w="2263" w:type="dxa"/>
                  <w:noWrap w:val="0"/>
                  <w:vAlign w:val="center"/>
                </w:tcPr>
                <w:p w14:paraId="3349986D">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0.0955</w:t>
                  </w:r>
                </w:p>
              </w:tc>
            </w:tr>
            <w:tr w14:paraId="78775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shd w:val="clear" w:color="auto" w:fill="auto"/>
                  <w:noWrap w:val="0"/>
                  <w:vAlign w:val="center"/>
                </w:tcPr>
                <w:p w14:paraId="19846907">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8</w:t>
                  </w:r>
                </w:p>
              </w:tc>
              <w:tc>
                <w:tcPr>
                  <w:tcW w:w="1089" w:type="dxa"/>
                  <w:vMerge w:val="continue"/>
                  <w:noWrap w:val="0"/>
                  <w:vAlign w:val="center"/>
                </w:tcPr>
                <w:p w14:paraId="3082DE4E">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5E10C49A">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5m</w:t>
                  </w:r>
                </w:p>
              </w:tc>
              <w:tc>
                <w:tcPr>
                  <w:tcW w:w="2282" w:type="dxa"/>
                  <w:noWrap w:val="0"/>
                  <w:vAlign w:val="center"/>
                </w:tcPr>
                <w:p w14:paraId="09346D6D">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26.65</w:t>
                  </w:r>
                </w:p>
              </w:tc>
              <w:tc>
                <w:tcPr>
                  <w:tcW w:w="2263" w:type="dxa"/>
                  <w:noWrap w:val="0"/>
                  <w:vAlign w:val="center"/>
                </w:tcPr>
                <w:p w14:paraId="6E242A03">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0.5631</w:t>
                  </w:r>
                </w:p>
              </w:tc>
            </w:tr>
            <w:tr w14:paraId="0DF5D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6" w:type="dxa"/>
                  <w:shd w:val="clear" w:color="auto" w:fill="auto"/>
                  <w:noWrap w:val="0"/>
                  <w:vAlign w:val="center"/>
                </w:tcPr>
                <w:p w14:paraId="4BBF2F11">
                  <w:pPr>
                    <w:pStyle w:val="68"/>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9</w:t>
                  </w:r>
                </w:p>
              </w:tc>
              <w:tc>
                <w:tcPr>
                  <w:tcW w:w="1089" w:type="dxa"/>
                  <w:vMerge w:val="restart"/>
                  <w:noWrap w:val="0"/>
                  <w:vAlign w:val="center"/>
                </w:tcPr>
                <w:p w14:paraId="39734ED9">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衰减断面</w:t>
                  </w:r>
                </w:p>
              </w:tc>
              <w:tc>
                <w:tcPr>
                  <w:tcW w:w="1496" w:type="dxa"/>
                  <w:noWrap w:val="0"/>
                  <w:vAlign w:val="center"/>
                </w:tcPr>
                <w:p w14:paraId="3DB5851F">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南侧5m</w:t>
                  </w:r>
                </w:p>
              </w:tc>
              <w:tc>
                <w:tcPr>
                  <w:tcW w:w="2282" w:type="dxa"/>
                  <w:noWrap w:val="0"/>
                  <w:vAlign w:val="center"/>
                </w:tcPr>
                <w:p w14:paraId="287B3300">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120.36</w:t>
                  </w:r>
                </w:p>
              </w:tc>
              <w:tc>
                <w:tcPr>
                  <w:tcW w:w="2263" w:type="dxa"/>
                  <w:noWrap w:val="0"/>
                  <w:vAlign w:val="center"/>
                </w:tcPr>
                <w:p w14:paraId="5158AC38">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0.0921</w:t>
                  </w:r>
                </w:p>
              </w:tc>
            </w:tr>
            <w:tr w14:paraId="0006A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6" w:type="dxa"/>
                  <w:shd w:val="clear" w:color="auto" w:fill="auto"/>
                  <w:noWrap w:val="0"/>
                  <w:vAlign w:val="center"/>
                </w:tcPr>
                <w:p w14:paraId="68D0DDEF">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w:t>
                  </w:r>
                </w:p>
              </w:tc>
              <w:tc>
                <w:tcPr>
                  <w:tcW w:w="1089" w:type="dxa"/>
                  <w:vMerge w:val="continue"/>
                  <w:noWrap w:val="0"/>
                  <w:vAlign w:val="center"/>
                </w:tcPr>
                <w:p w14:paraId="62EEB75D">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lang w:val="en-US" w:eastAsia="zh-CN"/>
                      <w14:textFill>
                        <w14:solidFill>
                          <w14:schemeClr w14:val="tx1"/>
                        </w14:solidFill>
                      </w14:textFill>
                    </w:rPr>
                  </w:pPr>
                </w:p>
              </w:tc>
              <w:tc>
                <w:tcPr>
                  <w:tcW w:w="1496" w:type="dxa"/>
                  <w:noWrap w:val="0"/>
                  <w:vAlign w:val="center"/>
                </w:tcPr>
                <w:p w14:paraId="2227B227">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10m</w:t>
                  </w:r>
                </w:p>
              </w:tc>
              <w:tc>
                <w:tcPr>
                  <w:tcW w:w="2282" w:type="dxa"/>
                  <w:noWrap w:val="0"/>
                  <w:vAlign w:val="center"/>
                </w:tcPr>
                <w:p w14:paraId="3451C4C7">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81.96</w:t>
                  </w:r>
                </w:p>
              </w:tc>
              <w:tc>
                <w:tcPr>
                  <w:tcW w:w="2263" w:type="dxa"/>
                  <w:noWrap w:val="0"/>
                  <w:vAlign w:val="center"/>
                </w:tcPr>
                <w:p w14:paraId="61F76F84">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0.0906</w:t>
                  </w:r>
                </w:p>
              </w:tc>
            </w:tr>
            <w:tr w14:paraId="0F592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shd w:val="clear" w:color="auto" w:fill="auto"/>
                  <w:noWrap w:val="0"/>
                  <w:vAlign w:val="center"/>
                </w:tcPr>
                <w:p w14:paraId="792142CD">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11</w:t>
                  </w:r>
                </w:p>
              </w:tc>
              <w:tc>
                <w:tcPr>
                  <w:tcW w:w="1089" w:type="dxa"/>
                  <w:vMerge w:val="continue"/>
                  <w:noWrap w:val="0"/>
                  <w:vAlign w:val="center"/>
                </w:tcPr>
                <w:p w14:paraId="4EEA6344">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114A644A">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15m</w:t>
                  </w:r>
                </w:p>
              </w:tc>
              <w:tc>
                <w:tcPr>
                  <w:tcW w:w="2282" w:type="dxa"/>
                  <w:noWrap w:val="0"/>
                  <w:vAlign w:val="center"/>
                </w:tcPr>
                <w:p w14:paraId="43F2FB82">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54.37</w:t>
                  </w:r>
                </w:p>
              </w:tc>
              <w:tc>
                <w:tcPr>
                  <w:tcW w:w="2263" w:type="dxa"/>
                  <w:noWrap w:val="0"/>
                  <w:vAlign w:val="center"/>
                </w:tcPr>
                <w:p w14:paraId="26FE57BC">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0.0808</w:t>
                  </w:r>
                </w:p>
              </w:tc>
            </w:tr>
            <w:tr w14:paraId="453CA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shd w:val="clear" w:color="auto" w:fill="auto"/>
                  <w:noWrap w:val="0"/>
                  <w:vAlign w:val="center"/>
                </w:tcPr>
                <w:p w14:paraId="06F1FEBA">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12</w:t>
                  </w:r>
                </w:p>
              </w:tc>
              <w:tc>
                <w:tcPr>
                  <w:tcW w:w="1089" w:type="dxa"/>
                  <w:vMerge w:val="continue"/>
                  <w:noWrap w:val="0"/>
                  <w:vAlign w:val="center"/>
                </w:tcPr>
                <w:p w14:paraId="79DBA67D">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2BEAFF81">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20m</w:t>
                  </w:r>
                </w:p>
              </w:tc>
              <w:tc>
                <w:tcPr>
                  <w:tcW w:w="2282" w:type="dxa"/>
                  <w:noWrap w:val="0"/>
                  <w:vAlign w:val="center"/>
                </w:tcPr>
                <w:p w14:paraId="68DCDE29">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21.58</w:t>
                  </w:r>
                </w:p>
              </w:tc>
              <w:tc>
                <w:tcPr>
                  <w:tcW w:w="2263" w:type="dxa"/>
                  <w:noWrap w:val="0"/>
                  <w:vAlign w:val="center"/>
                </w:tcPr>
                <w:p w14:paraId="16CE9A6F">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0.0794</w:t>
                  </w:r>
                </w:p>
              </w:tc>
            </w:tr>
            <w:tr w14:paraId="2377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shd w:val="clear" w:color="auto" w:fill="auto"/>
                  <w:noWrap w:val="0"/>
                  <w:vAlign w:val="center"/>
                </w:tcPr>
                <w:p w14:paraId="70A7DE24">
                  <w:pPr>
                    <w:pStyle w:val="68"/>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w:t>
                  </w:r>
                </w:p>
              </w:tc>
              <w:tc>
                <w:tcPr>
                  <w:tcW w:w="1089" w:type="dxa"/>
                  <w:vMerge w:val="continue"/>
                  <w:noWrap w:val="0"/>
                  <w:vAlign w:val="center"/>
                </w:tcPr>
                <w:p w14:paraId="164FC91C">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6F92910F">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25m</w:t>
                  </w:r>
                </w:p>
              </w:tc>
              <w:tc>
                <w:tcPr>
                  <w:tcW w:w="2282" w:type="dxa"/>
                  <w:noWrap w:val="0"/>
                  <w:vAlign w:val="center"/>
                </w:tcPr>
                <w:p w14:paraId="49FA769A">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12.92</w:t>
                  </w:r>
                </w:p>
              </w:tc>
              <w:tc>
                <w:tcPr>
                  <w:tcW w:w="2263" w:type="dxa"/>
                  <w:noWrap w:val="0"/>
                  <w:vAlign w:val="center"/>
                </w:tcPr>
                <w:p w14:paraId="2B337980">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0.0682</w:t>
                  </w:r>
                </w:p>
              </w:tc>
            </w:tr>
            <w:tr w14:paraId="03BEB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shd w:val="clear" w:color="auto" w:fill="auto"/>
                  <w:noWrap w:val="0"/>
                  <w:vAlign w:val="center"/>
                </w:tcPr>
                <w:p w14:paraId="111A1ECC">
                  <w:pPr>
                    <w:pStyle w:val="68"/>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14</w:t>
                  </w:r>
                </w:p>
              </w:tc>
              <w:tc>
                <w:tcPr>
                  <w:tcW w:w="1089" w:type="dxa"/>
                  <w:vMerge w:val="continue"/>
                  <w:noWrap w:val="0"/>
                  <w:vAlign w:val="center"/>
                </w:tcPr>
                <w:p w14:paraId="759C7DF5">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1FCD4335">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30m</w:t>
                  </w:r>
                </w:p>
              </w:tc>
              <w:tc>
                <w:tcPr>
                  <w:tcW w:w="2282" w:type="dxa"/>
                  <w:noWrap w:val="0"/>
                  <w:vAlign w:val="center"/>
                </w:tcPr>
                <w:p w14:paraId="41A3059C">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4.26</w:t>
                  </w:r>
                </w:p>
              </w:tc>
              <w:tc>
                <w:tcPr>
                  <w:tcW w:w="2263" w:type="dxa"/>
                  <w:noWrap w:val="0"/>
                  <w:vAlign w:val="center"/>
                </w:tcPr>
                <w:p w14:paraId="2771F970">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0.0533</w:t>
                  </w:r>
                </w:p>
              </w:tc>
            </w:tr>
            <w:tr w14:paraId="25B2E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noWrap w:val="0"/>
                  <w:vAlign w:val="center"/>
                </w:tcPr>
                <w:p w14:paraId="2602726A">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15</w:t>
                  </w:r>
                </w:p>
              </w:tc>
              <w:tc>
                <w:tcPr>
                  <w:tcW w:w="1089" w:type="dxa"/>
                  <w:vMerge w:val="continue"/>
                  <w:noWrap w:val="0"/>
                  <w:vAlign w:val="center"/>
                </w:tcPr>
                <w:p w14:paraId="12C10A0A">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3D02DD7D">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35m</w:t>
                  </w:r>
                </w:p>
              </w:tc>
              <w:tc>
                <w:tcPr>
                  <w:tcW w:w="2282" w:type="dxa"/>
                  <w:noWrap w:val="0"/>
                  <w:vAlign w:val="center"/>
                </w:tcPr>
                <w:p w14:paraId="59558121">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2.93</w:t>
                  </w:r>
                </w:p>
              </w:tc>
              <w:tc>
                <w:tcPr>
                  <w:tcW w:w="2263" w:type="dxa"/>
                  <w:noWrap w:val="0"/>
                  <w:vAlign w:val="center"/>
                </w:tcPr>
                <w:p w14:paraId="1A15B634">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0.0431</w:t>
                  </w:r>
                </w:p>
              </w:tc>
            </w:tr>
            <w:tr w14:paraId="74784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1166" w:type="dxa"/>
                  <w:noWrap w:val="0"/>
                  <w:vAlign w:val="center"/>
                </w:tcPr>
                <w:p w14:paraId="54AED16D">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16</w:t>
                  </w:r>
                </w:p>
              </w:tc>
              <w:tc>
                <w:tcPr>
                  <w:tcW w:w="1089" w:type="dxa"/>
                  <w:vMerge w:val="continue"/>
                  <w:noWrap w:val="0"/>
                  <w:vAlign w:val="center"/>
                </w:tcPr>
                <w:p w14:paraId="2D035B7C">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5F239009">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40m</w:t>
                  </w:r>
                </w:p>
              </w:tc>
              <w:tc>
                <w:tcPr>
                  <w:tcW w:w="2282" w:type="dxa"/>
                  <w:noWrap w:val="0"/>
                  <w:vAlign w:val="center"/>
                </w:tcPr>
                <w:p w14:paraId="514E761F">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1.27</w:t>
                  </w:r>
                </w:p>
              </w:tc>
              <w:tc>
                <w:tcPr>
                  <w:tcW w:w="2263" w:type="dxa"/>
                  <w:noWrap w:val="0"/>
                  <w:vAlign w:val="center"/>
                </w:tcPr>
                <w:p w14:paraId="4EAE874E">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0.0325</w:t>
                  </w:r>
                </w:p>
              </w:tc>
            </w:tr>
            <w:tr w14:paraId="507AA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166" w:type="dxa"/>
                  <w:noWrap w:val="0"/>
                  <w:vAlign w:val="center"/>
                </w:tcPr>
                <w:p w14:paraId="2F15341F">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17</w:t>
                  </w:r>
                </w:p>
              </w:tc>
              <w:tc>
                <w:tcPr>
                  <w:tcW w:w="1089" w:type="dxa"/>
                  <w:vMerge w:val="continue"/>
                  <w:noWrap w:val="0"/>
                  <w:vAlign w:val="center"/>
                </w:tcPr>
                <w:p w14:paraId="4850665C">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1BD4F4F6">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45m</w:t>
                  </w:r>
                </w:p>
              </w:tc>
              <w:tc>
                <w:tcPr>
                  <w:tcW w:w="2282" w:type="dxa"/>
                  <w:noWrap w:val="0"/>
                  <w:vAlign w:val="center"/>
                </w:tcPr>
                <w:p w14:paraId="3B7E8E46">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1.03</w:t>
                  </w:r>
                </w:p>
              </w:tc>
              <w:tc>
                <w:tcPr>
                  <w:tcW w:w="2263" w:type="dxa"/>
                  <w:noWrap w:val="0"/>
                  <w:vAlign w:val="center"/>
                </w:tcPr>
                <w:p w14:paraId="77B71B8E">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0.0211</w:t>
                  </w:r>
                </w:p>
              </w:tc>
            </w:tr>
            <w:tr w14:paraId="48332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66" w:type="dxa"/>
                  <w:noWrap w:val="0"/>
                  <w:vAlign w:val="center"/>
                </w:tcPr>
                <w:p w14:paraId="13544ED0">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18</w:t>
                  </w:r>
                </w:p>
              </w:tc>
              <w:tc>
                <w:tcPr>
                  <w:tcW w:w="1089" w:type="dxa"/>
                  <w:vMerge w:val="continue"/>
                  <w:noWrap w:val="0"/>
                  <w:vAlign w:val="center"/>
                </w:tcPr>
                <w:p w14:paraId="011997C7">
                  <w:pPr>
                    <w:pStyle w:val="68"/>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Cs w:val="21"/>
                      <w14:textFill>
                        <w14:solidFill>
                          <w14:schemeClr w14:val="tx1"/>
                        </w14:solidFill>
                      </w14:textFill>
                    </w:rPr>
                  </w:pPr>
                </w:p>
              </w:tc>
              <w:tc>
                <w:tcPr>
                  <w:tcW w:w="1496" w:type="dxa"/>
                  <w:noWrap w:val="0"/>
                  <w:vAlign w:val="center"/>
                </w:tcPr>
                <w:p w14:paraId="32533185">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ascii="Times New Roman" w:hAnsi="Times New Roman" w:eastAsia="宋体" w:cs="Times New Roman"/>
                      <w:color w:val="000000" w:themeColor="text1"/>
                      <w:szCs w:val="21"/>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50m</w:t>
                  </w:r>
                </w:p>
              </w:tc>
              <w:tc>
                <w:tcPr>
                  <w:tcW w:w="2282" w:type="dxa"/>
                  <w:noWrap w:val="0"/>
                  <w:vAlign w:val="center"/>
                </w:tcPr>
                <w:p w14:paraId="00C9D593">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0.76</w:t>
                  </w:r>
                </w:p>
              </w:tc>
              <w:tc>
                <w:tcPr>
                  <w:tcW w:w="2263" w:type="dxa"/>
                  <w:noWrap w:val="0"/>
                  <w:vAlign w:val="center"/>
                </w:tcPr>
                <w:p w14:paraId="313F8E26">
                  <w:pPr>
                    <w:pStyle w:val="68"/>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0.0205</w:t>
                  </w:r>
                </w:p>
              </w:tc>
            </w:tr>
          </w:tbl>
          <w:p w14:paraId="455ED7AE">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由上表数据可知数据，</w:t>
            </w:r>
            <w:r>
              <w:rPr>
                <w:rFonts w:hint="eastAsia" w:cs="Times New Roman"/>
                <w:color w:val="000000" w:themeColor="text1"/>
                <w:sz w:val="24"/>
                <w:lang w:eastAsia="zh-CN"/>
                <w14:textFill>
                  <w14:solidFill>
                    <w14:schemeClr w14:val="tx1"/>
                  </w14:solidFill>
                </w14:textFill>
              </w:rPr>
              <w:t>秦相</w:t>
            </w:r>
            <w:r>
              <w:rPr>
                <w:rFonts w:hint="default" w:ascii="Times New Roman" w:hAnsi="Times New Roman" w:cs="Times New Roman"/>
                <w:color w:val="000000" w:themeColor="text1"/>
                <w:sz w:val="24"/>
                <w14:textFill>
                  <w14:solidFill>
                    <w14:schemeClr w14:val="tx1"/>
                  </w14:solidFill>
                </w14:textFill>
              </w:rPr>
              <w:t>220kV变电站工频电场强度范围在</w:t>
            </w:r>
            <w:r>
              <w:rPr>
                <w:rFonts w:hint="eastAsia" w:cs="Times New Roman"/>
                <w:color w:val="000000" w:themeColor="text1"/>
                <w:sz w:val="24"/>
                <w:lang w:val="en-US" w:eastAsia="zh-CN"/>
                <w14:textFill>
                  <w14:solidFill>
                    <w14:schemeClr w14:val="tx1"/>
                  </w14:solidFill>
                </w14:textFill>
              </w:rPr>
              <w:t>17.16</w:t>
            </w:r>
            <w:r>
              <w:rPr>
                <w:rFonts w:hint="default" w:ascii="Times New Roman" w:hAnsi="Times New Roman"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338.53</w:t>
            </w:r>
            <w:r>
              <w:rPr>
                <w:rFonts w:hint="default" w:ascii="Times New Roman" w:hAnsi="Times New Roman" w:cs="Times New Roman"/>
                <w:color w:val="000000" w:themeColor="text1"/>
                <w:sz w:val="24"/>
                <w14:textFill>
                  <w14:solidFill>
                    <w14:schemeClr w14:val="tx1"/>
                  </w14:solidFill>
                </w14:textFill>
              </w:rPr>
              <w:t>V/m之间，工频磁感应强度</w:t>
            </w:r>
            <w:r>
              <w:rPr>
                <w:rFonts w:hint="eastAsia" w:cs="Times New Roman"/>
                <w:color w:val="000000" w:themeColor="text1"/>
                <w:sz w:val="24"/>
                <w:lang w:eastAsia="zh-CN"/>
                <w14:textFill>
                  <w14:solidFill>
                    <w14:schemeClr w14:val="tx1"/>
                  </w14:solidFill>
                </w14:textFill>
              </w:rPr>
              <w:t>范围在</w:t>
            </w:r>
            <w:r>
              <w:rPr>
                <w:rFonts w:hint="eastAsia" w:cs="Times New Roman"/>
                <w:color w:val="000000" w:themeColor="text1"/>
                <w:sz w:val="24"/>
                <w:lang w:val="en-US" w:eastAsia="zh-CN"/>
                <w14:textFill>
                  <w14:solidFill>
                    <w14:schemeClr w14:val="tx1"/>
                  </w14:solidFill>
                </w14:textFill>
              </w:rPr>
              <w:t>0.0912</w:t>
            </w:r>
            <w:r>
              <w:rPr>
                <w:rFonts w:hint="default" w:ascii="Times New Roman" w:hAnsi="Times New Roman"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0.1292</w:t>
            </w:r>
            <w:r>
              <w:rPr>
                <w:rFonts w:hint="default" w:ascii="Times New Roman" w:hAnsi="Times New Roman" w:cs="Times New Roman"/>
                <w:color w:val="000000" w:themeColor="text1"/>
                <w:sz w:val="24"/>
                <w14:textFill>
                  <w14:solidFill>
                    <w14:schemeClr w14:val="tx1"/>
                  </w14:solidFill>
                </w14:textFill>
              </w:rPr>
              <w:t>μT之间</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变电站南厂界中部(检测最大值出现在西侧，西侧为220kV出线方向，无法避开，因此选数值较大的变电站南侧中部进行衰减断面监测)工频电场强度范围在</w:t>
            </w:r>
            <w:r>
              <w:rPr>
                <w:rFonts w:hint="eastAsia" w:cs="Times New Roman"/>
                <w:color w:val="000000" w:themeColor="text1"/>
                <w:sz w:val="24"/>
                <w:lang w:val="en-US" w:eastAsia="zh-CN"/>
                <w14:textFill>
                  <w14:solidFill>
                    <w14:schemeClr w14:val="tx1"/>
                  </w14:solidFill>
                </w14:textFill>
              </w:rPr>
              <w:t>0.76</w:t>
            </w:r>
            <w:r>
              <w:rPr>
                <w:rFonts w:hint="default" w:ascii="Times New Roman" w:hAnsi="Times New Roman"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120.36</w:t>
            </w:r>
            <w:r>
              <w:rPr>
                <w:rFonts w:hint="default" w:ascii="Times New Roman" w:hAnsi="Times New Roman" w:cs="Times New Roman"/>
                <w:color w:val="000000" w:themeColor="text1"/>
                <w:sz w:val="24"/>
                <w14:textFill>
                  <w14:solidFill>
                    <w14:schemeClr w14:val="tx1"/>
                  </w14:solidFill>
                </w14:textFill>
              </w:rPr>
              <w:t>V/m之间，工频磁感应强度</w:t>
            </w:r>
            <w:r>
              <w:rPr>
                <w:rFonts w:hint="eastAsia" w:cs="Times New Roman"/>
                <w:color w:val="000000" w:themeColor="text1"/>
                <w:sz w:val="24"/>
                <w:lang w:eastAsia="zh-CN"/>
                <w14:textFill>
                  <w14:solidFill>
                    <w14:schemeClr w14:val="tx1"/>
                  </w14:solidFill>
                </w14:textFill>
              </w:rPr>
              <w:t>范围在</w:t>
            </w:r>
            <w:r>
              <w:rPr>
                <w:rFonts w:hint="eastAsia" w:cs="Times New Roman"/>
                <w:color w:val="000000" w:themeColor="text1"/>
                <w:sz w:val="24"/>
                <w:lang w:val="en-US" w:eastAsia="zh-CN"/>
                <w14:textFill>
                  <w14:solidFill>
                    <w14:schemeClr w14:val="tx1"/>
                  </w14:solidFill>
                </w14:textFill>
              </w:rPr>
              <w:t>0.0205</w:t>
            </w:r>
            <w:r>
              <w:rPr>
                <w:rFonts w:hint="default" w:ascii="Times New Roman" w:hAnsi="Times New Roman"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0.0921</w:t>
            </w:r>
            <w:r>
              <w:rPr>
                <w:rFonts w:hint="default" w:ascii="Times New Roman" w:hAnsi="Times New Roman" w:cs="Times New Roman"/>
                <w:color w:val="000000" w:themeColor="text1"/>
                <w:sz w:val="24"/>
                <w14:textFill>
                  <w14:solidFill>
                    <w14:schemeClr w14:val="tx1"/>
                  </w14:solidFill>
                </w14:textFill>
              </w:rPr>
              <w:t>μT之间，监测结果满足《电磁环境控制限值》（GB 8702-2014）中标准限值要求（电场强度4000V/m，磁感应强度100μT）。</w:t>
            </w:r>
          </w:p>
          <w:p w14:paraId="7F9341B9">
            <w:pPr>
              <w:pStyle w:val="22"/>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2.3</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电磁环境影响预测分析</w:t>
            </w:r>
          </w:p>
          <w:p w14:paraId="3D1D3FA4">
            <w:pPr>
              <w:pStyle w:val="2"/>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eastAsia" w:eastAsia="宋体" w:cs="Times New Roman"/>
                <w:b w:val="0"/>
                <w:bCs w:val="0"/>
                <w:color w:val="000000" w:themeColor="text1"/>
                <w:kern w:val="2"/>
                <w:sz w:val="24"/>
                <w:szCs w:val="24"/>
                <w:lang w:val="en-US" w:eastAsia="zh-CN" w:bidi="ar-SA"/>
                <w14:textFill>
                  <w14:solidFill>
                    <w14:schemeClr w14:val="tx1"/>
                  </w14:solidFill>
                </w14:textFill>
              </w:rPr>
              <w:t>秦相220kV变电站</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围墙外各监测点工频电场强度、工频磁场强度监测结果满足《电磁环境控制限值》（GB 8702-2014）中标准限值要求。经类比分析，本项目220kV</w:t>
            </w:r>
            <w:r>
              <w:rPr>
                <w:rFonts w:hint="eastAsia" w:eastAsia="宋体" w:cs="Times New Roman"/>
                <w:b w:val="0"/>
                <w:bCs w:val="0"/>
                <w:color w:val="000000" w:themeColor="text1"/>
                <w:kern w:val="2"/>
                <w:sz w:val="24"/>
                <w:szCs w:val="24"/>
                <w:lang w:val="en-US" w:eastAsia="zh-CN" w:bidi="ar-SA"/>
                <w14:textFill>
                  <w14:solidFill>
                    <w14:schemeClr w14:val="tx1"/>
                  </w14:solidFill>
                </w14:textFill>
              </w:rPr>
              <w:t>恒山</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变电站</w:t>
            </w:r>
            <w:r>
              <w:rPr>
                <w:rFonts w:hint="eastAsia" w:eastAsia="宋体" w:cs="Times New Roman"/>
                <w:b w:val="0"/>
                <w:bCs w:val="0"/>
                <w:color w:val="000000" w:themeColor="text1"/>
                <w:kern w:val="2"/>
                <w:sz w:val="24"/>
                <w:szCs w:val="24"/>
                <w:lang w:val="en-US" w:eastAsia="zh-CN" w:bidi="ar-SA"/>
                <w14:textFill>
                  <w14:solidFill>
                    <w14:schemeClr w14:val="tx1"/>
                  </w14:solidFill>
                </w14:textFill>
              </w:rPr>
              <w:t>扩建</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后，厂界外</w:t>
            </w:r>
            <w:r>
              <w:rPr>
                <w:rFonts w:hint="eastAsia" w:eastAsia="宋体" w:cs="Times New Roman"/>
                <w:b w:val="0"/>
                <w:bCs w:val="0"/>
                <w:color w:val="000000" w:themeColor="text1"/>
                <w:kern w:val="2"/>
                <w:sz w:val="24"/>
                <w:szCs w:val="24"/>
                <w:lang w:val="en-US" w:eastAsia="zh-CN" w:bidi="ar-SA"/>
                <w14:textFill>
                  <w14:solidFill>
                    <w14:schemeClr w14:val="tx1"/>
                  </w14:solidFill>
                </w14:textFill>
              </w:rPr>
              <w:t>及电磁敏感目标</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的工频电场、工频磁场均能够满足相应评价标准要求。</w:t>
            </w:r>
          </w:p>
          <w:p w14:paraId="348BD0B4">
            <w:pPr>
              <w:keepNext w:val="0"/>
              <w:keepLines w:val="0"/>
              <w:suppressLineNumbers w:val="0"/>
              <w:spacing w:before="0" w:beforeAutospacing="0" w:after="0" w:afterAutospacing="0" w:line="360" w:lineRule="auto"/>
              <w:ind w:left="0" w:right="0" w:firstLine="482" w:firstLineChars="200"/>
              <w:rPr>
                <w:rFonts w:hint="default"/>
                <w:b/>
                <w:bCs/>
                <w:snapToGrid w:val="0"/>
                <w:color w:val="000000" w:themeColor="text1"/>
                <w:sz w:val="24"/>
                <w14:textFill>
                  <w14:solidFill>
                    <w14:schemeClr w14:val="tx1"/>
                  </w14:solidFill>
                </w14:textFill>
              </w:rPr>
            </w:pPr>
            <w:r>
              <w:rPr>
                <w:rFonts w:hint="eastAsia"/>
                <w:b/>
                <w:bCs/>
                <w:snapToGrid w:val="0"/>
                <w:color w:val="000000" w:themeColor="text1"/>
                <w:sz w:val="24"/>
                <w:lang w:val="en-US" w:eastAsia="zh-CN"/>
                <w14:textFill>
                  <w14:solidFill>
                    <w14:schemeClr w14:val="tx1"/>
                  </w14:solidFill>
                </w14:textFill>
              </w:rPr>
              <w:t>3、</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架空线路工频电场、工频磁场影响理论预测分析</w:t>
            </w:r>
          </w:p>
          <w:p w14:paraId="078C72B5">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根据本次工程输电线的架线型式、架设高度、线距和导线结构等参数计算输电线路形成的工频电场、工频磁感应强度。采用《环境影响评价技术导则 输变电》（HJ</w:t>
            </w:r>
            <w:r>
              <w:rPr>
                <w:rFonts w:hint="eastAsia"/>
                <w:color w:val="000000" w:themeColor="text1"/>
                <w:sz w:val="24"/>
                <w14:textFill>
                  <w14:solidFill>
                    <w14:schemeClr w14:val="tx1"/>
                  </w14:solidFill>
                </w14:textFill>
              </w:rPr>
              <w:t xml:space="preserve"> </w:t>
            </w:r>
            <w:r>
              <w:rPr>
                <w:rFonts w:hint="default"/>
                <w:color w:val="000000" w:themeColor="text1"/>
                <w:sz w:val="24"/>
                <w14:textFill>
                  <w14:solidFill>
                    <w14:schemeClr w14:val="tx1"/>
                  </w14:solidFill>
                </w14:textFill>
              </w:rPr>
              <w:t>24-20</w:t>
            </w:r>
            <w:r>
              <w:rPr>
                <w:rFonts w:hint="eastAsia"/>
                <w:color w:val="000000" w:themeColor="text1"/>
                <w:sz w:val="24"/>
                <w14:textFill>
                  <w14:solidFill>
                    <w14:schemeClr w14:val="tx1"/>
                  </w14:solidFill>
                </w14:textFill>
              </w:rPr>
              <w:t>20</w:t>
            </w:r>
            <w:r>
              <w:rPr>
                <w:rFonts w:hint="default"/>
                <w:color w:val="000000" w:themeColor="text1"/>
                <w:sz w:val="24"/>
                <w14:textFill>
                  <w14:solidFill>
                    <w14:schemeClr w14:val="tx1"/>
                  </w14:solidFill>
                </w14:textFill>
              </w:rPr>
              <w:t>）附录中规定的计算模式。</w:t>
            </w:r>
          </w:p>
          <w:p w14:paraId="1C07F36A">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（1）工频电场值的计算</w:t>
            </w:r>
          </w:p>
          <w:p w14:paraId="064C245C">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利用等效电荷法计算高压送电线下空间工频电场。高压送电线上的等效电荷是线电荷没有</w:t>
            </w:r>
            <w:r>
              <w:rPr>
                <w:rFonts w:hint="eastAsia"/>
                <w:color w:val="000000" w:themeColor="text1"/>
                <w:sz w:val="24"/>
                <w:lang w:eastAsia="zh-CN"/>
                <w14:textFill>
                  <w14:solidFill>
                    <w14:schemeClr w14:val="tx1"/>
                  </w14:solidFill>
                </w14:textFill>
              </w:rPr>
              <w:t>比高</w:t>
            </w:r>
            <w:r>
              <w:rPr>
                <w:rFonts w:hint="default"/>
                <w:color w:val="000000" w:themeColor="text1"/>
                <w:sz w:val="24"/>
                <w14:textFill>
                  <w14:solidFill>
                    <w14:schemeClr w14:val="tx1"/>
                  </w14:solidFill>
                </w14:textFill>
              </w:rPr>
              <w:t>压输电线半径r远小于架设高度h，所以等效电荷的位置可以认为是在输电导线的几何中心。</w:t>
            </w:r>
          </w:p>
          <w:p w14:paraId="3E42E9A6">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设送电线路为无限长并且平行于地面，地面可视为良导体，利用镜像法计算送电线上的等效电荷，可写出下列矩阵方程：</w:t>
            </w:r>
          </w:p>
          <w:p w14:paraId="2C64528D">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fldChar w:fldCharType="begin"/>
            </w:r>
            <w:r>
              <w:rPr>
                <w:rFonts w:hint="default"/>
                <w:color w:val="000000" w:themeColor="text1"/>
                <w:sz w:val="24"/>
                <w14:textFill>
                  <w14:solidFill>
                    <w14:schemeClr w14:val="tx1"/>
                  </w14:solidFill>
                </w14:textFill>
              </w:rPr>
              <w:instrText xml:space="preserve"> QUOTE </w:instrText>
            </w:r>
            <w:r>
              <w:rPr>
                <w:rFonts w:hint="default"/>
                <w:color w:val="000000" w:themeColor="text1"/>
                <w:position w:val="-54"/>
                <w:sz w:val="24"/>
                <w14:textFill>
                  <w14:solidFill>
                    <w14:schemeClr w14:val="tx1"/>
                  </w14:solidFill>
                </w14:textFill>
              </w:rPr>
              <w:pict>
                <v:shape id="_x0000_i1025" o:spt="75" type="#_x0000_t75" style="height:62.25pt;width:156.75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3D5185&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3D5185&quot; wsp:rsidP=&quot;003D5185&quot;&gt;&lt;w:pPr&gt;&lt;w:ind w:first-line=&quot;480&quot;/&gt;&lt;/w:pPr&gt;&lt;m:oMathPara&gt;&lt;m:oMath&gt;&lt;m:d&gt;&lt;m:dPr&gt;&lt;m:begChr m:val=&quot;[&quot;/&gt;&lt;m:endChr m:val=&quot;]&quot;/&gt;&lt;m:ctrlPr&gt;&lt;w:rPr&gt;&lt;w:rFonts w:ascii=&quot;Cambria Math&quot; w:h-ansi=&quot;Cambria Math&quot;/&gt;&lt;wx:font wx:val=&quot;Cambria Math&quot;/&gt;&lt;w:sz-cs w:val=&quot;28&quot;/&gt;&lt;/w:rPr&gt;&lt;/m:ctrlPr&gt;&lt;/m:dPr&gt;&lt;m:e&gt;&lt;m:eqArr&gt;&lt;m:eqArrPr&gt;&lt;m:ctrlPr&gt;&lt;w:rPr&gt;&lt;w:rFonts w:ascii=&quot;Cambria Math&quot; w:h-ansi=&quot;Cambria Math&quot;/&gt;&lt;wx:font wx:val=&quot;Cambria Math&quot;/&gt;&lt;w:i/&gt;&lt;w:sz-cs w:val=&quot;28&quot;/&gt;&lt;/w:rPr&gt;&lt;/m:ctrlPr&gt;&lt;/m:eqArrP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U&lt;/m:t&gt;&lt;/m:r&gt;&lt;/m:e&gt;&lt;m:sub&gt;&lt;m:r&gt;&lt;w:rPr&gt;&lt;w:rFonts w:ascii=&quot;Cambria Math&quot; w:h-ansi=&quot;Cambria Math&quot;/&gt;&lt;wx:font wx:val=&quot;Cambria Math&quot;/&gt;&lt;w:i/&gt;&lt;w:sz-cs w:val=&quot;28&quot;/&gt;&lt;/w:rPr&gt;&lt;m:t&gt;1&lt;/m:t&gt;&lt;/m:r&gt;&lt;/m:sub&gt;&lt;/m:sSub&gt;&lt;/m:e&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U&lt;/m:t&gt;&lt;/m:r&gt;&lt;/m:e&gt;&lt;m:sub&gt;&lt;m:r&gt;&lt;w:rPr&gt;&lt;w:rFonts w:ascii=&quot;Cambria Math&quot; w:h-ansi=&quot;Cambria Math&quot;/&gt;&lt;wx:font wx:val=&quot;Cambria Math&quot;/&gt;&lt;w:i/&gt;&lt;w:sz-cs w:val=&quot;28&quot;/&gt;&lt;/w:rPr&gt;&lt;m:t&gt;2&lt;/m:t&gt;&lt;/m:r&gt;&lt;/m:sub&gt;&lt;/m:sSub&gt;&lt;m:ctrlPr&gt;&lt;w:rPr&gt;&lt;w:rFonts w:ascii=&quot;Cambria Math&quot; w:fareast=&quot;Cambria Math&quot; w:h-ansi=&quot;Cambria Math&quot; w:cs=&quot;Cambria Math&quot;/&gt;&lt;wx:font wx:val=&quot;Cambria Math&quot;/&gt;&lt;w:i/&gt;&lt;w:sz-cs w:val=&quot;28&quot;/&gt;&lt;/w:rPr&gt;&lt;/m:ctrlPr&gt;&lt;/m:e&gt;&lt;m:e&gt;&lt;m:r&gt;&lt;w:rPr&gt;&lt;w:rFonts w:ascii=&quot;Cambria Math&quot; w:fareast=&quot;Cambria Math&quot; w:h-ansi=&quot;Cambria Math&quot; w:cs=&quot;Cambria Math&quot;/&gt;&lt;wx:font wx:val=&quot;Cambria Math&quot;/&gt;&lt;w:i/&gt;&lt;w:sz-cs w:val=&quot;28&quot;/&gt;&lt;/w:rPr&gt;&lt;m:t&gt;?&lt;/m:t&gt;&lt;/m:r&gt;&lt;m:ctrlPr&gt;&lt;w:rPr&gt;&lt;w:rFonts w:ascii=&quot;Cambria Math&quot; w:fareast=&quot;Cambria Math&quot; w:h-ansi=&quot;Cambria Math&quot; w:cs=&quot;Cambria Math&quot;/&gt;&lt;wx:font wx:val=&quot;Cambria Math&quot;/&gt;&lt;w:i/&gt;&lt;w:sz-cs w:val=&quot;28&quot;/&gt;&lt;/w:rPr&gt;&lt;/m:ctrlPr&gt;&lt;/m:e&gt;&lt;m:e&gt;&lt;m:sSub&gt;&lt;m:sSubPr&gt;&lt;m:ctrlPr&gt;&lt;w:rPr&gt;&lt;w:rFonts w:ascii=&quot;Cambria Math&quot; w:fareast=&quot;Cambria Math&quot; w:h-ansi=&quot;Cambria Math&quot; w:cs=&quot;Cambria Math&quot;/&gt;&lt;wx:font wx:val=&quot;Cambria Math&quot;/&gt;&lt;w:i/&gt;&lt;w:sz-cs w:val=&quot;28&quot;/&gt;&lt;/w:rPr&gt;&lt;/m:ctrlPr&gt;&lt;/m:sSubPr&gt;&lt;m:e&gt;&lt;m:r&gt;&lt;w:rPr&gt;&lt;w:rFonts w:ascii=&quot;Cambria Math&quot; w:fareast=&quot;Cambria Math&quot; w:h-ansi=&quot;Cambria Math&quot; w:cs=&quot;Cambria Math&quot;/&gt;&lt;wx:font wx:val=&quot;Cambria Math&quot;/&gt;&lt;w:i/&gt;&lt;w:sz-cs w:val=&quot;28&quot;/&gt;&lt;/w:rPr&gt;&lt;m:t&gt;U&lt;/m:t&gt;&lt;/m:r&gt;&lt;/m:e&gt;&lt;m:sub&gt;&lt;m:r&gt;&lt;w:rPr&gt;&lt;w:rFonts w:ascii=&quot;Cambria Math&quot; w:fareast=&quot;宋体&quot; w:h-ansi=&quot;Cambria Math&quot; w:cs=&quot;Cambria Math&quot; w:hint=&quot;fareast&quot;/&gt;&lt;wx:font wx:val=&quot;Cambria Math&quot;/&gt;&lt;w:i/&gt;&lt;w:sz-cs w:val=&quot;28&quot;/&gt;&lt;/w:rPr&gt;&lt;m:t&gt;m&lt;/m:t&gt;&lt;/m:r&gt;&lt;/m:sub&gt;&lt;/m:sSub&gt;&lt;/m:e&gt;&lt;/m:eqArr&gt;&lt;/m:e&gt;&lt;/m:d&gt;&lt;m:r&gt;&lt;m:rPr&gt;&lt;m:sty m:val=&quot;p&quot;/&gt;&lt;/m:rPr&gt;&lt;w:rPr&gt;&lt;w:r:fFonts w:ascii=&quot;Cambria Math&quot; w:h-ansi=&quot;Cambria Math&quot;/&gt;&lt;wx:font wx:val=&quot;Cambria Math&quot;/&gt;&lt;w:sz-cs w:val=&quot;28&quot;/&gt;&lt;/w:rPr&gt;&lt;m:t&gt;=&lt;/m:t&gt;&lt;/m:r&gt;&lt;m:d&gt;&lt;m:dPr&gt;&lt;m:begChr m:val=&quot;[&quot;/&gt;&lt;m:endChr m:val=&quot;]&quot;/&gt;&lt;m:ctrlPr&gt;&lt;w:rPr&gt;&lt;w:rFonts w:ascii=&quot;Cambria Math&quot; w:h-ansi=&quot;Cambria Math&quot;/&gt;&lt;wx:font wx:val=&quot;Cambria Math&quot;/&gt;&lt;w:sz-cs w:val=&quot;28&quot;/&gt;&lt;/w:rPr&gt;&lt;/m:ctrlPr&gt;&lt;/m:dPr&gt;&lt;m:e&gt;&lt;m:m&gt;&lt;m:mPr&gt;&lt;m:mcs&gt;&lt;m:mc&gt;&lt;m:mcPr&gt;&lt;m:count m:val=&quot;3&quot;/&gt;&lt;m:mcJc m:val=&quot;center&quot;/&gt;&lt;/m:mcPr&gt;&lt;/m:mc&gt;&lt;/m:mcs&gt;&lt;m:ctrlPr&gt;&lt;w:rPr&gt;&lt;w:rFonts w:ascii=&quot;Cambria Math&quot; w:h-ansi=&quot;Cambria Math&quot;/&gt;&lt;wx:font wx:val=&quot;Cambria Math&quot;/&gt;&lt;w:sz-cs w:val=&quot;28&quot;/&gt;&lt;/w:rPr&gt;&lt;/m:ctrlPr&gt;&lt;/m:mPr&gt;&lt;m:m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gt;&lt;wx:font wx:val=&quot;Cambria Math&quot;/&gt;&lt;w:i/&gt;&lt;w:sz-cs w:val=&quot;28&quot;/&gt;&lt;/w:rPr&gt;&lt;m:t&gt;11&lt;/m:t&gt;&lt;/m:r&gt;&lt;/m:sub&gt;&lt;/m:sSub&gt;&lt;/m:e&gt;&lt;m:e&gt;&lt;m:r&gt;&lt;m:rPr&gt;&lt;m:sty m:val=&quot;p&quot;/&gt;&lt;/m:rPr&gt;&lt;w:rPr&gt;&lt;w:rFonts w:ascii=&quot;Cambria Math&quot; w:h-ansi=&quot;Cambria Math&quot;/&gt;&lt;wx:font wx:val=&quot;Cambria Math&quot;/&gt;&lt;w:sz-cs w:val=&quot;28&quot;/&gt;&lt;/w:rPr&gt;&lt;m:t&gt;?&lt;/m:t&gt;&lt;/m:r&gt;&lt;/m:e&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gt;&lt;wx:font wx:&lt;val=&quot;Cambria Math&quot;/&gt;&lt;w:i/&gt;&lt;w:sz-cs w:val=&quot;28&quot;/&gt;&lt;/w:rPr&gt;&lt;m:t&gt;1m&lt;/m:t&gt;&lt;/m:r&gt;&lt;/m:sub&gt;&lt;/m:sSub&gt;&lt;/m:e&gt;&lt;/m:mr&gt;&lt;m:mr&gt;&lt;m:e&gt;&lt;m:r&gt;&lt;m:rPr&gt;&lt;m:sty m:val=&quot;p&quot;/&gt;&lt;/m:rPr&gt;&lt;w:rPr&gt;&lt;w:rFonts w:ascii=&quot;Cambria Math&quot; w:h-ansi=&quot;Cambria Math&quot;/&gt;&lt;wx:font wx:val=&quot;Cambria Math&quot;/&gt;&lt;w:sz-cs w:val=&quot;28&quot;/&gt;&lt;/w:rPr&gt;&lt;m:t&gt;?&lt;/m:t&gt;&lt;/m:r&gt;&lt;/m:e&gt;&lt;m:e&gt;&lt;m:r&gt;&lt;m:rPr&gt;&lt;m:sty m:val=&quot;p&quot;/&gt;&lt;/m:rPr&gt;&lt;w:rPr&gt;&lt;w:rFonts w:ascii=&quot;Cambria Math&quot; w:h-ansi=&quot;Cambria Math&quot;/&gt;&lt;wx:font wx:val=&quot;Cambria Math&quot;/&gt;&lt;w:sz-cs w:val=&quot;28&quot;/&gt;&lt;/w:rPr&gt;&lt;m:t&gt;?&lt;/m:t&gt;&lt;/m:r&gt;&lt;/m:e&gt;&lt;m:e&gt;&lt;m:r&gt;&lt;m:rPr&gt;&lt;m:sty m:val=&quot;p&quot;/&gt;&lt;/m:rPr&gt;&lt;w:rPr&gt;&lt;w:rFonts w:ascii=&quot;Cambria Math&quot; w:h-ansi=&quot;Cambria Math&quot;/&gt;&lt;wx:font wx:val=&quot;Cambria Math&quot;/&gt;&lt;w:sz-cs w:val=&quot;28&quot;/&gt;&lt;/w:rPr&gt;&lt;m:t&gt;?&lt;/m:t&gt;&lt;/m:r&gt;&lt;/m:e&gt;&lt;/m:mr&gt;&lt;m:m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 w:hint=&quot;fareast&quot;/&gt;&lt;wx:font wx:val=&quot;Cambria Math&quot;/&gt;&lt;w:i/&gt;&lt;w:sz-cs w:val=&quot;28&quot;/&gt;&lt;/w:rPr&gt;&lt;m:t&gt;m&lt;/m:t&gt;&lt;/m:r&gt;&lt;m:r&gt;&lt;w:rPr&gt;&lt;w:rFonts w:ascii=&quot;Cambria M8ath&quot; w:h-ansi=&quot;Cambria Math&quot;/&gt;&lt;wx:font wx:val=&quot;Cambria Math&quot;/&gt;&lt;w:i/&gt;&lt;w:sz-cs w:val=&quot;28&quot;/&gt;&lt;/w:rPr&gt;&lt;m:t&gt;1&lt;/m:t&gt;&lt;/m:r&gt;&lt;/m:sub&gt;&lt;/m:sSub&gt;&lt;/m:e&gt;&lt;m:e&gt;&lt;m:r&gt;&lt;m:rPr&gt;&lt;m:sty m:val=&quot;p&quot;/&gt;&lt;/m:rPr&gt;&lt;w:rPr&gt;&lt;w:rFonts w:ascii=&quot;Cambria Math&quot; w:h-ansi=&quot;Cambria Math&quot;/&gt;&lt;wx:font wx:val=&quot;Cambria Math&quot;/&gt;&lt;w:sz-cs w:val=&quot;28&quot;/&gt;&lt;/w:rPr&gt;&lt;m:t&gt;?&lt;/m:t&gt;&lt;/m:r&gt;&lt;/m:e&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gt;&lt;wxm:font wx:val=&quot;Cambria Math&quot;/&gt;&lt;w:i/&gt;&lt;w:sz-cs w:val=&quot;28&quot;/&gt;&lt;/w:rPr&gt;&lt;m:t&gt;mm&lt;/m:t&gt;&lt;/m:r&gt;&lt;/m:sub&gt;&lt;/m:sSub&gt;&lt;/m:e&gt;&lt;/m:mr&gt;&lt;/m:m&gt;&lt;/m:e&gt;&lt;/m:d&gt;&lt;m:d&gt;&lt;m:dPr&gt;&lt;m:begChr m:val=&quot;[&quot;/&gt;&lt;m:endChr m:val=&quot;]&quot;/&gt;&lt;m:ctrlPr&gt;&lt;w:rPr&gt;&lt;w:rFonts w:ascii=&quot;Cambria Math&quot; w:h-ansi=&quot;Cambria Math&quot;/&gt;&lt;wx:font wx:val=&quot;Cambria Math&quot;/&gt;&lt;w:i/&gt;&lt;w:sz-cs w:val=&quot;28&quot;/&gt;&lt;/w:rPr&gt;&lt;/m:ctrlPr&gt;&lt;/m:dPr&gt;&lt;m:e&gt;&lt;m:eqArr&gt;&lt;m:eqArrPr&gt;&lt;m:ctrlPr&gt;&lt;w:rPr&gt;&lt;w:rFonts w:ascii=&quot;Cambria Math&quot; w:h-ansi=&quot;Cambria Math&quot;/&gt;&lt;wx:font wx:val=&quot;Cambria Math&quot;/&gt;&lt;w:i/&gt;&lt;w:sz-cs w:val=&quot;28&quot;/&gt;&lt;/w:rPr&gt;&lt;/m:ctrlPr&gt;&lt;/m:eqArrP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Q&lt;/m:t&gt;&lt;/m:r&gt;&lt;/m:e&gt;&lt;m:sub&gt;&lt;m:r&gt;&lt;w:rPr&gt;&lt;w:rFonts w:ascii=&quot;Cambria Math&quot; w:h-ansi=&quot;Cambria Math&quot;/&gt;&lt;wx:font wx:val=&quot;Cambria Math&quot;/&gt;&lt;w:i/&gt;&lt;w:sz-cs w:val=&quot;28&quot;/&gt;&lt;/w:rPr&gt;&lt;m:t&gt;1&lt;/m:t&gt;&lt;/m:r&gt;&lt;/m:sub&gt;&lt;/m:sSub&gt;&lt;/m:e&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Q&lt;/m:t&gt;&lt;/m:r&gt;&lt;/m:e&gt;&lt;m:sub&gt;&lt;m:r&gt;&lt;w:rPr&gt;&lt;w:rFonts w:ascii=&quot;Cambria Math&quot; w:h-ansi=&quot;Cambria Math&quot;/&gt;&lt;wx:font wx:val=&quot;Cambria Math&quot;/&gt;&lt;w:i/&gt;&lt;w:sz-cs w:val=&quot;28&quot;/&gt;&lt;/w:rPr&gt;&lt;m:t&gt;2&lt;/m:t&gt;&lt;/m:r&gt;&lt;/m:sub&gt;&lt;/m:sSub&gt;&lt;m:ctrlPr&gt;&lt;w:rPr&gt;&lt;w:rFonts w:ascii=&quot;Cambria Math&quot; w:fareast=&quot;Cambria Math&quot; w:h-ansi=&quot;Cambria Math&quot; w:cs=&quot;Cambria Math&quot;/&gt;&lt;wx:font wx:val=&quot;Cambria Math&quot;/&gt;&lt;w:i/&gt;&lt;w:sz-cs w:val=&quot;28&quot;/&gt;&lt;/w:rPr&gt;&lt;/m:ctrlPr&gt;&lt;/m:e&gt;&lt;m:e&gt;&lt;m:r&gt;&lt;w:rPr&gt;&lt;w:rFonts w:ascii=&quot;Cambria Math&quot; w:fareast=&quot;Cambria Math&quot; w:h-ansi=&quot;Cambria Math&quot; w:cs=&quot;Cambria Math&quot;/&gt;&lt;wx:font wx:val=&quot;Cambria Math&quot;/&gt;&lt;w:i/&gt;&lt;w:sz-cs w:val=&quot;28&quot;/&gt;&lt;/w:rPr&gt;&lt;m:t&gt;?&lt;/m:t&gt;&lt;/m:r&gt;&lt;m:ctrlPr&gt;&lt;w:rPr&gt;&lt;w:rFonts w:ascii=&quot;Cambria Math&quot; w:fareast=&quot;Cambria Math&quot; w:h-ansi=&quot;Cambria Math&quot; w:cs=&quot;Cambria Math&quot;/&gt;&lt;wx:font wx:val=&quot;Cambria Math&quot;/&gt;&lt;w:i/&gt;&lt;w:sz-cs w:val=&quot;28&quot;/&gt;&lt;/w:rPr&gt;&lt;/m:ctrlPr&gt;&lt;/m:e&gt;&lt;m:e&gt;&lt;m:sSub&gt;&lt;m:sSubPr&gt;&lt;m:ctrlPr&gt;&lt;w:rPr&gt;&lt;w:rFonts w:ascii=&quot;Cambria Math&quot; w:fareast=&quot;Cambria Math&quot; w:h-ansi=&quot;Cambria Math&quot; w:cs=&quot;Cambria Math&quot;/&gt;&lt;wx:font wx:val=&quot;Cambria Math&quot;/&gt;&lt;w:i/&gt;&lt;w:sz-cs w:val=&quot;28&quot;/&gt;&lt;/w:rPr&gt;&lt;/m:ctrlPr&gt;&lt;/m:sSubPr&gt;&lt;m:e&gt;&lt;m:r&gt;&lt;w:rPr&gt;&lt;w:rFonts w:ascii=&quot;Cambria Math&quot; w:fareast=&quot;Cambria Math&quot; w:h-ansi=&quot;Cambria Math&quot; w:cs=&quot;Cambria Math&quot;/&gt;&lt;wx:font wx:val=&quot;Cambria Math&quot;/&gt;&lt;w:i/&gt;&lt;w:sz-cs w:val=&quot;28&quot;/&gt;&lt;/w:rPr&gt;&lt;m:t&gt;Q&lt;/m:t&gt;&lt;/m:r&gt;&lt;/m:e&gt;&lt;m:sub&gt;&lt;m:r&gt;&lt;w:rPr&gt;&lt;w:rFonts w:ascii=&quot;Cambria Math&quot; w:fareast=&quot;宋体&quot; w:h-ansi=&quot;Cambria Math&quot; w:cs=&quot;Cambria Math&quot; w:hint=&quot;fareast&quot;/&gt;&lt;wx:font wx:&quot; val=&quot;Cambria Math&quot;/&gt;&lt;w:i/&gt;&lt;w:sz-cs w:val=&quot;28&quot;/&gt;&lt;/w:rPr&gt;&lt;m:t&gt;m&lt;/m:t&gt;&lt;/m:r&gt;&lt;/m:sub&gt;&lt;/m:sSub&gt;&lt;/m:e&gt;&lt;/m:eqArr&gt;&lt;/m:e&gt;&lt;/m: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37" chromakey="#FFFFFF" o:title=""/>
                  <o:lock v:ext="edit" aspectratio="t"/>
                  <w10:wrap type="none"/>
                  <w10:anchorlock/>
                </v:shape>
              </w:pict>
            </w:r>
            <w:r>
              <w:rPr>
                <w:rFonts w:hint="default"/>
                <w:color w:val="000000" w:themeColor="text1"/>
                <w:sz w:val="24"/>
                <w14:textFill>
                  <w14:solidFill>
                    <w14:schemeClr w14:val="tx1"/>
                  </w14:solidFill>
                </w14:textFill>
              </w:rPr>
              <w:instrText xml:space="preserve"> </w:instrText>
            </w:r>
            <w:r>
              <w:rPr>
                <w:rFonts w:hint="default"/>
                <w:color w:val="000000" w:themeColor="text1"/>
                <w:sz w:val="24"/>
                <w14:textFill>
                  <w14:solidFill>
                    <w14:schemeClr w14:val="tx1"/>
                  </w14:solidFill>
                </w14:textFill>
              </w:rPr>
              <w:fldChar w:fldCharType="separate"/>
            </w:r>
            <w:r>
              <w:rPr>
                <w:rFonts w:hint="default"/>
                <w:color w:val="000000" w:themeColor="text1"/>
                <w:position w:val="-54"/>
                <w:sz w:val="24"/>
                <w14:textFill>
                  <w14:solidFill>
                    <w14:schemeClr w14:val="tx1"/>
                  </w14:solidFill>
                </w14:textFill>
              </w:rPr>
              <w:pict>
                <v:shape id="_x0000_i1026" o:spt="75" type="#_x0000_t75" style="height:62.25pt;width:156.75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3D5185&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3D5185&quot; wsp:rsidP=&quot;003D5185&quot;&gt;&lt;w:pPr&gt;&lt;w:ind w:first-line=&quot;480&quot;/&gt;&lt;/w:pPr&gt;&lt;m:oMathPara&gt;&lt;m:oMath&gt;&lt;m:d&gt;&lt;m:dPr&gt;&lt;m:begChr m:val=&quot;[&quot;/&gt;&lt;m:endChr m:val=&quot;]&quot;/&gt;&lt;m:ctrlPr&gt;&lt;w:rPr&gt;&lt;w:rFonts w:ascii=&quot;Cambria Math&quot; w:h-ansi=&quot;Cambria Math&quot;/&gt;&lt;wx:font wx:val=&quot;Cambria Math&quot;/&gt;&lt;w:sz-cs w:val=&quot;28&quot;/&gt;&lt;/w:rPr&gt;&lt;/m:ctrlPr&gt;&lt;/m:dPr&gt;&lt;m:e&gt;&lt;m:eqArr&gt;&lt;m:eqArrPr&gt;&lt;m:ctrlPr&gt;&lt;w:rPr&gt;&lt;w:rFonts w:ascii=&quot;Cambria Math&quot; w:h-ansi=&quot;Cambria Math&quot;/&gt;&lt;wx:font wx:val=&quot;Cambria Math&quot;/&gt;&lt;w:i/&gt;&lt;w:sz-cs w:val=&quot;28&quot;/&gt;&lt;/w:rPr&gt;&lt;/m:ctrlPr&gt;&lt;/m:eqArrP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U&lt;/m:t&gt;&lt;/m:r&gt;&lt;/m:e&gt;&lt;m:sub&gt;&lt;m:r&gt;&lt;w:rPr&gt;&lt;w:rFonts w:ascii=&quot;Cambria Math&quot; w:h-ansi=&quot;Cambria Math&quot;/&gt;&lt;wx:font wx:val=&quot;Cambria Math&quot;/&gt;&lt;w:i/&gt;&lt;w:sz-cs w:val=&quot;28&quot;/&gt;&lt;/w:rPr&gt;&lt;m:t&gt;1&lt;/m:t&gt;&lt;/m:r&gt;&lt;/m:sub&gt;&lt;/m:sSub&gt;&lt;/m:e&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U&lt;/m:t&gt;&lt;/m:r&gt;&lt;/m:e&gt;&lt;m:sub&gt;&lt;m:r&gt;&lt;w:rPr&gt;&lt;w:rFonts w:ascii=&quot;Cambria Math&quot; w:h-ansi=&quot;Cambria Math&quot;/&gt;&lt;wx:font wx:val=&quot;Cambria Math&quot;/&gt;&lt;w:i/&gt;&lt;w:sz-cs w:val=&quot;28&quot;/&gt;&lt;/w:rPr&gt;&lt;m:t&gt;2&lt;/m:t&gt;&lt;/m:r&gt;&lt;/m:sub&gt;&lt;/m:sSub&gt;&lt;m:ctrlPr&gt;&lt;w:rPr&gt;&lt;w:rFonts w:ascii=&quot;Cambria Math&quot; w:fareast=&quot;Cambria Math&quot; w:h-ansi=&quot;Cambria Math&quot; w:cs=&quot;Cambria Math&quot;/&gt;&lt;wx:font wx:val=&quot;Cambria Math&quot;/&gt;&lt;w:i/&gt;&lt;w:sz-cs w:val=&quot;28&quot;/&gt;&lt;/w:rPr&gt;&lt;/m:ctrlPr&gt;&lt;/m:e&gt;&lt;m:e&gt;&lt;m:r&gt;&lt;w:rPr&gt;&lt;w:rFonts w:ascii=&quot;Cambria Math&quot; w:fareast=&quot;Cambria Math&quot; w:h-ansi=&quot;Cambria Math&quot; w:cs=&quot;Cambria Math&quot;/&gt;&lt;wx:font wx:val=&quot;Cambria Math&quot;/&gt;&lt;w:i/&gt;&lt;w:sz-cs w:val=&quot;28&quot;/&gt;&lt;/w:rPr&gt;&lt;m:t&gt;?&lt;/m:t&gt;&lt;/m:r&gt;&lt;m:ctrlPr&gt;&lt;w:rPr&gt;&lt;w:rFonts w:ascii=&quot;Cambria Math&quot; w:fareast=&quot;Cambria Math&quot; w:h-ansi=&quot;Cambria Math&quot; w:cs=&quot;Cambria Math&quot;/&gt;&lt;wx:font wx:val=&quot;Cambria Math&quot;/&gt;&lt;w:i/&gt;&lt;w:sz-cs w:val=&quot;28&quot;/&gt;&lt;/w:rPr&gt;&lt;/m:ctrlPr&gt;&lt;/m:e&gt;&lt;m:e&gt;&lt;m:sSub&gt;&lt;m:sSubPr&gt;&lt;m:ctrlPr&gt;&lt;w:rPr&gt;&lt;w:rFonts w:ascii=&quot;Cambria Math&quot; w:fareast=&quot;Cambria Math&quot; w:h-ansi=&quot;Cambria Math&quot; w:cs=&quot;Cambria Math&quot;/&gt;&lt;wx:font wx:val=&quot;Cambria Math&quot;/&gt;&lt;w:i/&gt;&lt;w:sz-cs w:val=&quot;28&quot;/&gt;&lt;/w:rPr&gt;&lt;/m:ctrlPr&gt;&lt;/m:sSubPr&gt;&lt;m:e&gt;&lt;m:r&gt;&lt;w:rPr&gt;&lt;w:rFonts w:ascii=&quot;Cambria Math&quot; w:fareast=&quot;Cambria Math&quot; w:h-ansi=&quot;Cambria Math&quot; w:cs=&quot;Cambria Math&quot;/&gt;&lt;wx:font wx:val=&quot;Cambria Math&quot;/&gt;&lt;w:i/&gt;&lt;w:sz-cs w:val=&quot;28&quot;/&gt;&lt;/w:rPr&gt;&lt;m:t&gt;U&lt;/m:t&gt;&lt;/m:r&gt;&lt;/m:e&gt;&lt;m:sub&gt;&lt;m:r&gt;&lt;w:rPr&gt;&lt;w:rFonts w:ascii=&quot;Cambria Math&quot; w:fareast=&quot;宋体&quot; w:h-ansi=&quot;Cambria Math&quot; w:cs=&quot;Cambria Math&quot; w:hint=&quot;fareast&quot;/&gt;&lt;wx:font wx:val=&quot;Cambria Math&quot;/&gt;&lt;w:i/&gt;&lt;w:sz-cs w:val=&quot;28&quot;/&gt;&lt;/w:rPr&gt;&lt;m:t&gt;m&lt;/m:t&gt;&lt;/m:r&gt;&lt;/m:sub&gt;&lt;/m:sSub&gt;&lt;/m:e&gt;&lt;/m:eqArr&gt;&lt;/m:e&gt;&lt;/m:d&gt;&lt;m:r&gt;&lt;m:rPr&gt;&lt;m:sty m:val=&quot;p&quot;/&gt;&lt;/m:rPr&gt;&lt;w:rPr&gt;&lt;w:r:fFonts w:ascii=&quot;Cambria Math&quot; w:h-ansi=&quot;Cambria Math&quot;/&gt;&lt;wx:font wx:val=&quot;Cambria Math&quot;/&gt;&lt;w:sz-cs w:val=&quot;28&quot;/&gt;&lt;/w:rPr&gt;&lt;m:t&gt;=&lt;/m:t&gt;&lt;/m:r&gt;&lt;m:d&gt;&lt;m:dPr&gt;&lt;m:begChr m:val=&quot;[&quot;/&gt;&lt;m:endChr m:val=&quot;]&quot;/&gt;&lt;m:ctrlPr&gt;&lt;w:rPr&gt;&lt;w:rFonts w:ascii=&quot;Cambria Math&quot; w:h-ansi=&quot;Cambria Math&quot;/&gt;&lt;wx:font wx:val=&quot;Cambria Math&quot;/&gt;&lt;w:sz-cs w:val=&quot;28&quot;/&gt;&lt;/w:rPr&gt;&lt;/m:ctrlPr&gt;&lt;/m:dPr&gt;&lt;m:e&gt;&lt;m:m&gt;&lt;m:mPr&gt;&lt;m:mcs&gt;&lt;m:mc&gt;&lt;m:mcPr&gt;&lt;m:count m:val=&quot;3&quot;/&gt;&lt;m:mcJc m:val=&quot;center&quot;/&gt;&lt;/m:mcPr&gt;&lt;/m:mc&gt;&lt;/m:mcs&gt;&lt;m:ctrlPr&gt;&lt;w:rPr&gt;&lt;w:rFonts w:ascii=&quot;Cambria Math&quot; w:h-ansi=&quot;Cambria Math&quot;/&gt;&lt;wx:font wx:val=&quot;Cambria Math&quot;/&gt;&lt;w:sz-cs w:val=&quot;28&quot;/&gt;&lt;/w:rPr&gt;&lt;/m:ctrlPr&gt;&lt;/m:mPr&gt;&lt;m:m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gt;&lt;wx:font wx:val=&quot;Cambria Math&quot;/&gt;&lt;w:i/&gt;&lt;w:sz-cs w:val=&quot;28&quot;/&gt;&lt;/w:rPr&gt;&lt;m:t&gt;11&lt;/m:t&gt;&lt;/m:r&gt;&lt;/m:sub&gt;&lt;/m:sSub&gt;&lt;/m:e&gt;&lt;m:e&gt;&lt;m:r&gt;&lt;m:rPr&gt;&lt;m:sty m:val=&quot;p&quot;/&gt;&lt;/m:rPr&gt;&lt;w:rPr&gt;&lt;w:rFonts w:ascii=&quot;Cambria Math&quot; w:h-ansi=&quot;Cambria Math&quot;/&gt;&lt;wx:font wx:val=&quot;Cambria Math&quot;/&gt;&lt;w:sz-cs w:val=&quot;28&quot;/&gt;&lt;/w:rPr&gt;&lt;m:t&gt;?&lt;/m:t&gt;&lt;/m:r&gt;&lt;/m:e&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gt;&lt;wx:font wx:&lt;val=&quot;Cambria Math&quot;/&gt;&lt;w:i/&gt;&lt;w:sz-cs w:val=&quot;28&quot;/&gt;&lt;/w:rPr&gt;&lt;m:t&gt;1m&lt;/m:t&gt;&lt;/m:r&gt;&lt;/m:sub&gt;&lt;/m:sSub&gt;&lt;/m:e&gt;&lt;/m:mr&gt;&lt;m:mr&gt;&lt;m:e&gt;&lt;m:r&gt;&lt;m:rPr&gt;&lt;m:sty m:val=&quot;p&quot;/&gt;&lt;/m:rPr&gt;&lt;w:rPr&gt;&lt;w:rFonts w:ascii=&quot;Cambria Math&quot; w:h-ansi=&quot;Cambria Math&quot;/&gt;&lt;wx:font wx:val=&quot;Cambria Math&quot;/&gt;&lt;w:sz-cs w:val=&quot;28&quot;/&gt;&lt;/w:rPr&gt;&lt;m:t&gt;?&lt;/m:t&gt;&lt;/m:r&gt;&lt;/m:e&gt;&lt;m:e&gt;&lt;m:r&gt;&lt;m:rPr&gt;&lt;m:sty m:val=&quot;p&quot;/&gt;&lt;/m:rPr&gt;&lt;w:rPr&gt;&lt;w:rFonts w:ascii=&quot;Cambria Math&quot; w:h-ansi=&quot;Cambria Math&quot;/&gt;&lt;wx:font wx:val=&quot;Cambria Math&quot;/&gt;&lt;w:sz-cs w:val=&quot;28&quot;/&gt;&lt;/w:rPr&gt;&lt;m:t&gt;?&lt;/m:t&gt;&lt;/m:r&gt;&lt;/m:e&gt;&lt;m:e&gt;&lt;m:r&gt;&lt;m:rPr&gt;&lt;m:sty m:val=&quot;p&quot;/&gt;&lt;/m:rPr&gt;&lt;w:rPr&gt;&lt;w:rFonts w:ascii=&quot;Cambria Math&quot; w:h-ansi=&quot;Cambria Math&quot;/&gt;&lt;wx:font wx:val=&quot;Cambria Math&quot;/&gt;&lt;w:sz-cs w:val=&quot;28&quot;/&gt;&lt;/w:rPr&gt;&lt;m:t&gt;?&lt;/m:t&gt;&lt;/m:r&gt;&lt;/m:e&gt;&lt;/m:mr&gt;&lt;m:m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 w:hint=&quot;fareast&quot;/&gt;&lt;wx:font wx:val=&quot;Cambria Math&quot;/&gt;&lt;w:i/&gt;&lt;w:sz-cs w:val=&quot;28&quot;/&gt;&lt;/w:rPr&gt;&lt;m:t&gt;m&lt;/m:t&gt;&lt;/m:r&gt;&lt;m:r&gt;&lt;w:rPr&gt;&lt;w:rFonts w:ascii=&quot;Cambria M8ath&quot; w:h-ansi=&quot;Cambria Math&quot;/&gt;&lt;wx:font wx:val=&quot;Cambria Math&quot;/&gt;&lt;w:i/&gt;&lt;w:sz-cs w:val=&quot;28&quot;/&gt;&lt;/w:rPr&gt;&lt;m:t&gt;1&lt;/m:t&gt;&lt;/m:r&gt;&lt;/m:sub&gt;&lt;/m:sSub&gt;&lt;/m:e&gt;&lt;m:e&gt;&lt;m:r&gt;&lt;m:rPr&gt;&lt;m:sty m:val=&quot;p&quot;/&gt;&lt;/m:rPr&gt;&lt;w:rPr&gt;&lt;w:rFonts w:ascii=&quot;Cambria Math&quot; w:h-ansi=&quot;Cambria Math&quot;/&gt;&lt;wx:font wx:val=&quot;Cambria Math&quot;/&gt;&lt;w:sz-cs w:val=&quot;28&quot;/&gt;&lt;/w:rPr&gt;&lt;m:t&gt;?&lt;/m:t&gt;&lt;/m:r&gt;&lt;/m:e&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gt;&lt;wxm:font wx:val=&quot;Cambria Math&quot;/&gt;&lt;w:i/&gt;&lt;w:sz-cs w:val=&quot;28&quot;/&gt;&lt;/w:rPr&gt;&lt;m:t&gt;mm&lt;/m:t&gt;&lt;/m:r&gt;&lt;/m:sub&gt;&lt;/m:sSub&gt;&lt;/m:e&gt;&lt;/m:mr&gt;&lt;/m:m&gt;&lt;/m:e&gt;&lt;/m:d&gt;&lt;m:d&gt;&lt;m:dPr&gt;&lt;m:begChr m:val=&quot;[&quot;/&gt;&lt;m:endChr m:val=&quot;]&quot;/&gt;&lt;m:ctrlPr&gt;&lt;w:rPr&gt;&lt;w:rFonts w:ascii=&quot;Cambria Math&quot; w:h-ansi=&quot;Cambria Math&quot;/&gt;&lt;wx:font wx:val=&quot;Cambria Math&quot;/&gt;&lt;w:i/&gt;&lt;w:sz-cs w:val=&quot;28&quot;/&gt;&lt;/w:rPr&gt;&lt;/m:ctrlPr&gt;&lt;/m:dPr&gt;&lt;m:e&gt;&lt;m:eqArr&gt;&lt;m:eqArrPr&gt;&lt;m:ctrlPr&gt;&lt;w:rPr&gt;&lt;w:rFonts w:ascii=&quot;Cambria Math&quot; w:h-ansi=&quot;Cambria Math&quot;/&gt;&lt;wx:font wx:val=&quot;Cambria Math&quot;/&gt;&lt;w:i/&gt;&lt;w:sz-cs w:val=&quot;28&quot;/&gt;&lt;/w:rPr&gt;&lt;/m:ctrlPr&gt;&lt;/m:eqArrP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Q&lt;/m:t&gt;&lt;/m:r&gt;&lt;/m:e&gt;&lt;m:sub&gt;&lt;m:r&gt;&lt;w:rPr&gt;&lt;w:rFonts w:ascii=&quot;Cambria Math&quot; w:h-ansi=&quot;Cambria Math&quot;/&gt;&lt;wx:font wx:val=&quot;Cambria Math&quot;/&gt;&lt;w:i/&gt;&lt;w:sz-cs w:val=&quot;28&quot;/&gt;&lt;/w:rPr&gt;&lt;m:t&gt;1&lt;/m:t&gt;&lt;/m:r&gt;&lt;/m:sub&gt;&lt;/m:sSub&gt;&lt;/m:e&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Q&lt;/m:t&gt;&lt;/m:r&gt;&lt;/m:e&gt;&lt;m:sub&gt;&lt;m:r&gt;&lt;w:rPr&gt;&lt;w:rFonts w:ascii=&quot;Cambria Math&quot; w:h-ansi=&quot;Cambria Math&quot;/&gt;&lt;wx:font wx:val=&quot;Cambria Math&quot;/&gt;&lt;w:i/&gt;&lt;w:sz-cs w:val=&quot;28&quot;/&gt;&lt;/w:rPr&gt;&lt;m:t&gt;2&lt;/m:t&gt;&lt;/m:r&gt;&lt;/m:sub&gt;&lt;/m:sSub&gt;&lt;m:ctrlPr&gt;&lt;w:rPr&gt;&lt;w:rFonts w:ascii=&quot;Cambria Math&quot; w:fareast=&quot;Cambria Math&quot; w:h-ansi=&quot;Cambria Math&quot; w:cs=&quot;Cambria Math&quot;/&gt;&lt;wx:font wx:val=&quot;Cambria Math&quot;/&gt;&lt;w:i/&gt;&lt;w:sz-cs w:val=&quot;28&quot;/&gt;&lt;/w:rPr&gt;&lt;/m:ctrlPr&gt;&lt;/m:e&gt;&lt;m:e&gt;&lt;m:r&gt;&lt;w:rPr&gt;&lt;w:rFonts w:ascii=&quot;Cambria Math&quot; w:fareast=&quot;Cambria Math&quot; w:h-ansi=&quot;Cambria Math&quot; w:cs=&quot;Cambria Math&quot;/&gt;&lt;wx:font wx:val=&quot;Cambria Math&quot;/&gt;&lt;w:i/&gt;&lt;w:sz-cs w:val=&quot;28&quot;/&gt;&lt;/w:rPr&gt;&lt;m:t&gt;?&lt;/m:t&gt;&lt;/m:r&gt;&lt;m:ctrlPr&gt;&lt;w:rPr&gt;&lt;w:rFonts w:ascii=&quot;Cambria Math&quot; w:fareast=&quot;Cambria Math&quot; w:h-ansi=&quot;Cambria Math&quot; w:cs=&quot;Cambria Math&quot;/&gt;&lt;wx:font wx:val=&quot;Cambria Math&quot;/&gt;&lt;w:i/&gt;&lt;w:sz-cs w:val=&quot;28&quot;/&gt;&lt;/w:rPr&gt;&lt;/m:ctrlPr&gt;&lt;/m:e&gt;&lt;m:e&gt;&lt;m:sSub&gt;&lt;m:sSubPr&gt;&lt;m:ctrlPr&gt;&lt;w:rPr&gt;&lt;w:rFonts w:ascii=&quot;Cambria Math&quot; w:fareast=&quot;Cambria Math&quot; w:h-ansi=&quot;Cambria Math&quot; w:cs=&quot;Cambria Math&quot;/&gt;&lt;wx:font wx:val=&quot;Cambria Math&quot;/&gt;&lt;w:i/&gt;&lt;w:sz-cs w:val=&quot;28&quot;/&gt;&lt;/w:rPr&gt;&lt;/m:ctrlPr&gt;&lt;/m:sSubPr&gt;&lt;m:e&gt;&lt;m:r&gt;&lt;w:rPr&gt;&lt;w:rFonts w:ascii=&quot;Cambria Math&quot; w:fareast=&quot;Cambria Math&quot; w:h-ansi=&quot;Cambria Math&quot; w:cs=&quot;Cambria Math&quot;/&gt;&lt;wx:font wx:val=&quot;Cambria Math&quot;/&gt;&lt;w:i/&gt;&lt;w:sz-cs w:val=&quot;28&quot;/&gt;&lt;/w:rPr&gt;&lt;m:t&gt;Q&lt;/m:t&gt;&lt;/m:r&gt;&lt;/m:e&gt;&lt;m:sub&gt;&lt;m:r&gt;&lt;w:rPr&gt;&lt;w:rFonts w:ascii=&quot;Cambria Math&quot; w:fareast=&quot;宋体&quot; w:h-ansi=&quot;Cambria Math&quot; w:cs=&quot;Cambria Math&quot; w:hint=&quot;fareast&quot;/&gt;&lt;wx:font wx:&quot; val=&quot;Cambria Math&quot;/&gt;&lt;w:i/&gt;&lt;w:sz-cs w:val=&quot;28&quot;/&gt;&lt;/w:rPr&gt;&lt;m:t&gt;m&lt;/m:t&gt;&lt;/m:r&gt;&lt;/m:sub&gt;&lt;/m:sSub&gt;&lt;/m:e&gt;&lt;/m:eqArr&gt;&lt;/m:e&gt;&lt;/m: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37" chromakey="#FFFFFF" o:title=""/>
                  <o:lock v:ext="edit" aspectratio="t"/>
                  <w10:wrap type="none"/>
                  <w10:anchorlock/>
                </v:shape>
              </w:pict>
            </w:r>
            <w:r>
              <w:rPr>
                <w:rFonts w:hint="default"/>
                <w:color w:val="000000" w:themeColor="text1"/>
                <w:sz w:val="24"/>
                <w14:textFill>
                  <w14:solidFill>
                    <w14:schemeClr w14:val="tx1"/>
                  </w14:solidFill>
                </w14:textFill>
              </w:rPr>
              <w:fldChar w:fldCharType="end"/>
            </w:r>
            <w:r>
              <w:rPr>
                <w:rFonts w:hint="default"/>
                <w:color w:val="000000" w:themeColor="text1"/>
                <w:sz w:val="24"/>
                <w14:textFill>
                  <w14:solidFill>
                    <w14:schemeClr w14:val="tx1"/>
                  </w14:solidFill>
                </w14:textFill>
              </w:rPr>
              <w:t xml:space="preserve">   (式1)</w:t>
            </w:r>
          </w:p>
          <w:p w14:paraId="468C303D">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式中：U-各导线对地电压的单列矩阵；</w:t>
            </w:r>
          </w:p>
          <w:p w14:paraId="0D1FCBDB">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Q-各导线上等效电荷的单列矩阵；</w:t>
            </w:r>
          </w:p>
          <w:p w14:paraId="1CC526B7">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λ-各导线的电位系数组成的m阶方阵（m为导线数目）。</w:t>
            </w:r>
          </w:p>
          <w:p w14:paraId="7B101144">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[U]矩阵可由输电线的电压和相位确定，从环境保护考虑以额定电压的1.05倍作为计算电压。</w:t>
            </w:r>
          </w:p>
          <w:p w14:paraId="1B82EF3A">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[λ]矩阵由镜像原理求得。电位系数λ按下式计算：</w:t>
            </w:r>
          </w:p>
          <w:p w14:paraId="3E606AB0">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m:oMathPara>
              <m:oMath>
                <m:sSub>
                  <m:sSubPr>
                    <m:ctrlPr>
                      <w:rPr>
                        <w:rFonts w:hint="default" w:ascii="Cambria Math" w:hAnsi="Cambria Math"/>
                        <w:color w:val="000000" w:themeColor="text1"/>
                        <w:sz w:val="24"/>
                        <w14:textFill>
                          <w14:solidFill>
                            <w14:schemeClr w14:val="tx1"/>
                          </w14:solidFill>
                        </w14:textFill>
                      </w:rPr>
                    </m:ctrlPr>
                  </m:sSubPr>
                  <m:e>
                    <m:r>
                      <m:rPr/>
                      <w:rPr>
                        <w:rFonts w:hint="default" w:ascii="Cambria Math" w:hAnsi="Cambria Math"/>
                        <w:color w:val="000000" w:themeColor="text1"/>
                        <w:sz w:val="24"/>
                        <w14:textFill>
                          <w14:solidFill>
                            <w14:schemeClr w14:val="tx1"/>
                          </w14:solidFill>
                        </w14:textFill>
                      </w:rPr>
                      <m:t>λ</m:t>
                    </m:r>
                    <m:ctrlPr>
                      <w:rPr>
                        <w:rFonts w:hint="default" w:ascii="Cambria Math" w:hAnsi="Cambria Math"/>
                        <w:color w:val="000000" w:themeColor="text1"/>
                        <w:sz w:val="24"/>
                        <w14:textFill>
                          <w14:solidFill>
                            <w14:schemeClr w14:val="tx1"/>
                          </w14:solidFill>
                        </w14:textFill>
                      </w:rPr>
                    </m:ctrlPr>
                  </m:e>
                  <m:sub>
                    <m:r>
                      <m:rPr/>
                      <w:rPr>
                        <w:rFonts w:hint="default" w:ascii="Cambria Math" w:hAnsi="Cambria Math"/>
                        <w:color w:val="000000" w:themeColor="text1"/>
                        <w:sz w:val="24"/>
                        <w14:textFill>
                          <w14:solidFill>
                            <w14:schemeClr w14:val="tx1"/>
                          </w14:solidFill>
                        </w14:textFill>
                      </w:rPr>
                      <m:t>ii</m:t>
                    </m:r>
                    <m:ctrlPr>
                      <w:rPr>
                        <w:rFonts w:hint="default" w:ascii="Cambria Math" w:hAnsi="Cambria Math"/>
                        <w:color w:val="000000" w:themeColor="text1"/>
                        <w:sz w:val="24"/>
                        <w14:textFill>
                          <w14:solidFill>
                            <w14:schemeClr w14:val="tx1"/>
                          </w14:solidFill>
                        </w14:textFill>
                      </w:rPr>
                    </m:ctrlPr>
                  </m:sub>
                </m:sSub>
                <m:r>
                  <m:rPr/>
                  <w:rPr>
                    <w:rFonts w:hint="eastAsia" w:ascii="Cambria Math" w:hAnsi="Cambria Math"/>
                    <w:color w:val="000000" w:themeColor="text1"/>
                    <w:sz w:val="24"/>
                    <w14:textFill>
                      <w14:solidFill>
                        <w14:schemeClr w14:val="tx1"/>
                      </w14:solidFill>
                    </w14:textFill>
                  </w:rPr>
                  <m:t>=</m:t>
                </m:r>
                <m:f>
                  <m:fPr>
                    <m:ctrlPr>
                      <w:rPr>
                        <w:rFonts w:hint="default" w:ascii="Cambria Math" w:hAnsi="Cambria Math"/>
                        <w:i/>
                        <w:color w:val="000000" w:themeColor="text1"/>
                        <w:sz w:val="24"/>
                        <w14:textFill>
                          <w14:solidFill>
                            <w14:schemeClr w14:val="tx1"/>
                          </w14:solidFill>
                        </w14:textFill>
                      </w:rPr>
                    </m:ctrlPr>
                  </m:fPr>
                  <m:num>
                    <m:r>
                      <m:rPr/>
                      <w:rPr>
                        <w:rFonts w:hint="default" w:ascii="Cambria Math" w:hAnsi="Cambria Math"/>
                        <w:color w:val="000000" w:themeColor="text1"/>
                        <w:sz w:val="24"/>
                        <w14:textFill>
                          <w14:solidFill>
                            <w14:schemeClr w14:val="tx1"/>
                          </w14:solidFill>
                        </w14:textFill>
                      </w:rPr>
                      <m:t>1</m:t>
                    </m:r>
                    <m:ctrlPr>
                      <w:rPr>
                        <w:rFonts w:hint="default" w:ascii="Cambria Math" w:hAnsi="Cambria Math"/>
                        <w:color w:val="000000" w:themeColor="text1"/>
                        <w:sz w:val="24"/>
                        <w14:textFill>
                          <w14:solidFill>
                            <w14:schemeClr w14:val="tx1"/>
                          </w14:solidFill>
                        </w14:textFill>
                      </w:rPr>
                    </m:ctrlPr>
                  </m:num>
                  <m:den>
                    <m:r>
                      <m:rPr/>
                      <w:rPr>
                        <w:rFonts w:hint="default" w:ascii="Cambria Math" w:hAnsi="Cambria Math"/>
                        <w:color w:val="000000" w:themeColor="text1"/>
                        <w:sz w:val="24"/>
                        <w14:textFill>
                          <w14:solidFill>
                            <w14:schemeClr w14:val="tx1"/>
                          </w14:solidFill>
                        </w14:textFill>
                      </w:rPr>
                      <m:t>2π</m:t>
                    </m:r>
                    <m:sSub>
                      <m:sSubPr>
                        <m:ctrlPr>
                          <w:rPr>
                            <w:rFonts w:hint="default" w:ascii="Cambria Math" w:hAnsi="Cambria Math"/>
                            <w:i/>
                            <w:color w:val="000000" w:themeColor="text1"/>
                            <w:sz w:val="24"/>
                            <w14:textFill>
                              <w14:solidFill>
                                <w14:schemeClr w14:val="tx1"/>
                              </w14:solidFill>
                            </w14:textFill>
                          </w:rPr>
                        </m:ctrlPr>
                      </m:sSubPr>
                      <m:e>
                        <m:r>
                          <m:rPr/>
                          <w:rPr>
                            <w:rFonts w:hint="default" w:ascii="Cambria Math" w:hAnsi="Cambria Math"/>
                            <w:color w:val="000000" w:themeColor="text1"/>
                            <w:sz w:val="24"/>
                            <w14:textFill>
                              <w14:solidFill>
                                <w14:schemeClr w14:val="tx1"/>
                              </w14:solidFill>
                            </w14:textFill>
                          </w:rPr>
                          <m:t>ε</m:t>
                        </m:r>
                        <m:ctrlPr>
                          <w:rPr>
                            <w:rFonts w:hint="default" w:ascii="Cambria Math" w:hAnsi="Cambria Math"/>
                            <w:color w:val="000000" w:themeColor="text1"/>
                            <w:sz w:val="24"/>
                            <w14:textFill>
                              <w14:solidFill>
                                <w14:schemeClr w14:val="tx1"/>
                              </w14:solidFill>
                            </w14:textFill>
                          </w:rPr>
                        </m:ctrlPr>
                      </m:e>
                      <m:sub>
                        <m:r>
                          <m:rPr/>
                          <w:rPr>
                            <w:rFonts w:hint="default" w:ascii="Cambria Math" w:hAnsi="Cambria Math"/>
                            <w:color w:val="000000" w:themeColor="text1"/>
                            <w:sz w:val="24"/>
                            <w14:textFill>
                              <w14:solidFill>
                                <w14:schemeClr w14:val="tx1"/>
                              </w14:solidFill>
                            </w14:textFill>
                          </w:rPr>
                          <m:t>0</m:t>
                        </m:r>
                        <m:ctrlPr>
                          <w:rPr>
                            <w:rFonts w:hint="default" w:ascii="Cambria Math" w:hAnsi="Cambria Math"/>
                            <w:color w:val="000000" w:themeColor="text1"/>
                            <w:sz w:val="24"/>
                            <w14:textFill>
                              <w14:solidFill>
                                <w14:schemeClr w14:val="tx1"/>
                              </w14:solidFill>
                            </w14:textFill>
                          </w:rPr>
                        </m:ctrlPr>
                      </m:sub>
                    </m:sSub>
                    <m:ctrlPr>
                      <w:rPr>
                        <w:rFonts w:hint="default" w:ascii="Cambria Math" w:hAnsi="Cambria Math"/>
                        <w:i/>
                        <w:color w:val="000000" w:themeColor="text1"/>
                        <w:sz w:val="24"/>
                        <w14:textFill>
                          <w14:solidFill>
                            <w14:schemeClr w14:val="tx1"/>
                          </w14:solidFill>
                        </w14:textFill>
                      </w:rPr>
                    </m:ctrlPr>
                  </m:den>
                </m:f>
                <m:r>
                  <m:rPr/>
                  <w:rPr>
                    <w:rFonts w:hint="default" w:ascii="Cambria Math" w:hAnsi="Cambria Math"/>
                    <w:color w:val="000000" w:themeColor="text1"/>
                    <w:sz w:val="24"/>
                    <w14:textFill>
                      <w14:solidFill>
                        <w14:schemeClr w14:val="tx1"/>
                      </w14:solidFill>
                    </w14:textFill>
                  </w:rPr>
                  <m:t>ln</m:t>
                </m:r>
                <m:f>
                  <m:fPr>
                    <m:ctrlPr>
                      <w:rPr>
                        <w:rFonts w:hint="default" w:ascii="Cambria Math" w:hAnsi="Cambria Math"/>
                        <w:i/>
                        <w:color w:val="000000" w:themeColor="text1"/>
                        <w:sz w:val="24"/>
                        <w14:textFill>
                          <w14:solidFill>
                            <w14:schemeClr w14:val="tx1"/>
                          </w14:solidFill>
                        </w14:textFill>
                      </w:rPr>
                    </m:ctrlPr>
                  </m:fPr>
                  <m:num>
                    <m:r>
                      <m:rPr/>
                      <w:rPr>
                        <w:rFonts w:hint="default" w:ascii="Cambria Math" w:hAnsi="Cambria Math"/>
                        <w:color w:val="000000" w:themeColor="text1"/>
                        <w:sz w:val="24"/>
                        <w14:textFill>
                          <w14:solidFill>
                            <w14:schemeClr w14:val="tx1"/>
                          </w14:solidFill>
                        </w14:textFill>
                      </w:rPr>
                      <m:t>2</m:t>
                    </m:r>
                    <m:sSub>
                      <m:sSubPr>
                        <m:ctrlPr>
                          <w:rPr>
                            <w:rFonts w:hint="default" w:ascii="Cambria Math" w:hAnsi="Cambria Math"/>
                            <w:i/>
                            <w:color w:val="000000" w:themeColor="text1"/>
                            <w:sz w:val="24"/>
                            <w14:textFill>
                              <w14:solidFill>
                                <w14:schemeClr w14:val="tx1"/>
                              </w14:solidFill>
                            </w14:textFill>
                          </w:rPr>
                        </m:ctrlPr>
                      </m:sSubPr>
                      <m:e>
                        <m:r>
                          <m:rPr/>
                          <w:rPr>
                            <w:rFonts w:hint="default" w:ascii="Cambria Math" w:hAnsi="Cambria Math"/>
                            <w:color w:val="000000" w:themeColor="text1"/>
                            <w:sz w:val="24"/>
                            <w14:textFill>
                              <w14:solidFill>
                                <w14:schemeClr w14:val="tx1"/>
                              </w14:solidFill>
                            </w14:textFill>
                          </w:rPr>
                          <m:t>ℎ</m:t>
                        </m:r>
                        <m:ctrlPr>
                          <w:rPr>
                            <w:rFonts w:hint="default" w:ascii="Cambria Math" w:hAnsi="Cambria Math"/>
                            <w:color w:val="000000" w:themeColor="text1"/>
                            <w:sz w:val="24"/>
                            <w14:textFill>
                              <w14:solidFill>
                                <w14:schemeClr w14:val="tx1"/>
                              </w14:solidFill>
                            </w14:textFill>
                          </w:rPr>
                        </m:ctrlPr>
                      </m:e>
                      <m:sub>
                        <m:r>
                          <m:rPr/>
                          <w:rPr>
                            <w:rFonts w:hint="default" w:ascii="Cambria Math" w:hAnsi="Cambria Math"/>
                            <w:color w:val="000000" w:themeColor="text1"/>
                            <w:sz w:val="24"/>
                            <w14:textFill>
                              <w14:solidFill>
                                <w14:schemeClr w14:val="tx1"/>
                              </w14:solidFill>
                            </w14:textFill>
                          </w:rPr>
                          <m:t>i</m:t>
                        </m:r>
                        <m:ctrlPr>
                          <w:rPr>
                            <w:rFonts w:hint="default" w:ascii="Cambria Math" w:hAnsi="Cambria Math"/>
                            <w:color w:val="000000" w:themeColor="text1"/>
                            <w:sz w:val="24"/>
                            <w14:textFill>
                              <w14:solidFill>
                                <w14:schemeClr w14:val="tx1"/>
                              </w14:solidFill>
                            </w14:textFill>
                          </w:rPr>
                        </m:ctrlPr>
                      </m:sub>
                    </m:sSub>
                    <m:ctrlPr>
                      <w:rPr>
                        <w:rFonts w:hint="default" w:ascii="Cambria Math" w:hAnsi="Cambria Math"/>
                        <w:i/>
                        <w:color w:val="000000" w:themeColor="text1"/>
                        <w:sz w:val="24"/>
                        <w14:textFill>
                          <w14:solidFill>
                            <w14:schemeClr w14:val="tx1"/>
                          </w14:solidFill>
                        </w14:textFill>
                      </w:rPr>
                    </m:ctrlPr>
                  </m:num>
                  <m:den>
                    <m:sSub>
                      <m:sSubPr>
                        <m:ctrlPr>
                          <w:rPr>
                            <w:rFonts w:hint="default" w:ascii="Cambria Math" w:hAnsi="Cambria Math"/>
                            <w:i/>
                            <w:color w:val="000000" w:themeColor="text1"/>
                            <w:sz w:val="24"/>
                            <w14:textFill>
                              <w14:solidFill>
                                <w14:schemeClr w14:val="tx1"/>
                              </w14:solidFill>
                            </w14:textFill>
                          </w:rPr>
                        </m:ctrlPr>
                      </m:sSubPr>
                      <m:e>
                        <m:r>
                          <m:rPr/>
                          <w:rPr>
                            <w:rFonts w:hint="default" w:ascii="Cambria Math" w:hAnsi="Cambria Math"/>
                            <w:color w:val="000000" w:themeColor="text1"/>
                            <w:sz w:val="24"/>
                            <w14:textFill>
                              <w14:solidFill>
                                <w14:schemeClr w14:val="tx1"/>
                              </w14:solidFill>
                            </w14:textFill>
                          </w:rPr>
                          <m:t>R</m:t>
                        </m:r>
                        <m:ctrlPr>
                          <w:rPr>
                            <w:rFonts w:hint="default" w:ascii="Cambria Math" w:hAnsi="Cambria Math"/>
                            <w:color w:val="000000" w:themeColor="text1"/>
                            <w:sz w:val="24"/>
                            <w14:textFill>
                              <w14:solidFill>
                                <w14:schemeClr w14:val="tx1"/>
                              </w14:solidFill>
                            </w14:textFill>
                          </w:rPr>
                        </m:ctrlPr>
                      </m:e>
                      <m:sub>
                        <m:r>
                          <m:rPr/>
                          <w:rPr>
                            <w:rFonts w:hint="default" w:ascii="Cambria Math" w:hAnsi="Cambria Math"/>
                            <w:color w:val="000000" w:themeColor="text1"/>
                            <w:sz w:val="24"/>
                            <w14:textFill>
                              <w14:solidFill>
                                <w14:schemeClr w14:val="tx1"/>
                              </w14:solidFill>
                            </w14:textFill>
                          </w:rPr>
                          <m:t>i</m:t>
                        </m:r>
                        <m:ctrlPr>
                          <w:rPr>
                            <w:rFonts w:hint="default" w:ascii="Cambria Math" w:hAnsi="Cambria Math"/>
                            <w:color w:val="000000" w:themeColor="text1"/>
                            <w:sz w:val="24"/>
                            <w14:textFill>
                              <w14:solidFill>
                                <w14:schemeClr w14:val="tx1"/>
                              </w14:solidFill>
                            </w14:textFill>
                          </w:rPr>
                        </m:ctrlPr>
                      </m:sub>
                    </m:sSub>
                    <m:ctrlPr>
                      <w:rPr>
                        <w:rFonts w:hint="default" w:ascii="Cambria Math" w:hAnsi="Cambria Math"/>
                        <w:i/>
                        <w:color w:val="000000" w:themeColor="text1"/>
                        <w:sz w:val="24"/>
                        <w14:textFill>
                          <w14:solidFill>
                            <w14:schemeClr w14:val="tx1"/>
                          </w14:solidFill>
                        </w14:textFill>
                      </w:rPr>
                    </m:ctrlPr>
                  </m:den>
                </m:f>
              </m:oMath>
            </m:oMathPara>
          </w:p>
          <w:p w14:paraId="0CB6631D">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fldChar w:fldCharType="begin"/>
            </w:r>
            <w:r>
              <w:rPr>
                <w:rFonts w:hint="default"/>
                <w:color w:val="000000" w:themeColor="text1"/>
                <w:sz w:val="24"/>
                <w14:textFill>
                  <w14:solidFill>
                    <w14:schemeClr w14:val="tx1"/>
                  </w14:solidFill>
                </w14:textFill>
              </w:rPr>
              <w:instrText xml:space="preserve"> QUOTE </w:instrText>
            </w:r>
            <w:r>
              <w:rPr>
                <w:rFonts w:hint="default"/>
                <w:color w:val="000000" w:themeColor="text1"/>
                <w:position w:val="-38"/>
                <w:sz w:val="24"/>
                <w14:textFill>
                  <w14:solidFill>
                    <w14:schemeClr w14:val="tx1"/>
                  </w14:solidFill>
                </w14:textFill>
              </w:rPr>
              <w:pict>
                <v:shape id="_x0000_i1027" o:spt="75" type="#_x0000_t75" style="height:46.5pt;width:84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37723&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637723&quot; wsp:rsidP=&quot;00637723&quot;&gt;&lt;w:pPr&gt;&lt;w:ind w:first-line=&quot;480&quot;/&gt;&lt;/w:pPr&gt;&lt;m:oMathPara&gt;&lt;m:oMath&gt;&lt;m:sSub&gt;&lt;m:sSubPr&gt;&lt;m:ctrlPr&gt;&lt;w:rPr&gt;&lt;w:rFonts w:ascii=&quot;Cambria Math&quot; w:h-ansi=&quot;Cambria Math&quot;/&gt;&lt;wx:font wx:val=&quot;Cambria Math&quot;/&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gt;&lt;wx:font wx:val=&quot;Cambria Math&quot;/&gt;&lt;w:i/&gt;&lt;w:sz-cs w:val=&quot;28&quot;/&gt;&lt;/w:rPr&gt;&lt;m:t&gt;ij&lt;/m:t&gt;&lt;/m:r&gt;&lt;/m:sub&gt;&lt;/m:sSub&gt;&lt;m:r&gt;&lt;w:rPr&gt;&lt;w:rFwonts w:ascii=&quot;Cambria Math&quot; w:h-ansi=&quot;Cambria Math&quot; w:hint=&quot;fareast&quot;/&gt;&lt;wx:font wx:val=&quot;Cambria Math&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1&lt;/m:t&gt;&lt;/m:r&gt;&lt;/m:num&gt;&lt;m:den&gt;&lt;m:r&gt;&lt;w:rPr&gt;&lt;w:rFonts w:ascii=&quot;Cambria Math&quot; w:h-ansi=&quot;Cambria Math&quot;/&gt;&lt;wx:font wx:val=&quot;Cambria Math&quot;/&gt;&lt;w:i/&gt;&lt;w:sz-cs w:val=&quot;28&quot;/&gt;&lt;/w:rPr&gt;&lt;m:t&gt;2π&lt;/m:t&gt;&lt;/m:r&gt;&lt;m:sSub&gt;&lt;m:sSubPr&gt;&lt;m:ctrlPr&gt;&lt;w:rPr&gt;&lt;w:rFonts w:ascii=&quot;Cambria Math&quot; w:h-ansi=&quot;Cambria Math&quot;/&gt;&lt;wx:font w&gt;x:val=&quot;Cambria Math&quot;/&gt;&lt;w:i/&gt;&lt;w:sz-cs w:val=&quot;28&quot;/&gt;&lt;/w:rPr&gt;&lt;/m:ctrlPr&gt;&lt;/m:sSubPr&gt;&lt;m:e&gt;&lt;m:r&gt;&lt;w:rPr&gt;&lt;w:rFonts w:ascii=&quot;Cambria Math&quot; w:h-ansi=&quot;Cambria Math&quot;/&gt;&lt;wx:font wx:val=&quot;Cambria Math&quot;/&gt;&lt;w:i/&gt;&lt;w:sz-cs w:val=&quot;28&quot;/&gt;&lt;/w:rPr&gt;&lt;m:t&gt;ε&lt;/m:t&gt;&lt;/m:r&gt;&lt;/m:e&gt;&lt;m:sub&gt;&lt;m&gt;:r&gt;&lt;w:rPr&gt;&lt;w:rFonts w:ascii=&quot;Cambria Math&quot; w:h-ansi=&quot;Cambria Math&quot;/&gt;&lt;wx:font wx:val=&quot;Cambria Math&quot;/&gt;&lt;w:i/&gt;&lt;w:sz-cs w:val=&quot;28&quot;/&gt;&lt;/w:rPr&gt;&lt;m:t&gt;0&lt;/m:t&gt;&lt;/m:r&gt;&lt;/m:sub&gt;&lt;/m:sSub&gt;&lt;/m:den&gt;&lt;/m:f&gt;&lt;m:r&gt;&lt;w:rPr&gt;&lt;w:rFonts w:ascii=&quot;Cambria Math&quot; w:h-ansi=&quot;Cambria Math&quot;/&gt;&lt;wx:font wx:val=&quot;Cambria Math&quot;/&gt;&lt;w:i/&gt;&lt;w:sz-cs w:val=&quot;28&quot;/&gt;&lt;/w:rPr&gt;&lt;m:t&gt;ln&lt;/m:t&gt;&lt;/m:r&gt;&lt;m:f&gt;&lt;m:fPr&gt;&lt;m:ctrlPr&gt;&lt;w:rPr&gt;&lt;w:rFonts w:ascii=&quot;Cambria Math&quot; w:h-ansi=&quot;Cambria Math&quot;/&gt;&lt;wx:font wx:val=&quot;Cambria Math&quot;/&gt;&lt;w:i/&gt;&lt;w:sz-cs w:val=&quot;28&quot;/&gt;&lt;/w:rPr&gt;&lt;/m:ctrlPr&gt;&lt;/m:fPr&gt;&lt;m:num&gt;&lt;m:sSub&gt;&lt;m:sSubPr&gt;&lt;m:ctrlPr&gt;&lt;w:rPr&gt;&lt;w:rFonts w:ascii=&quot;Cambria Math&quot; w:h-ansi=&quot;Cambria Math&quot;/&gt;&lt;wx:font wx:val=&quot;Cambria Math&quot;/&gt;&lt;w:i/&gt;&lt;w:sz-cs w:val=&quot;28&quot;/&gt;&lt;/w:rPr&gt;&lt;/m:ctrlPr&gt;&lt;/m:sSubPr&gt;&lt;m:e/&gt;&lt;m:sub&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j&lt;/m:t&gt;&lt;/m:r&gt;&lt;/m:sub&gt;&lt;m:sup&gt;&lt;m:r&gt;&lt;w:rPr&gt;&lt;w:rFonts w:ascii=&quot;Cambria Math&quot; w:h-ansi=&quot;Cambria Math&quot; w:hint=&quot;fareast&quot;/&gt;&lt;wx:font wx:val=&quot;宋体&quot;/&gt;&lt;w:i/&gt;&lt;w:sz-cs w:val=&quot;28&quot;/&gt;&lt;/w:rPr&gt;&lt;m:t&gt;‘&lt;/m:t&gt;&lt;/m:r&gt;&lt;/m:sup&gt;&lt;/m:sSubSup&gt;&lt;/m:sub&gt;&lt;/m:sSub&gt;&lt;/m:num&gt;&lt;m:den&gt;&lt;m:sSub&gt;&lt;m:sSubPr&gt;&lt;m:ctrlPr&gt;&lt;w:rPr&gt;&lt;w:rFonts w:ascii=&quot;Cambria Mw:a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L&lt;/m:t&gt;&lt;/m:r&gt;&lt;/m:e&gt;&lt;m:sub&gt;&lt;m:eqArr&gt;&lt;m:eqArrPr&gt;&lt;m:ctrlPr&gt;&lt;w:rPr&gt;&lt;w:rFonts w:ascii=&quot;Cambria Math&quot; w:h-ansi=&quot;Cambria Math&quot;/&gt;&lt;wx:font wx:val=&quot;Cambria Math&quot;/&gt;&lt;w:i/&gt;&lt;w:sz-cs w:val=&quot;28&quot;/&gt;&lt;/w:rPr&gt;&lt;/m:ctrlPr&gt;&lt;/m:eqArrPr&gt;&lt;m:e&gt;&lt;m:r&gt;&lt;w:rPr&gt;&lt;w:rFonts w:ascii=&quot;Cambria Math&quot; w:h-ansi=&quot;Cambria Math&quot;/&gt;&lt;wx:font wx:val=&quot;Cambria Math&quot;/&gt;&lt;w:i/&gt;&lt;w:sz-cs w:val=&quot;28&quot;/&gt;&lt;/w:rPr&gt;&lt;m:t&gt;ij&lt;/m:t&gt;&lt;/m:r&gt;&lt;/m:e&gt;&lt;m:e/&gt;&lt;/m:eqAr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38" chromakey="#FFFFFF" o:title=""/>
                  <o:lock v:ext="edit" aspectratio="t"/>
                  <w10:wrap type="none"/>
                  <w10:anchorlock/>
                </v:shape>
              </w:pict>
            </w:r>
            <w:r>
              <w:rPr>
                <w:rFonts w:hint="default"/>
                <w:color w:val="000000" w:themeColor="text1"/>
                <w:sz w:val="24"/>
                <w14:textFill>
                  <w14:solidFill>
                    <w14:schemeClr w14:val="tx1"/>
                  </w14:solidFill>
                </w14:textFill>
              </w:rPr>
              <w:instrText xml:space="preserve"> </w:instrText>
            </w:r>
            <w:r>
              <w:rPr>
                <w:rFonts w:hint="default"/>
                <w:color w:val="000000" w:themeColor="text1"/>
                <w:sz w:val="24"/>
                <w14:textFill>
                  <w14:solidFill>
                    <w14:schemeClr w14:val="tx1"/>
                  </w14:solidFill>
                </w14:textFill>
              </w:rPr>
              <w:fldChar w:fldCharType="separate"/>
            </w:r>
            <w:r>
              <w:rPr>
                <w:rFonts w:hint="default"/>
                <w:color w:val="000000" w:themeColor="text1"/>
                <w:position w:val="-38"/>
                <w:sz w:val="24"/>
                <w14:textFill>
                  <w14:solidFill>
                    <w14:schemeClr w14:val="tx1"/>
                  </w14:solidFill>
                </w14:textFill>
              </w:rPr>
              <w:pict>
                <v:shape id="_x0000_i1028" o:spt="75" type="#_x0000_t75" style="height:46.5pt;width:84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37723&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637723&quot; wsp:rsidP=&quot;00637723&quot;&gt;&lt;w:pPr&gt;&lt;w:ind w:first-line=&quot;480&quot;/&gt;&lt;/w:pPr&gt;&lt;m:oMathPara&gt;&lt;m:oMath&gt;&lt;m:sSub&gt;&lt;m:sSubPr&gt;&lt;m:ctrlPr&gt;&lt;w:rPr&gt;&lt;w:rFonts w:ascii=&quot;Cambria Math&quot; w:h-ansi=&quot;Cambria Math&quot;/&gt;&lt;wx:font wx:val=&quot;Cambria Math&quot;/&gt;&lt;w:sz-cs w:val=&quot;28&quot;/&gt;&lt;/w:rPr&gt;&lt;/m:ctrlPr&gt;&lt;/m:sSubPr&gt;&lt;m:e&gt;&lt;m:r&gt;&lt;w:rPr&gt;&lt;w:rFonts w:ascii=&quot;Cambria Math&quot; w:h-ansi=&quot;Cambria Math&quot;/&gt;&lt;wx:font wx:val=&quot;Cambria Math&quot;/&gt;&lt;w:i/&gt;&lt;w:sz-cs w:val=&quot;28&quot;/&gt;&lt;/w:rPr&gt;&lt;m:t&gt;λ&lt;/m:t&gt;&lt;/m:r&gt;&lt;/m:e&gt;&lt;m:sub&gt;&lt;m:r&gt;&lt;w:rPr&gt;&lt;w:rFonts w:ascii=&quot;Cambria Math&quot; w:h-ansi=&quot;Cambria Math&quot;/&gt;&lt;wx:font wx:val=&quot;Cambria Math&quot;/&gt;&lt;w:i/&gt;&lt;w:sz-cs w:val=&quot;28&quot;/&gt;&lt;/w:rPr&gt;&lt;m:t&gt;ij&lt;/m:t&gt;&lt;/m:r&gt;&lt;/m:sub&gt;&lt;/m:sSub&gt;&lt;m:r&gt;&lt;w:rPr&gt;&lt;w:rFwonts w:ascii=&quot;Cambria Math&quot; w:h-ansi=&quot;Cambria Math&quot; w:hint=&quot;fareast&quot;/&gt;&lt;wx:font wx:val=&quot;Cambria Math&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1&lt;/m:t&gt;&lt;/m:r&gt;&lt;/m:num&gt;&lt;m:den&gt;&lt;m:r&gt;&lt;w:rPr&gt;&lt;w:rFonts w:ascii=&quot;Cambria Math&quot; w:h-ansi=&quot;Cambria Math&quot;/&gt;&lt;wx:font wx:val=&quot;Cambria Math&quot;/&gt;&lt;w:i/&gt;&lt;w:sz-cs w:val=&quot;28&quot;/&gt;&lt;/w:rPr&gt;&lt;m:t&gt;2π&lt;/m:t&gt;&lt;/m:r&gt;&lt;m:sSub&gt;&lt;m:sSubPr&gt;&lt;m:ctrlPr&gt;&lt;w:rPr&gt;&lt;w:rFonts w:ascii=&quot;Cambria Math&quot; w:h-ansi=&quot;Cambria Math&quot;/&gt;&lt;wx:font w&gt;x:val=&quot;Cambria Math&quot;/&gt;&lt;w:i/&gt;&lt;w:sz-cs w:val=&quot;28&quot;/&gt;&lt;/w:rPr&gt;&lt;/m:ctrlPr&gt;&lt;/m:sSubPr&gt;&lt;m:e&gt;&lt;m:r&gt;&lt;w:rPr&gt;&lt;w:rFonts w:ascii=&quot;Cambria Math&quot; w:h-ansi=&quot;Cambria Math&quot;/&gt;&lt;wx:font wx:val=&quot;Cambria Math&quot;/&gt;&lt;w:i/&gt;&lt;w:sz-cs w:val=&quot;28&quot;/&gt;&lt;/w:rPr&gt;&lt;m:t&gt;ε&lt;/m:t&gt;&lt;/m:r&gt;&lt;/m:e&gt;&lt;m:sub&gt;&lt;m&gt;:r&gt;&lt;w:rPr&gt;&lt;w:rFonts w:ascii=&quot;Cambria Math&quot; w:h-ansi=&quot;Cambria Math&quot;/&gt;&lt;wx:font wx:val=&quot;Cambria Math&quot;/&gt;&lt;w:i/&gt;&lt;w:sz-cs w:val=&quot;28&quot;/&gt;&lt;/w:rPr&gt;&lt;m:t&gt;0&lt;/m:t&gt;&lt;/m:r&gt;&lt;/m:sub&gt;&lt;/m:sSub&gt;&lt;/m:den&gt;&lt;/m:f&gt;&lt;m:r&gt;&lt;w:rPr&gt;&lt;w:rFonts w:ascii=&quot;Cambria Math&quot; w:h-ansi=&quot;Cambria Math&quot;/&gt;&lt;wx:font wx:val=&quot;Cambria Math&quot;/&gt;&lt;w:i/&gt;&lt;w:sz-cs w:val=&quot;28&quot;/&gt;&lt;/w:rPr&gt;&lt;m:t&gt;ln&lt;/m:t&gt;&lt;/m:r&gt;&lt;m:f&gt;&lt;m:fPr&gt;&lt;m:ctrlPr&gt;&lt;w:rPr&gt;&lt;w:rFonts w:ascii=&quot;Cambria Math&quot; w:h-ansi=&quot;Cambria Math&quot;/&gt;&lt;wx:font wx:val=&quot;Cambria Math&quot;/&gt;&lt;w:i/&gt;&lt;w:sz-cs w:val=&quot;28&quot;/&gt;&lt;/w:rPr&gt;&lt;/m:ctrlPr&gt;&lt;/m:fPr&gt;&lt;m:num&gt;&lt;m:sSub&gt;&lt;m:sSubPr&gt;&lt;m:ctrlPr&gt;&lt;w:rPr&gt;&lt;w:rFonts w:ascii=&quot;Cambria Math&quot; w:h-ansi=&quot;Cambria Math&quot;/&gt;&lt;wx:font wx:val=&quot;Cambria Math&quot;/&gt;&lt;w:i/&gt;&lt;w:sz-cs w:val=&quot;28&quot;/&gt;&lt;/w:rPr&gt;&lt;/m:ctrlPr&gt;&lt;/m:sSubPr&gt;&lt;m:e/&gt;&lt;m:sub&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j&lt;/m:t&gt;&lt;/m:r&gt;&lt;/m:sub&gt;&lt;m:sup&gt;&lt;m:r&gt;&lt;w:rPr&gt;&lt;w:rFonts w:ascii=&quot;Cambria Math&quot; w:h-ansi=&quot;Cambria Math&quot; w:hint=&quot;fareast&quot;/&gt;&lt;wx:font wx:val=&quot;宋体&quot;/&gt;&lt;w:i/&gt;&lt;w:sz-cs w:val=&quot;28&quot;/&gt;&lt;/w:rPr&gt;&lt;m:t&gt;‘&lt;/m:t&gt;&lt;/m:r&gt;&lt;/m:sup&gt;&lt;/m:sSubSup&gt;&lt;/m:sub&gt;&lt;/m:sSub&gt;&lt;/m:num&gt;&lt;m:den&gt;&lt;m:sSub&gt;&lt;m:sSubPr&gt;&lt;m:ctrlPr&gt;&lt;w:rPr&gt;&lt;w:rFonts w:ascii=&quot;Cambria Mw:a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L&lt;/m:t&gt;&lt;/m:r&gt;&lt;/m:e&gt;&lt;m:sub&gt;&lt;m:eqArr&gt;&lt;m:eqArrPr&gt;&lt;m:ctrlPr&gt;&lt;w:rPr&gt;&lt;w:rFonts w:ascii=&quot;Cambria Math&quot; w:h-ansi=&quot;Cambria Math&quot;/&gt;&lt;wx:font wx:val=&quot;Cambria Math&quot;/&gt;&lt;w:i/&gt;&lt;w:sz-cs w:val=&quot;28&quot;/&gt;&lt;/w:rPr&gt;&lt;/m:ctrlPr&gt;&lt;/m:eqArrPr&gt;&lt;m:e&gt;&lt;m:r&gt;&lt;w:rPr&gt;&lt;w:rFonts w:ascii=&quot;Cambria Math&quot; w:h-ansi=&quot;Cambria Math&quot;/&gt;&lt;wx:font wx:val=&quot;Cambria Math&quot;/&gt;&lt;w:i/&gt;&lt;w:sz-cs w:val=&quot;28&quot;/&gt;&lt;/w:rPr&gt;&lt;m:t&gt;ij&lt;/m:t&gt;&lt;/m:r&gt;&lt;/m:e&gt;&lt;m:e/&gt;&lt;/m:eqAr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38" chromakey="#FFFFFF" o:title=""/>
                  <o:lock v:ext="edit" aspectratio="t"/>
                  <w10:wrap type="none"/>
                  <w10:anchorlock/>
                </v:shape>
              </w:pict>
            </w:r>
            <w:r>
              <w:rPr>
                <w:rFonts w:hint="default"/>
                <w:color w:val="000000" w:themeColor="text1"/>
                <w:sz w:val="24"/>
                <w14:textFill>
                  <w14:solidFill>
                    <w14:schemeClr w14:val="tx1"/>
                  </w14:solidFill>
                </w14:textFill>
              </w:rPr>
              <w:fldChar w:fldCharType="end"/>
            </w:r>
            <w:r>
              <w:rPr>
                <w:rFonts w:hint="default"/>
                <w:color w:val="000000" w:themeColor="text1"/>
                <w:sz w:val="24"/>
                <w14:textFill>
                  <w14:solidFill>
                    <w14:schemeClr w14:val="tx1"/>
                  </w14:solidFill>
                </w14:textFill>
              </w:rPr>
              <w:t xml:space="preserve">   （式2）</w:t>
            </w:r>
          </w:p>
          <w:p w14:paraId="4840B249">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m:oMathPara>
              <m:oMath>
                <m:sSub>
                  <m:sSubPr>
                    <m:ctrlPr>
                      <w:rPr>
                        <w:rFonts w:hint="default" w:ascii="Cambria Math" w:hAnsi="Cambria Math"/>
                        <w:color w:val="000000" w:themeColor="text1"/>
                        <w:sz w:val="24"/>
                        <w14:textFill>
                          <w14:solidFill>
                            <w14:schemeClr w14:val="tx1"/>
                          </w14:solidFill>
                        </w14:textFill>
                      </w:rPr>
                    </m:ctrlPr>
                  </m:sSubPr>
                  <m:e>
                    <m:r>
                      <m:rPr/>
                      <w:rPr>
                        <w:rFonts w:hint="default" w:ascii="Cambria Math" w:hAnsi="Cambria Math"/>
                        <w:color w:val="000000" w:themeColor="text1"/>
                        <w:sz w:val="24"/>
                        <w14:textFill>
                          <w14:solidFill>
                            <w14:schemeClr w14:val="tx1"/>
                          </w14:solidFill>
                        </w14:textFill>
                      </w:rPr>
                      <m:t>λ</m:t>
                    </m:r>
                    <m:ctrlPr>
                      <w:rPr>
                        <w:rFonts w:hint="default" w:ascii="Cambria Math" w:hAnsi="Cambria Math"/>
                        <w:color w:val="000000" w:themeColor="text1"/>
                        <w:sz w:val="24"/>
                        <w14:textFill>
                          <w14:solidFill>
                            <w14:schemeClr w14:val="tx1"/>
                          </w14:solidFill>
                        </w14:textFill>
                      </w:rPr>
                    </m:ctrlPr>
                  </m:e>
                  <m:sub>
                    <m:r>
                      <m:rPr/>
                      <w:rPr>
                        <w:rFonts w:hint="default" w:ascii="Cambria Math" w:hAnsi="Cambria Math"/>
                        <w:color w:val="000000" w:themeColor="text1"/>
                        <w:sz w:val="24"/>
                        <w14:textFill>
                          <w14:solidFill>
                            <w14:schemeClr w14:val="tx1"/>
                          </w14:solidFill>
                        </w14:textFill>
                      </w:rPr>
                      <m:t>ii</m:t>
                    </m:r>
                    <m:ctrlPr>
                      <w:rPr>
                        <w:rFonts w:hint="default" w:ascii="Cambria Math" w:hAnsi="Cambria Math"/>
                        <w:color w:val="000000" w:themeColor="text1"/>
                        <w:sz w:val="24"/>
                        <w14:textFill>
                          <w14:solidFill>
                            <w14:schemeClr w14:val="tx1"/>
                          </w14:solidFill>
                        </w14:textFill>
                      </w:rPr>
                    </m:ctrlPr>
                  </m:sub>
                </m:sSub>
                <m:r>
                  <m:rPr/>
                  <w:rPr>
                    <w:rFonts w:hint="eastAsia" w:ascii="Cambria Math" w:hAnsi="Cambria Math"/>
                    <w:color w:val="000000" w:themeColor="text1"/>
                    <w:sz w:val="24"/>
                    <w14:textFill>
                      <w14:solidFill>
                        <w14:schemeClr w14:val="tx1"/>
                      </w14:solidFill>
                    </w14:textFill>
                  </w:rPr>
                  <m:t>=</m:t>
                </m:r>
                <m:sSub>
                  <m:sSubPr>
                    <m:ctrlPr>
                      <w:rPr>
                        <w:rFonts w:hint="default" w:ascii="Cambria Math" w:hAnsi="Cambria Math"/>
                        <w:color w:val="000000" w:themeColor="text1"/>
                        <w:sz w:val="24"/>
                        <w14:textFill>
                          <w14:solidFill>
                            <w14:schemeClr w14:val="tx1"/>
                          </w14:solidFill>
                        </w14:textFill>
                      </w:rPr>
                    </m:ctrlPr>
                  </m:sSubPr>
                  <m:e>
                    <m:r>
                      <m:rPr/>
                      <w:rPr>
                        <w:rFonts w:hint="default" w:ascii="Cambria Math" w:hAnsi="Cambria Math"/>
                        <w:color w:val="000000" w:themeColor="text1"/>
                        <w:sz w:val="24"/>
                        <w14:textFill>
                          <w14:solidFill>
                            <w14:schemeClr w14:val="tx1"/>
                          </w14:solidFill>
                        </w14:textFill>
                      </w:rPr>
                      <m:t>λ</m:t>
                    </m:r>
                    <m:ctrlPr>
                      <w:rPr>
                        <w:rFonts w:hint="default" w:ascii="Cambria Math" w:hAnsi="Cambria Math"/>
                        <w:color w:val="000000" w:themeColor="text1"/>
                        <w:sz w:val="24"/>
                        <w14:textFill>
                          <w14:solidFill>
                            <w14:schemeClr w14:val="tx1"/>
                          </w14:solidFill>
                        </w14:textFill>
                      </w:rPr>
                    </m:ctrlPr>
                  </m:e>
                  <m:sub>
                    <m:r>
                      <m:rPr/>
                      <w:rPr>
                        <w:rFonts w:hint="default" w:ascii="Cambria Math" w:hAnsi="Cambria Math"/>
                        <w:color w:val="000000" w:themeColor="text1"/>
                        <w:sz w:val="24"/>
                        <w14:textFill>
                          <w14:solidFill>
                            <w14:schemeClr w14:val="tx1"/>
                          </w14:solidFill>
                        </w14:textFill>
                      </w:rPr>
                      <m:t>ij</m:t>
                    </m:r>
                    <m:ctrlPr>
                      <w:rPr>
                        <w:rFonts w:hint="default" w:ascii="Cambria Math" w:hAnsi="Cambria Math"/>
                        <w:color w:val="000000" w:themeColor="text1"/>
                        <w:sz w:val="24"/>
                        <w14:textFill>
                          <w14:solidFill>
                            <w14:schemeClr w14:val="tx1"/>
                          </w14:solidFill>
                        </w14:textFill>
                      </w:rPr>
                    </m:ctrlPr>
                  </m:sub>
                </m:sSub>
              </m:oMath>
            </m:oMathPara>
          </w:p>
          <w:p w14:paraId="522512A4">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式中：ε</w:t>
            </w:r>
            <w:r>
              <w:rPr>
                <w:rFonts w:hint="default"/>
                <w:color w:val="000000" w:themeColor="text1"/>
                <w:sz w:val="24"/>
                <w:vertAlign w:val="subscript"/>
                <w14:textFill>
                  <w14:solidFill>
                    <w14:schemeClr w14:val="tx1"/>
                  </w14:solidFill>
                </w14:textFill>
              </w:rPr>
              <w:t>o</w:t>
            </w:r>
            <w:r>
              <w:rPr>
                <w:rFonts w:hint="default"/>
                <w:color w:val="000000" w:themeColor="text1"/>
                <w:sz w:val="24"/>
                <w14:textFill>
                  <w14:solidFill>
                    <w14:schemeClr w14:val="tx1"/>
                  </w14:solidFill>
                </w14:textFill>
              </w:rPr>
              <w:t>-空气介电常数；</w:t>
            </w:r>
          </w:p>
          <w:p w14:paraId="229B6D39">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L</w:t>
            </w:r>
            <w:r>
              <w:rPr>
                <w:rFonts w:hint="default"/>
                <w:color w:val="000000" w:themeColor="text1"/>
                <w:sz w:val="24"/>
                <w:vertAlign w:val="subscript"/>
                <w14:textFill>
                  <w14:solidFill>
                    <w14:schemeClr w14:val="tx1"/>
                  </w14:solidFill>
                </w14:textFill>
              </w:rPr>
              <w:t>ij</w:t>
            </w:r>
            <w:r>
              <w:rPr>
                <w:rFonts w:hint="default"/>
                <w:color w:val="000000" w:themeColor="text1"/>
                <w:sz w:val="24"/>
                <w14:textFill>
                  <w14:solidFill>
                    <w14:schemeClr w14:val="tx1"/>
                  </w14:solidFill>
                </w14:textFill>
              </w:rPr>
              <w:t>-第i根导线与第j根导线的距离；</w:t>
            </w:r>
          </w:p>
          <w:p w14:paraId="11F772B5">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L</w:t>
            </w:r>
            <w:r>
              <w:rPr>
                <w:rFonts w:hint="default"/>
                <w:color w:val="000000" w:themeColor="text1"/>
                <w:sz w:val="24"/>
                <w:vertAlign w:val="subscript"/>
                <w14:textFill>
                  <w14:solidFill>
                    <w14:schemeClr w14:val="tx1"/>
                  </w14:solidFill>
                </w14:textFill>
              </w:rPr>
              <w:t>ij</w:t>
            </w:r>
            <w:r>
              <w:rPr>
                <w:rFonts w:hint="default"/>
                <w:color w:val="000000" w:themeColor="text1"/>
                <w:sz w:val="24"/>
                <w14:textFill>
                  <w14:solidFill>
                    <w14:schemeClr w14:val="tx1"/>
                  </w14:solidFill>
                </w14:textFill>
              </w:rPr>
              <w:t>-第i根导线与第j根导线的镜像导线的距离；</w:t>
            </w:r>
          </w:p>
          <w:p w14:paraId="48E0B844">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h</w:t>
            </w:r>
            <w:r>
              <w:rPr>
                <w:rFonts w:hint="default"/>
                <w:color w:val="000000" w:themeColor="text1"/>
                <w:sz w:val="24"/>
                <w:vertAlign w:val="subscript"/>
                <w14:textFill>
                  <w14:solidFill>
                    <w14:schemeClr w14:val="tx1"/>
                  </w14:solidFill>
                </w14:textFill>
              </w:rPr>
              <w:t>i</w:t>
            </w:r>
            <w:r>
              <w:rPr>
                <w:rFonts w:hint="default"/>
                <w:color w:val="000000" w:themeColor="text1"/>
                <w:sz w:val="24"/>
                <w14:textFill>
                  <w14:solidFill>
                    <w14:schemeClr w14:val="tx1"/>
                  </w14:solidFill>
                </w14:textFill>
              </w:rPr>
              <w:t>-第i根导线离地高度；</w:t>
            </w:r>
          </w:p>
          <w:p w14:paraId="4AF0961E">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R</w:t>
            </w:r>
            <w:r>
              <w:rPr>
                <w:rFonts w:hint="default"/>
                <w:color w:val="000000" w:themeColor="text1"/>
                <w:sz w:val="24"/>
                <w:vertAlign w:val="subscript"/>
                <w14:textFill>
                  <w14:solidFill>
                    <w14:schemeClr w14:val="tx1"/>
                  </w14:solidFill>
                </w14:textFill>
              </w:rPr>
              <w:t>i</w:t>
            </w:r>
            <w:r>
              <w:rPr>
                <w:rFonts w:hint="default"/>
                <w:color w:val="000000" w:themeColor="text1"/>
                <w:sz w:val="24"/>
                <w14:textFill>
                  <w14:solidFill>
                    <w14:schemeClr w14:val="tx1"/>
                  </w14:solidFill>
                </w14:textFill>
              </w:rPr>
              <w:t>-导线半径；</w:t>
            </w:r>
          </w:p>
          <w:p w14:paraId="1B573A32">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fldChar w:fldCharType="begin"/>
            </w:r>
            <w:r>
              <w:rPr>
                <w:rFonts w:hint="default"/>
                <w:color w:val="000000" w:themeColor="text1"/>
                <w:sz w:val="24"/>
                <w14:textFill>
                  <w14:solidFill>
                    <w14:schemeClr w14:val="tx1"/>
                  </w14:solidFill>
                </w14:textFill>
              </w:rPr>
              <w:instrText xml:space="preserve"> QUOTE </w:instrText>
            </w:r>
            <w:r>
              <w:rPr>
                <w:rFonts w:hint="default"/>
                <w:color w:val="000000" w:themeColor="text1"/>
                <w:position w:val="-23"/>
                <w:sz w:val="24"/>
                <w14:textFill>
                  <w14:solidFill>
                    <w14:schemeClr w14:val="tx1"/>
                  </w14:solidFill>
                </w14:textFill>
              </w:rPr>
              <w:pict>
                <v:shape id="_x0000_i1029" o:spt="75" type="#_x0000_t75" style="height:31.5pt;width:54.75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46913&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346913&quot; wsp:rsidP=&quot;00346913&quot;&gt;&lt;w:pPr&gt;&lt;w:ind w:first-line=&quot;480&quot;/&gt;&lt;/w:pPr&gt;&lt;m:oMathPara&gt;&lt;m:oMath&gt;&lt;m:sSub&gt;&lt;m:sSubPr&gt;&lt;m:ctrlPr&gt;&lt;w:rPr&gt;&lt;w:rFonts w:ascii=&quot;Cambria Math&quot; w:h-ansi=&quot;Cambria Math&quot;/&gt;&lt;wx:font wx:val=&quot;Cambria Math&quot;/&gt;&lt;w:sz-cs w:val=&quot;28&quot;/&gt;&lt;/w:rPr&gt;&lt;/m:ctrlPr&gt;&lt;/m:sSubPr&gt;&lt;m:e&gt;&lt;m:r&gt;&lt;w:rPr&gt;&lt;w:rFonts w:ascii=&quot;Cambria Math&quot; w:h-ansi=&quot;Cambria Math&quot;/&gt;&lt;wx:font wx:val=&quot;Cambria Math&quot;/&gt;&lt;w:i/&gt;&lt;w:sz-cs w:val=&quot;28&quot;/&gt;&lt;/w:rPr&gt;&lt;m:t&gt;R&lt;/m:t&gt;&lt;/m:r&gt;&lt;/m:e&gt;&lt;m:sub&gt;&lt;m:r&gt;&lt;w:rPr&gt;&lt;w:rFonts w:ascii=&quot;Cambria Math&quot; w:h-ansi=&quot;Cambria Math&quot;/&gt;&lt;wx:font wx:val=&quot;Cambria Math&quot;/&gt;&lt;w:i/&gt;&lt;w:sz-cs w:val=&quot;28&quot;/&gt;&lt;/w:rPr&gt;&lt;m:t&gt;I&lt;/m:t&gt;&lt;/m:r&gt;&lt;/m:sub&gt;&lt;/m:sSub&gt;&lt;m:r&gt;&lt;w:rPr&gt;&lt;w:rFonts w:ascii=&quot;Cambria Math&quot; w:h-ansi=&quot;Cambria Math&quot;/&gt;&lt;wx:font wx:val=&quot;Cambria Math&quot;/&gt;&lt;w:i/&gt;&lt;w:sz-cs w:val=&quot;28&quot;/&gt;&lt;/w:rPr&gt;&lt;m:t&gt;=R&lt;/m:t&gt;&lt;/m:r&gt;&lt;m:rad&gt;&lt;m:radPr&gt;&lt;m:degHide m:val=&quot;1&quot;/&gt;&lt;m:ctrlPr&gt;&lt;w:rPr&gt;&lt;w:rFonts w:ascii=&quot;Cambria Math&quot; w:h-ansi=&quot;Cambria Math&quot;/&gt;&lt;wx:font wx:val=&quot;Cambria Math&quot;/&gt;&lt;w:i/&gt;&lt;w:sz-cs w:val=&quot;28&quot;/&gt;&lt;/w:rPr&gt;&lt;/m:ctrlPr&gt;&lt;/m:radPr&gt;&lt;m:deg/&gt;&lt;m:e&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nr&lt;/m:t&gt;&lt;/m:r&gt;&lt;/m:num&gt;&lt;m:den&gt;&lt;m:r&gt;&lt;w:rPr&gt;&lt;w:rFonts w:ascii=&quot;Cambria Math&quot; w:h-ansi=&quot;Cambria Math&quot;/&gt;&lt;wx:font wx:val=&quot;Cambria Math&quot;/&gt;&lt;w:i/&gt;&lt;w:sz-cs w:val=&quot;28&quot;/&gt;&lt;/w:rPr&gt;&lt;m:t&gt;R&lt;/m:t&gt;&lt;/m:r&gt;&lt;/m:den&gt;&lt;/m:f&gt;&lt;/m:e&gt;&lt;/m:ra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39" chromakey="#FFFFFF" o:title=""/>
                  <o:lock v:ext="edit" aspectratio="t"/>
                  <w10:wrap type="none"/>
                  <w10:anchorlock/>
                </v:shape>
              </w:pict>
            </w:r>
            <w:r>
              <w:rPr>
                <w:rFonts w:hint="default"/>
                <w:color w:val="000000" w:themeColor="text1"/>
                <w:sz w:val="24"/>
                <w14:textFill>
                  <w14:solidFill>
                    <w14:schemeClr w14:val="tx1"/>
                  </w14:solidFill>
                </w14:textFill>
              </w:rPr>
              <w:instrText xml:space="preserve"> </w:instrText>
            </w:r>
            <w:r>
              <w:rPr>
                <w:rFonts w:hint="default"/>
                <w:color w:val="000000" w:themeColor="text1"/>
                <w:sz w:val="24"/>
                <w14:textFill>
                  <w14:solidFill>
                    <w14:schemeClr w14:val="tx1"/>
                  </w14:solidFill>
                </w14:textFill>
              </w:rPr>
              <w:fldChar w:fldCharType="separate"/>
            </w:r>
            <w:r>
              <w:rPr>
                <w:rFonts w:hint="default"/>
                <w:color w:val="000000" w:themeColor="text1"/>
                <w:position w:val="-23"/>
                <w:sz w:val="24"/>
                <w14:textFill>
                  <w14:solidFill>
                    <w14:schemeClr w14:val="tx1"/>
                  </w14:solidFill>
                </w14:textFill>
              </w:rPr>
              <w:pict>
                <v:shape id="_x0000_i1030" o:spt="75" type="#_x0000_t75" style="height:31.5pt;width:54.75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46913&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346913&quot; wsp:rsidP=&quot;00346913&quot;&gt;&lt;w:pPr&gt;&lt;w:ind w:first-line=&quot;480&quot;/&gt;&lt;/w:pPr&gt;&lt;m:oMathPara&gt;&lt;m:oMath&gt;&lt;m:sSub&gt;&lt;m:sSubPr&gt;&lt;m:ctrlPr&gt;&lt;w:rPr&gt;&lt;w:rFonts w:ascii=&quot;Cambria Math&quot; w:h-ansi=&quot;Cambria Math&quot;/&gt;&lt;wx:font wx:val=&quot;Cambria Math&quot;/&gt;&lt;w:sz-cs w:val=&quot;28&quot;/&gt;&lt;/w:rPr&gt;&lt;/m:ctrlPr&gt;&lt;/m:sSubPr&gt;&lt;m:e&gt;&lt;m:r&gt;&lt;w:rPr&gt;&lt;w:rFonts w:ascii=&quot;Cambria Math&quot; w:h-ansi=&quot;Cambria Math&quot;/&gt;&lt;wx:font wx:val=&quot;Cambria Math&quot;/&gt;&lt;w:i/&gt;&lt;w:sz-cs w:val=&quot;28&quot;/&gt;&lt;/w:rPr&gt;&lt;m:t&gt;R&lt;/m:t&gt;&lt;/m:r&gt;&lt;/m:e&gt;&lt;m:sub&gt;&lt;m:r&gt;&lt;w:rPr&gt;&lt;w:rFonts w:ascii=&quot;Cambria Math&quot; w:h-ansi=&quot;Cambria Math&quot;/&gt;&lt;wx:font wx:val=&quot;Cambria Math&quot;/&gt;&lt;w:i/&gt;&lt;w:sz-cs w:val=&quot;28&quot;/&gt;&lt;/w:rPr&gt;&lt;m:t&gt;I&lt;/m:t&gt;&lt;/m:r&gt;&lt;/m:sub&gt;&lt;/m:sSub&gt;&lt;m:r&gt;&lt;w:rPr&gt;&lt;w:rFonts w:ascii=&quot;Cambria Math&quot; w:h-ansi=&quot;Cambria Math&quot;/&gt;&lt;wx:font wx:val=&quot;Cambria Math&quot;/&gt;&lt;w:i/&gt;&lt;w:sz-cs w:val=&quot;28&quot;/&gt;&lt;/w:rPr&gt;&lt;m:t&gt;=R&lt;/m:t&gt;&lt;/m:r&gt;&lt;m:rad&gt;&lt;m:radPr&gt;&lt;m:degHide m:val=&quot;1&quot;/&gt;&lt;m:ctrlPr&gt;&lt;w:rPr&gt;&lt;w:rFonts w:ascii=&quot;Cambria Math&quot; w:h-ansi=&quot;Cambria Math&quot;/&gt;&lt;wx:font wx:val=&quot;Cambria Math&quot;/&gt;&lt;w:i/&gt;&lt;w:sz-cs w:val=&quot;28&quot;/&gt;&lt;/w:rPr&gt;&lt;/m:ctrlPr&gt;&lt;/m:radPr&gt;&lt;m:deg/&gt;&lt;m:e&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nr&lt;/m:t&gt;&lt;/m:r&gt;&lt;/m:num&gt;&lt;m:den&gt;&lt;m:r&gt;&lt;w:rPr&gt;&lt;w:rFonts w:ascii=&quot;Cambria Math&quot; w:h-ansi=&quot;Cambria Math&quot;/&gt;&lt;wx:font wx:val=&quot;Cambria Math&quot;/&gt;&lt;w:i/&gt;&lt;w:sz-cs w:val=&quot;28&quot;/&gt;&lt;/w:rPr&gt;&lt;m:t&gt;R&lt;/m:t&gt;&lt;/m:r&gt;&lt;/m:den&gt;&lt;/m:f&gt;&lt;/m:e&gt;&lt;/m:ra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39" chromakey="#FFFFFF" o:title=""/>
                  <o:lock v:ext="edit" aspectratio="t"/>
                  <w10:wrap type="none"/>
                  <w10:anchorlock/>
                </v:shape>
              </w:pict>
            </w:r>
            <w:r>
              <w:rPr>
                <w:rFonts w:hint="default"/>
                <w:color w:val="000000" w:themeColor="text1"/>
                <w:sz w:val="24"/>
                <w14:textFill>
                  <w14:solidFill>
                    <w14:schemeClr w14:val="tx1"/>
                  </w14:solidFill>
                </w14:textFill>
              </w:rPr>
              <w:fldChar w:fldCharType="end"/>
            </w:r>
            <w:r>
              <w:rPr>
                <w:rFonts w:hint="default"/>
                <w:color w:val="000000" w:themeColor="text1"/>
                <w:sz w:val="24"/>
                <w14:textFill>
                  <w14:solidFill>
                    <w14:schemeClr w14:val="tx1"/>
                  </w14:solidFill>
                </w14:textFill>
              </w:rPr>
              <w:t xml:space="preserve">   （式3）</w:t>
            </w:r>
          </w:p>
          <w:p w14:paraId="15CAC7EE">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式中：R-分裂导线半径；</w:t>
            </w:r>
          </w:p>
          <w:p w14:paraId="62980064">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n-次导线根数；</w:t>
            </w:r>
          </w:p>
          <w:p w14:paraId="666C4F8B">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r-次导线半径。</w:t>
            </w:r>
          </w:p>
          <w:p w14:paraId="079D83FA">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由[U]矩阵和[λ]矩阵，利用式1解出[Q]矩阵。</w:t>
            </w:r>
          </w:p>
          <w:p w14:paraId="3B0BB8D1">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当各导线单位长度的等效电荷量求出后，空间任一点的工频电场可根据叠加原理计算得出，在（x，y）点的工频电场分量E</w:t>
            </w:r>
            <w:r>
              <w:rPr>
                <w:rFonts w:hint="default"/>
                <w:color w:val="000000" w:themeColor="text1"/>
                <w:sz w:val="24"/>
                <w:vertAlign w:val="subscript"/>
                <w14:textFill>
                  <w14:solidFill>
                    <w14:schemeClr w14:val="tx1"/>
                  </w14:solidFill>
                </w14:textFill>
              </w:rPr>
              <w:t>x</w:t>
            </w:r>
            <w:r>
              <w:rPr>
                <w:rFonts w:hint="default"/>
                <w:color w:val="000000" w:themeColor="text1"/>
                <w:sz w:val="24"/>
                <w14:textFill>
                  <w14:solidFill>
                    <w14:schemeClr w14:val="tx1"/>
                  </w14:solidFill>
                </w14:textFill>
              </w:rPr>
              <w:t>和E</w:t>
            </w:r>
            <w:r>
              <w:rPr>
                <w:rFonts w:hint="default"/>
                <w:color w:val="000000" w:themeColor="text1"/>
                <w:sz w:val="24"/>
                <w:vertAlign w:val="subscript"/>
                <w14:textFill>
                  <w14:solidFill>
                    <w14:schemeClr w14:val="tx1"/>
                  </w14:solidFill>
                </w14:textFill>
              </w:rPr>
              <w:t>y</w:t>
            </w:r>
            <w:r>
              <w:rPr>
                <w:rFonts w:hint="default"/>
                <w:color w:val="000000" w:themeColor="text1"/>
                <w:sz w:val="24"/>
                <w14:textFill>
                  <w14:solidFill>
                    <w14:schemeClr w14:val="tx1"/>
                  </w14:solidFill>
                </w14:textFill>
              </w:rPr>
              <w:t>可表示为：</w:t>
            </w:r>
          </w:p>
          <w:p w14:paraId="1703C614">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fldChar w:fldCharType="begin"/>
            </w:r>
            <w:r>
              <w:rPr>
                <w:rFonts w:hint="default"/>
                <w:color w:val="000000" w:themeColor="text1"/>
                <w:sz w:val="24"/>
                <w14:textFill>
                  <w14:solidFill>
                    <w14:schemeClr w14:val="tx1"/>
                  </w14:solidFill>
                </w14:textFill>
              </w:rPr>
              <w:instrText xml:space="preserve"> QUOTE </w:instrText>
            </w:r>
            <w:r>
              <w:rPr>
                <w:rFonts w:hint="default"/>
                <w:color w:val="000000" w:themeColor="text1"/>
                <w:position w:val="-38"/>
                <w:sz w:val="24"/>
                <w14:textFill>
                  <w14:solidFill>
                    <w14:schemeClr w14:val="tx1"/>
                  </w14:solidFill>
                </w14:textFill>
              </w:rPr>
              <w:pict>
                <v:shape id="_x0000_i1031" o:spt="75" type="#_x0000_t75" style="height:46.5pt;width:156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CF3B6B&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CF3B6B&quot; wsp:rsidP=&quot;00CF3B6B&quot;&gt;&lt;w:pPr&gt;&lt;w:ind w:first-line=&quot;480&quot;/&gt;&lt;/w:pPr&gt;&lt;m:oMathPara&gt;&lt;m:oMath&gt;&lt;m:sSub&gt;&lt;m:sSubPr&gt;&lt;m:ctrlPr&gt;&lt;w:rPr&gt;&lt;w:rFonts w:ascii=&quot;Cambria Math&quot; w:h-ansi=&quot;Cambria Math&quot;/&gt;&lt;wx:font wx:val=&quot;Cambria Math&quot;/&gt;&lt;w:sz-cs w:val=&quot;28&quot;/&gt;&lt;/w:rPr&gt;&lt;/m:ctrlPr&gt;&lt;/m:sSubPr&gt;&lt;m:e&gt;&lt;m:r&gt;&lt;w:rPr&gt;&lt;w:rFonts w:ascii=&quot;Cambria Math&quot; w:h-ansi=&quot;Cambria Math&quot;/&gt;&lt;wx:font wx:val=&quot;Cambria Math&quot;/&gt;&lt;w:i/&gt;&lt;w:sz-cs w:val=&quot;28&quot;/&gt;&lt;/w:rPr&gt;&lt;m:t&gt;E&lt;/m:t&gt;&lt;/m:r&gt;&lt;/m:e&gt;&lt;m:sub&gt;&lt;m:r&gt;&lt;w:rPr&gt;&lt;w:rFonts w:ascii=&quot;Cambria Math&quot; w:h-ansi=&quot;Cambria Math&quot;/&gt;&lt;wx:font wx:val=&quot;Cambria Math&quot;/&gt;&lt;w:i/&gt;&lt;w:sz-cs w:val=&quot;28&quot;/&gt;&lt;/w:rPr&gt;&lt;m:t&gt;x&lt;/m:t&gt;&lt;/m:r&gt;&lt;/m:sub&gt;&lt;/m:sSub&gt;&lt;m:r&gt;&lt;w:rPr&gt;&lt;w:rFonts w:ascii=&quot;Cambria Math&quot; w:h-ansi=&quot;Cambria Math&quot; w:hint=&quot;fareast&quot;/&gt;&lt;wx:font wx:val=&quot;Cambria Math&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1&lt;/m:t&gt;&lt;/m:r&gt;&lt;/m:num&gt;&lt;m:den&gt;&lt;m:r&gt;&lt;w:rPr&gt;&lt;w:rFonts w:ascii=&quot;Cambria Math&quot; w:h-ansi=&quot;Cambria Math&quot;/&gt;&lt;wx:font wx:val=&quot;Cambria Math&quot;/&gt;&lt;w:i/&gt;&lt;w:sz-cs w:val=&quot;28&quot;/&gt;&lt;/w:rPr&gt;&lt;m:t&gt;2π&lt;/m:t&gt;&lt;/m:r&gt;&lt;m:sSub&gt;&lt;m:sSubPr&gt;&lt;m:ctrlPr&gt;&lt;w:rPr&gt;&lt;w:rFonts w:ascii=&quot;Cambria Math&quot; w:h-ansi=&quot;Cambria Math&quot;/&gt;&lt;wx:font wx:wval=&quot;Cambria Math&quot;/&gt;&lt;w:i/&gt;&lt;w:sz-cs w:val=&quot;28&quot;/&gt;&lt;/w:rPr&gt;&lt;/m:ctrlPr&gt;&lt;/m:sSubPr&gt;&lt;m:e&gt;&lt;m:r&gt;&lt;w:rPr&gt;&lt;w:rFonts w:ascii=&quot;Cambria Math&quot; w:h-ansi=&quot;Cambria Math&quot;/&gt;&lt;wx:font wx:val=&quot;Cambria Math&quot;/&gt;&lt;w:i/&gt;&lt;w:sz-cs w:val=&quot;28&quot;/&gt;&lt;/w:rPr&gt;&lt;m:t&gt;ε&lt;/m:t&gt;&lt;/m:r&gt;&lt;/m:e&gt;&lt;m:sub&gt;&lt;m:rw&gt;&lt;w:rPr&gt;&lt;w:rFonts w:ascii=&quot;Cambria Math&quot; w:h-ansi=&quot;Cambria Math&quot;/&gt;&lt;wx:font wx:val=&quot;Cambria Math&quot;/&gt;&lt;w:i/&gt;&lt;w:sz-cs w:val=&quot;28&quot;/&gt;&lt;/w:rPr&gt;&lt;m:t&gt;0&lt;/m:t&gt;&lt;/m:r&gt;&lt;/m:sub&gt;&lt;/m:sSub&gt;&lt;/m:den&gt;&lt;/m:f&gt;&lt;m:nary&gt;&lt;m:naryPr&gt;&lt;m:chr m:val=&quot;∑&quot;/&gt;&lt;m:limLoc m:val=&quot;undOvr&quot;/&gt;&lt;m:ctrlPr&gt;w&lt;w:rPr&gt;&lt;w:rFonts w:ascii=&quot;Cambria Math&quot; w:h-ansi=&quot;Cambria Math&quot;/&gt;&lt;wx:font wx:val=&quot;Cambria Math&quot;/&gt;&lt;w:i/&gt;&lt;w:sz-cs w:val=&quot;28&quot;/&gt;&lt;/w:rPr&gt;&lt;/m:ctrlPr&gt;&lt;/m:naryPr&gt;&lt;m:sub&gt;&lt;m:r&gt;&lt;w:rPr&gt;&lt;w:rFonts w:ascii=&quot;Cambria Math&quot; w:h-ansi=&quot;Cambria Math&quot;/&gt;&lt;wx:font wx:val=&quot;Cambria Math&quot;/&gt;&lt;w:i/&gt;&lt;w:sz-cs w:val=&quot;28&quot;/&gt;&lt;/w:rPr&gt;&lt;m:t&gt;i&lt;/m:t&gt;&lt;/m:r&gt;&lt;m:r&gt;&lt;w:rPr&gt;&lt;w:rFonts w:ascii=&quot;Cambria Math&quot; w:h-ansi=&quot;Cambria Math&quot; w:hint=&quot;fareast&quot;/&gt;&lt;wx:font wx:val=&quot;Cambria Math&quot;/&gt;&lt;w:i/&gt;&lt;w:sz-cs w:val=&quot;28&quot;/&gt;&lt;/w:rPr&gt;&lt;m:t&gt;=&lt;/m:t&gt;&lt;/m:r&gt;&lt;m:r&gt;&lt;w:rPr&gt;&lt;w:rFonts w:ascii=&quot;Cambria Math&quot; w:h-ansi=&quot;Cambria Math&quot;/&gt;&lt;wx:font wx:val=&quot;Cambria Math&quot;/&gt;&lt;w:i/&gt;&lt;w:sz-cs w:val=&quot;28&quot;/&gt;&lt;/w:rPr&gt;&lt;m:t&gt;1&lt;/m:t&gt;&lt;/m:r&gt;&lt;/m:sub&gt;&lt;m:sup&gt;&lt;m:r&gt;&lt;w:rPr&gt;&lt;w:rFonts w:ascii=&quot;Cambria Math&quot; w:h-ansi=&quot;Cambria Math&quot;/&gt;&lt;wx:font wx:val=&quot;Cambria Math&quot;/&gt;&lt;w:i/&gt;&lt;w:sz-cs w:val=&quot;28&quot;/&gt;&lt;/w:rPr&gt;&lt;m:t&gt;m&lt;/m:t&gt;&lt;/m:r&gt;&lt;/m:sup&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Q&lt;/m:t&gt;&lt;/m:r&gt;&lt;/m:e&gt;&lt;m:sub&gt;&lt;m:r&gt;&lt;w:rPr&gt;&lt;w:rFonts w:ascii=&quot;Cambria Math&quot; w:h-ansi=&quot;Cambria Math&quot;/&gt;&lt;wx:font wx:val=&quot;Cambria Math&quot;/&gt;&lt;w:i/&gt;&lt;w:sz-cs w:val=&quot;28&quot;/&gt;&lt;/w:rPr&gt;&lt;m:t&gt;i&lt;/m:t&gt;&lt;/m:r&gt;&lt;/m:sub&gt;&lt;/m:sSub&gt;&lt;/m:e&gt;&lt;/m:nary&gt;&lt;m:d&gt;&lt;m:dPr&gt;&lt;m:begChr m:val=&quot;[&quot;/&gt;&lt;m:endChr m:val=&quot;]&quot;/&gt;&lt;m:ctrlPr&gt;&lt;w:rPr&gt;&lt;w:rFonts w:ascii=&quot;Cambria Math&quot; w:h-ansi=&quot;Cambria Math&quot;/&gt;&lt;wx:font wx:val=&quot;Cambria Math&quot;/&gt;&lt;w:i/&gt;&lt;w:sz-cs w:val=&quot;28&quot;/&gt;&lt;/w:rPr&gt;&lt;/m:ctrlPr&gt;&lt;/m:dPr&gt;&lt;m:e&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x&lt;/m:t&gt;&lt;/m:r&gt;&lt;m:r&gt;&lt;w:rPr&gt;&lt;w:rFonts w:ascii=&quot;MS Mincho&quot; w:h-ansi=&quot;MS Mincho&quot; w:cs=&quot;MS Mincho&quot;/&gt;&lt;wx:font wx:val=&quot;MS Mincho&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x&lt;/m:t&gt;&lt;/m:r&gt;&lt;/m:e&gt;&lt;m:sub&gt;&lt;m:r&gt;&lt;w:rPr&gt;&lt;w:rFonts w:ascii=&quot;Cambria Math&quot; w:h-ansi=&quot;Cambria Math&quot;/&gt;&lt;wx:font wx:val=&quot;Cambria Math&quot;/&gt;&lt;w:i/&gt;&lt;w:sz-cs w:val=&quot;28&quot;/&gt;&lt;/w:rPr&gt;&lt;m:t&gt;i&lt;/m:t&gt;&lt;/m:r&gt;&lt;/m:sub&gt;&lt;/m:sSub&gt;&lt;/m:num&gt;&lt;m:den&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lt;/m:t&gt;&lt;/m:r&gt;&lt;/m:sub&gt;&lt;m:sup&gt;&lt;m:r&gt;&lt;w:rPr&gt;&lt;w:rFonts w:ascii=&quot;Cambria Math&quot; w:h-ansi=&quot;Cambria Math&quot;/&gt;&lt;wx:font wx:val=&quot;Cambria Math&quot;/&gt;&lt;w:i/&gt;&lt;w:sz-cs w:val=&quot;28&quot;/&gt;&lt;/w:rPr&gt;&lt;m:t&gt;2&lt;/m:t&gt;&lt;/m:r&gt;&lt;/m:sup&gt;&lt;/m:sSubSup&gt;&lt;/m:den&gt;&lt;/m:f&gt;&lt;m:r&gt;&lt;w:rPr&gt;&lt;w:rFonts w:ascii=&quot;MS Mincho&quot; w:h-ansi=&quot;MS Mincho&quot; w:cs=&quot;MS Mincho&quot;/&gt;&lt;wx:font wx:val=&quot;MS Mincho&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x&lt;/m:t&gt;&lt;/m:r&gt;&lt;m:r&gt;&lt;w:rPr&gt;&lt;w:rFonts w:ascii=&quot;MS Mincho&quot; w:h-ansi=&quot;MS Mincho&quot; w:cs=&quot;MS Mincho&quot;/&gt;&lt;wx:font wx:val=&quot;MS Mincho&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x&lt;/m:t&gt;&lt;/m:r&gt;&lt;/m:e&gt;&lt;m:sub&gt;&lt;m:r&gt;&lt;w:rPr&gt;&lt;w:rFonts w:ascii=&quot;Cambria Math&quot; w:h-ansi=&quot;Cambria Math&quot;/&gt;&lt;wx:font wx:val=&quot;Cambria Math&quot;/&gt;&lt;w:i/&gt;&lt;w:sz-cs w:val=&quot;28&quot;/&gt;&lt;/w:rPr&gt;&lt;m:t&gt;j&lt;/m:t&gt;&lt;/m:r&gt;&lt;/m:sub&gt;&lt;/m:sSub&gt;&lt;/m:num&gt;&lt;m:den&gt;&lt;m:sSup&gt;&lt;m:sSupPr&gt;&lt;m:ctrlPr&gt;&lt;w:rPr&gt;&lt;w:rFonts w:ascii=&quot;Cambria Math&quot; w:h-ansi=&quot;Cambria Math&quot;/&gt;&lt;wx:font wx:val=&quot;Cambria Math&quot;/&gt;&lt;w:i/&gt;&lt;w:sz-cs w:val=&quot;28&quot;/&gt;&lt;/w:rPr&gt;&lt;/m:ctrlPr&gt;&lt;/m:sSupPr&gt;&lt;m:e&gt;&lt;m:d&gt;&lt;m:dPr&gt;&lt;m:ctrlPr&gt;&lt;w:rPr&gt;&lt;w:rFonts w:ascii=&quot;Cambria Math&quot; w:h-ansi=&quot;Cambria Math&quot;/&gt;&lt;wx:font wx:val=&quot;Cambria Math&quot;/&gt;&lt;w:i/&gt;&lt;w:sz-cs w:val=&quot;28&quot;/&gt;&lt;/w:rPr&gt;&lt;/m:ctrlPr&gt;&lt;/m:dPr&gt;&lt;m:e&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lt;/m:t&gt;&lt;/m:r&gt;&lt;/m:sub&gt;&lt;m:sup&gt;&lt;m:r&gt;&lt;w:rPr&gt;&lt;w:rFonts w:ascii=&quot;Cambria Math&quot; w:h-ansi=&quot;Cambria Math&quot; w:hint=&quot;fareast&quot;/&gt;&lt;wx:font wx:val=&quot;宋体&quot;/&gt;&lt;w:i/&gt;&lt;w:sz-cs w:val=&quot;28&quot;/&gt;&lt;/w:rPr&gt;&lt;m:t&gt;‘&lt;/m:&gt;&lt;wt&gt;&lt;/m:r&gt;&lt;/m:sup&gt;&lt;/m:sSubSup&gt;&lt;/m:e&gt;&lt;/m:d&gt;&lt;/m:e&gt;&lt;m:sup&gt;&lt;m:r&gt;&lt;w:rPr&gt;&lt;w:rFonts w:ascii=&quot;Cambria Math&quot; w:h-ansi=&quot;Cambria Math&quot;/&gt;&lt;wx:font wx:val=&quot;Cambria Math&quot;/&gt;&lt;w:i/&gt;&lt;w:sz-cs w:val=&quot;28&quot;/&gt;&lt;/w:rPr&gt;&lt;m:t&gt;2&lt;/m:t&gt;&lt;/m:r&gt;&lt;/m:sup&gt;&lt;/m:sSup&gt;&lt;/m:den&gt;&lt;/m:f&gt;&lt;/m:e&gt;&lt;/m: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40" chromakey="#FFFFFF" o:title=""/>
                  <o:lock v:ext="edit" aspectratio="t"/>
                  <w10:wrap type="none"/>
                  <w10:anchorlock/>
                </v:shape>
              </w:pict>
            </w:r>
            <w:r>
              <w:rPr>
                <w:rFonts w:hint="default"/>
                <w:color w:val="000000" w:themeColor="text1"/>
                <w:sz w:val="24"/>
                <w14:textFill>
                  <w14:solidFill>
                    <w14:schemeClr w14:val="tx1"/>
                  </w14:solidFill>
                </w14:textFill>
              </w:rPr>
              <w:instrText xml:space="preserve"> </w:instrText>
            </w:r>
            <w:r>
              <w:rPr>
                <w:rFonts w:hint="default"/>
                <w:color w:val="000000" w:themeColor="text1"/>
                <w:sz w:val="24"/>
                <w14:textFill>
                  <w14:solidFill>
                    <w14:schemeClr w14:val="tx1"/>
                  </w14:solidFill>
                </w14:textFill>
              </w:rPr>
              <w:fldChar w:fldCharType="separate"/>
            </w:r>
            <w:r>
              <w:rPr>
                <w:rFonts w:hint="default"/>
                <w:color w:val="000000" w:themeColor="text1"/>
                <w:position w:val="-38"/>
                <w:sz w:val="24"/>
                <w14:textFill>
                  <w14:solidFill>
                    <w14:schemeClr w14:val="tx1"/>
                  </w14:solidFill>
                </w14:textFill>
              </w:rPr>
              <w:pict>
                <v:shape id="_x0000_i1032" o:spt="75" type="#_x0000_t75" style="height:46.5pt;width:156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CF3B6B&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CF3B6B&quot; wsp:rsidP=&quot;00CF3B6B&quot;&gt;&lt;w:pPr&gt;&lt;w:ind w:first-line=&quot;480&quot;/&gt;&lt;/w:pPr&gt;&lt;m:oMathPara&gt;&lt;m:oMath&gt;&lt;m:sSub&gt;&lt;m:sSubPr&gt;&lt;m:ctrlPr&gt;&lt;w:rPr&gt;&lt;w:rFonts w:ascii=&quot;Cambria Math&quot; w:h-ansi=&quot;Cambria Math&quot;/&gt;&lt;wx:font wx:val=&quot;Cambria Math&quot;/&gt;&lt;w:sz-cs w:val=&quot;28&quot;/&gt;&lt;/w:rPr&gt;&lt;/m:ctrlPr&gt;&lt;/m:sSubPr&gt;&lt;m:e&gt;&lt;m:r&gt;&lt;w:rPr&gt;&lt;w:rFonts w:ascii=&quot;Cambria Math&quot; w:h-ansi=&quot;Cambria Math&quot;/&gt;&lt;wx:font wx:val=&quot;Cambria Math&quot;/&gt;&lt;w:i/&gt;&lt;w:sz-cs w:val=&quot;28&quot;/&gt;&lt;/w:rPr&gt;&lt;m:t&gt;E&lt;/m:t&gt;&lt;/m:r&gt;&lt;/m:e&gt;&lt;m:sub&gt;&lt;m:r&gt;&lt;w:rPr&gt;&lt;w:rFonts w:ascii=&quot;Cambria Math&quot; w:h-ansi=&quot;Cambria Math&quot;/&gt;&lt;wx:font wx:val=&quot;Cambria Math&quot;/&gt;&lt;w:i/&gt;&lt;w:sz-cs w:val=&quot;28&quot;/&gt;&lt;/w:rPr&gt;&lt;m:t&gt;x&lt;/m:t&gt;&lt;/m:r&gt;&lt;/m:sub&gt;&lt;/m:sSub&gt;&lt;m:r&gt;&lt;w:rPr&gt;&lt;w:rFonts w:ascii=&quot;Cambria Math&quot; w:h-ansi=&quot;Cambria Math&quot; w:hint=&quot;fareast&quot;/&gt;&lt;wx:font wx:val=&quot;Cambria Math&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1&lt;/m:t&gt;&lt;/m:r&gt;&lt;/m:num&gt;&lt;m:den&gt;&lt;m:r&gt;&lt;w:rPr&gt;&lt;w:rFonts w:ascii=&quot;Cambria Math&quot; w:h-ansi=&quot;Cambria Math&quot;/&gt;&lt;wx:font wx:val=&quot;Cambria Math&quot;/&gt;&lt;w:i/&gt;&lt;w:sz-cs w:val=&quot;28&quot;/&gt;&lt;/w:rPr&gt;&lt;m:t&gt;2π&lt;/m:t&gt;&lt;/m:r&gt;&lt;m:sSub&gt;&lt;m:sSubPr&gt;&lt;m:ctrlPr&gt;&lt;w:rPr&gt;&lt;w:rFonts w:ascii=&quot;Cambria Math&quot; w:h-ansi=&quot;Cambria Math&quot;/&gt;&lt;wx:font wx:wval=&quot;Cambria Math&quot;/&gt;&lt;w:i/&gt;&lt;w:sz-cs w:val=&quot;28&quot;/&gt;&lt;/w:rPr&gt;&lt;/m:ctrlPr&gt;&lt;/m:sSubPr&gt;&lt;m:e&gt;&lt;m:r&gt;&lt;w:rPr&gt;&lt;w:rFonts w:ascii=&quot;Cambria Math&quot; w:h-ansi=&quot;Cambria Math&quot;/&gt;&lt;wx:font wx:val=&quot;Cambria Math&quot;/&gt;&lt;w:i/&gt;&lt;w:sz-cs w:val=&quot;28&quot;/&gt;&lt;/w:rPr&gt;&lt;m:t&gt;ε&lt;/m:t&gt;&lt;/m:r&gt;&lt;/m:e&gt;&lt;m:sub&gt;&lt;m:rw&gt;&lt;w:rPr&gt;&lt;w:rFonts w:ascii=&quot;Cambria Math&quot; w:h-ansi=&quot;Cambria Math&quot;/&gt;&lt;wx:font wx:val=&quot;Cambria Math&quot;/&gt;&lt;w:i/&gt;&lt;w:sz-cs w:val=&quot;28&quot;/&gt;&lt;/w:rPr&gt;&lt;m:t&gt;0&lt;/m:t&gt;&lt;/m:r&gt;&lt;/m:sub&gt;&lt;/m:sSub&gt;&lt;/m:den&gt;&lt;/m:f&gt;&lt;m:nary&gt;&lt;m:naryPr&gt;&lt;m:chr m:val=&quot;∑&quot;/&gt;&lt;m:limLoc m:val=&quot;undOvr&quot;/&gt;&lt;m:ctrlPr&gt;w&lt;w:rPr&gt;&lt;w:rFonts w:ascii=&quot;Cambria Math&quot; w:h-ansi=&quot;Cambria Math&quot;/&gt;&lt;wx:font wx:val=&quot;Cambria Math&quot;/&gt;&lt;w:i/&gt;&lt;w:sz-cs w:val=&quot;28&quot;/&gt;&lt;/w:rPr&gt;&lt;/m:ctrlPr&gt;&lt;/m:naryPr&gt;&lt;m:sub&gt;&lt;m:r&gt;&lt;w:rPr&gt;&lt;w:rFonts w:ascii=&quot;Cambria Math&quot; w:h-ansi=&quot;Cambria Math&quot;/&gt;&lt;wx:font wx:val=&quot;Cambria Math&quot;/&gt;&lt;w:i/&gt;&lt;w:sz-cs w:val=&quot;28&quot;/&gt;&lt;/w:rPr&gt;&lt;m:t&gt;i&lt;/m:t&gt;&lt;/m:r&gt;&lt;m:r&gt;&lt;w:rPr&gt;&lt;w:rFonts w:ascii=&quot;Cambria Math&quot; w:h-ansi=&quot;Cambria Math&quot; w:hint=&quot;fareast&quot;/&gt;&lt;wx:font wx:val=&quot;Cambria Math&quot;/&gt;&lt;w:i/&gt;&lt;w:sz-cs w:val=&quot;28&quot;/&gt;&lt;/w:rPr&gt;&lt;m:t&gt;=&lt;/m:t&gt;&lt;/m:r&gt;&lt;m:r&gt;&lt;w:rPr&gt;&lt;w:rFonts w:ascii=&quot;Cambria Math&quot; w:h-ansi=&quot;Cambria Math&quot;/&gt;&lt;wx:font wx:val=&quot;Cambria Math&quot;/&gt;&lt;w:i/&gt;&lt;w:sz-cs w:val=&quot;28&quot;/&gt;&lt;/w:rPr&gt;&lt;m:t&gt;1&lt;/m:t&gt;&lt;/m:r&gt;&lt;/m:sub&gt;&lt;m:sup&gt;&lt;m:r&gt;&lt;w:rPr&gt;&lt;w:rFonts w:ascii=&quot;Cambria Math&quot; w:h-ansi=&quot;Cambria Math&quot;/&gt;&lt;wx:font wx:val=&quot;Cambria Math&quot;/&gt;&lt;w:i/&gt;&lt;w:sz-cs w:val=&quot;28&quot;/&gt;&lt;/w:rPr&gt;&lt;m:t&gt;m&lt;/m:t&gt;&lt;/m:r&gt;&lt;/m:sup&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Q&lt;/m:t&gt;&lt;/m:r&gt;&lt;/m:e&gt;&lt;m:sub&gt;&lt;m:r&gt;&lt;w:rPr&gt;&lt;w:rFonts w:ascii=&quot;Cambria Math&quot; w:h-ansi=&quot;Cambria Math&quot;/&gt;&lt;wx:font wx:val=&quot;Cambria Math&quot;/&gt;&lt;w:i/&gt;&lt;w:sz-cs w:val=&quot;28&quot;/&gt;&lt;/w:rPr&gt;&lt;m:t&gt;i&lt;/m:t&gt;&lt;/m:r&gt;&lt;/m:sub&gt;&lt;/m:sSub&gt;&lt;/m:e&gt;&lt;/m:nary&gt;&lt;m:d&gt;&lt;m:dPr&gt;&lt;m:begChr m:val=&quot;[&quot;/&gt;&lt;m:endChr m:val=&quot;]&quot;/&gt;&lt;m:ctrlPr&gt;&lt;w:rPr&gt;&lt;w:rFonts w:ascii=&quot;Cambria Math&quot; w:h-ansi=&quot;Cambria Math&quot;/&gt;&lt;wx:font wx:val=&quot;Cambria Math&quot;/&gt;&lt;w:i/&gt;&lt;w:sz-cs w:val=&quot;28&quot;/&gt;&lt;/w:rPr&gt;&lt;/m:ctrlPr&gt;&lt;/m:dPr&gt;&lt;m:e&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x&lt;/m:t&gt;&lt;/m:r&gt;&lt;m:r&gt;&lt;w:rPr&gt;&lt;w:rFonts w:ascii=&quot;MS Mincho&quot; w:h-ansi=&quot;MS Mincho&quot; w:cs=&quot;MS Mincho&quot;/&gt;&lt;wx:font wx:val=&quot;MS Mincho&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x&lt;/m:t&gt;&lt;/m:r&gt;&lt;/m:e&gt;&lt;m:sub&gt;&lt;m:r&gt;&lt;w:rPr&gt;&lt;w:rFonts w:ascii=&quot;Cambria Math&quot; w:h-ansi=&quot;Cambria Math&quot;/&gt;&lt;wx:font wx:val=&quot;Cambria Math&quot;/&gt;&lt;w:i/&gt;&lt;w:sz-cs w:val=&quot;28&quot;/&gt;&lt;/w:rPr&gt;&lt;m:t&gt;i&lt;/m:t&gt;&lt;/m:r&gt;&lt;/m:sub&gt;&lt;/m:sSub&gt;&lt;/m:num&gt;&lt;m:den&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lt;/m:t&gt;&lt;/m:r&gt;&lt;/m:sub&gt;&lt;m:sup&gt;&lt;m:r&gt;&lt;w:rPr&gt;&lt;w:rFonts w:ascii=&quot;Cambria Math&quot; w:h-ansi=&quot;Cambria Math&quot;/&gt;&lt;wx:font wx:val=&quot;Cambria Math&quot;/&gt;&lt;w:i/&gt;&lt;w:sz-cs w:val=&quot;28&quot;/&gt;&lt;/w:rPr&gt;&lt;m:t&gt;2&lt;/m:t&gt;&lt;/m:r&gt;&lt;/m:sup&gt;&lt;/m:sSubSup&gt;&lt;/m:den&gt;&lt;/m:f&gt;&lt;m:r&gt;&lt;w:rPr&gt;&lt;w:rFonts w:ascii=&quot;MS Mincho&quot; w:h-ansi=&quot;MS Mincho&quot; w:cs=&quot;MS Mincho&quot;/&gt;&lt;wx:font wx:val=&quot;MS Mincho&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x&lt;/m:t&gt;&lt;/m:r&gt;&lt;m:r&gt;&lt;w:rPr&gt;&lt;w:rFonts w:ascii=&quot;MS Mincho&quot; w:h-ansi=&quot;MS Mincho&quot; w:cs=&quot;MS Mincho&quot;/&gt;&lt;wx:font wx:val=&quot;MS Mincho&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x&lt;/m:t&gt;&lt;/m:r&gt;&lt;/m:e&gt;&lt;m:sub&gt;&lt;m:r&gt;&lt;w:rPr&gt;&lt;w:rFonts w:ascii=&quot;Cambria Math&quot; w:h-ansi=&quot;Cambria Math&quot;/&gt;&lt;wx:font wx:val=&quot;Cambria Math&quot;/&gt;&lt;w:i/&gt;&lt;w:sz-cs w:val=&quot;28&quot;/&gt;&lt;/w:rPr&gt;&lt;m:t&gt;j&lt;/m:t&gt;&lt;/m:r&gt;&lt;/m:sub&gt;&lt;/m:sSub&gt;&lt;/m:num&gt;&lt;m:den&gt;&lt;m:sSup&gt;&lt;m:sSupPr&gt;&lt;m:ctrlPr&gt;&lt;w:rPr&gt;&lt;w:rFonts w:ascii=&quot;Cambria Math&quot; w:h-ansi=&quot;Cambria Math&quot;/&gt;&lt;wx:font wx:val=&quot;Cambria Math&quot;/&gt;&lt;w:i/&gt;&lt;w:sz-cs w:val=&quot;28&quot;/&gt;&lt;/w:rPr&gt;&lt;/m:ctrlPr&gt;&lt;/m:sSupPr&gt;&lt;m:e&gt;&lt;m:d&gt;&lt;m:dPr&gt;&lt;m:ctrlPr&gt;&lt;w:rPr&gt;&lt;w:rFonts w:ascii=&quot;Cambria Math&quot; w:h-ansi=&quot;Cambria Math&quot;/&gt;&lt;wx:font wx:val=&quot;Cambria Math&quot;/&gt;&lt;w:i/&gt;&lt;w:sz-cs w:val=&quot;28&quot;/&gt;&lt;/w:rPr&gt;&lt;/m:ctrlPr&gt;&lt;/m:dPr&gt;&lt;m:e&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lt;/m:t&gt;&lt;/m:r&gt;&lt;/m:sub&gt;&lt;m:sup&gt;&lt;m:r&gt;&lt;w:rPr&gt;&lt;w:rFonts w:ascii=&quot;Cambria Math&quot; w:h-ansi=&quot;Cambria Math&quot; w:hint=&quot;fareast&quot;/&gt;&lt;wx:font wx:val=&quot;宋体&quot;/&gt;&lt;w:i/&gt;&lt;w:sz-cs w:val=&quot;28&quot;/&gt;&lt;/w:rPr&gt;&lt;m:t&gt;‘&lt;/m:&gt;&lt;wt&gt;&lt;/m:r&gt;&lt;/m:sup&gt;&lt;/m:sSubSup&gt;&lt;/m:e&gt;&lt;/m:d&gt;&lt;/m:e&gt;&lt;m:sup&gt;&lt;m:r&gt;&lt;w:rPr&gt;&lt;w:rFonts w:ascii=&quot;Cambria Math&quot; w:h-ansi=&quot;Cambria Math&quot;/&gt;&lt;wx:font wx:val=&quot;Cambria Math&quot;/&gt;&lt;w:i/&gt;&lt;w:sz-cs w:val=&quot;28&quot;/&gt;&lt;/w:rPr&gt;&lt;m:t&gt;2&lt;/m:t&gt;&lt;/m:r&gt;&lt;/m:sup&gt;&lt;/m:sSup&gt;&lt;/m:den&gt;&lt;/m:f&gt;&lt;/m:e&gt;&lt;/m: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40" chromakey="#FFFFFF" o:title=""/>
                  <o:lock v:ext="edit" aspectratio="t"/>
                  <w10:wrap type="none"/>
                  <w10:anchorlock/>
                </v:shape>
              </w:pict>
            </w:r>
            <w:r>
              <w:rPr>
                <w:rFonts w:hint="default"/>
                <w:color w:val="000000" w:themeColor="text1"/>
                <w:sz w:val="24"/>
                <w14:textFill>
                  <w14:solidFill>
                    <w14:schemeClr w14:val="tx1"/>
                  </w14:solidFill>
                </w14:textFill>
              </w:rPr>
              <w:fldChar w:fldCharType="end"/>
            </w:r>
            <w:r>
              <w:rPr>
                <w:rFonts w:hint="default"/>
                <w:color w:val="000000" w:themeColor="text1"/>
                <w:sz w:val="24"/>
                <w14:textFill>
                  <w14:solidFill>
                    <w14:schemeClr w14:val="tx1"/>
                  </w14:solidFill>
                </w14:textFill>
              </w:rPr>
              <w:t xml:space="preserve">   （式4）</w:t>
            </w:r>
          </w:p>
          <w:p w14:paraId="743E5350">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fldChar w:fldCharType="begin"/>
            </w:r>
            <w:r>
              <w:rPr>
                <w:rFonts w:hint="default"/>
                <w:color w:val="000000" w:themeColor="text1"/>
                <w:sz w:val="24"/>
                <w14:textFill>
                  <w14:solidFill>
                    <w14:schemeClr w14:val="tx1"/>
                  </w14:solidFill>
                </w14:textFill>
              </w:rPr>
              <w:instrText xml:space="preserve"> QUOTE </w:instrText>
            </w:r>
            <w:r>
              <w:rPr>
                <w:rFonts w:hint="default"/>
                <w:color w:val="000000" w:themeColor="text1"/>
                <w:position w:val="-38"/>
                <w:sz w:val="24"/>
                <w14:textFill>
                  <w14:solidFill>
                    <w14:schemeClr w14:val="tx1"/>
                  </w14:solidFill>
                </w14:textFill>
              </w:rPr>
              <w:pict>
                <v:shape id="_x0000_i1033" o:spt="75" type="#_x0000_t75" style="height:46.5pt;width:157.5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1FF0&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101FF0&quot; wsp:rsidP=&quot;00101FF0&quot;&gt;&lt;w:pPr&gt;&lt;w:ind w:first-line=&quot;480&quot;/&gt;&lt;/w:pPr&gt;&lt;m:oMathPara&gt;&lt;m:oMath&gt;&lt;m:sSub&gt;&lt;m:sSubPr&gt;&lt;m:ctrlPr&gt;&lt;w:rPr&gt;&lt;w:rFonts w:ascii=&quot;Cambria Math&quot; w:h-ansi=&quot;Cambria Math&quot;/&gt;&lt;wx:font wx:val=&quot;Cambria Math&quot;/&gt;&lt;w:sz-cs w:val=&quot;28&quot;/&gt;&lt;/w:rPr&gt;&lt;/m:ctrlPr&gt;&lt;/m:sSubPr&gt;&lt;m:e&gt;&lt;m:r&gt;&lt;w:rPr&gt;&lt;w:rFonts w:ascii=&quot;Cambria Math&quot; w:h-ansi=&quot;Cambria Math&quot;/&gt;&lt;wx:font wx:val=&quot;Cambria Math&quot;/&gt;&lt;w:i/&gt;&lt;w:sz-cs w:val=&quot;28&quot;/&gt;&lt;/w:rPr&gt;&lt;m:t&gt;E&lt;/m:t&gt;&lt;/m:r&gt;&lt;/m:e&gt;&lt;m:sub&gt;&lt;m:r&gt;&lt;w:rPr&gt;&lt;w:rFonts w:ascii=&quot;Cambria Math&quot; w:h-ansi=&quot;Cambria Math&quot; w:hint=&quot;fareast&quot;/&gt;&lt;wx:font wx:val=&quot;Cambria Math&quot;/&gt;&lt;w:i/&gt;&lt;w:sz-cs w:val=&quot;28&quot;/&gt;&lt;/w:rPr&gt;&lt;m:t&gt;y&lt;/m:t&gt;&lt;/m:r&gt;&lt;/m:sub&gt;&lt;/m:sSub&gt;&lt;m:r&gt;&lt;w:rPr&gt;&lt;w:rFonts w:ascii=&quot;Cambria Math&quot; w:h-ansi=&quot;Cambria Math&quot; w:hint=&quot;fareast&quot;/&gt;&lt;wx:font wx:val=&quot;Cambria Math&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1&lt;/m:t&gt;&lt;/m:r&gt;&lt;/m:num&gt;&lt;m:den&gt;&lt;m:r&gt;&lt;w:rPr&gt;&lt;w:rFonts w:ascii=&quot;Cambria Math&quot; w:h-ansi=&quot;Cambria Math&quot;/&gt;&lt;wx:font wx:val=&quot;Cambria Math&quot;/&gt;&lt;w:i/&gt;&lt;w:sz-cs w:val=&quot;28&quot;/&gt;&lt;/w:rPr&gt;&lt;m:t&gt;2π&lt;/m:t&gt;&lt;/m:r&gt;&lt;m:sSub&gt;&lt;m:sSubPr&gt;&lt;m:ctrlPr&gt;&lt;w:rPr&gt;&lt;w:rFonts w:ascii=&quot;Cambria Math&quot; w:h-ansi=&quot;Cambria Manth&quot;/&gt;&lt;wx:font wx:val=&quot;Cambria Math&quot;/&gt;&lt;w:i/&gt;&lt;w:sz-cs w:val=&quot;28&quot;/&gt;&lt;/w:rPr&gt;&lt;/m:ctrlPr&gt;&lt;/m:sSubPr&gt;&lt;m:e&gt;&lt;m:r&gt;&lt;w:rPr&gt;&lt;w:rFonts w:ascii=&quot;Cambria Math&quot; w:h-ansi=&quot;Cambria Math&quot;/&gt;&lt;wx:font wx:val=&quot;Cambria Math&quot;/&gt;&lt;w:i/&gt;&lt;w:sz-cs w:val=&quot;28&quot;/&gt;&lt;/w:rPr&gt;&lt;m:t&gt;ε&lt;/m:t&gt;&lt;/m:r&gt;n&lt;/m:e&gt;&lt;m:sub&gt;&lt;m:r&gt;&lt;w:rPr&gt;&lt;w:rFonts w:ascii=&quot;Cambria Math&quot; w:h-ansi=&quot;Cambria Math&quot;/&gt;&lt;wx:font wx:val=&quot;Cambria Math&quot;/&gt;&lt;w:i/&gt;&lt;w:sz-cs w:val=&quot;28&quot;/&gt;&lt;/w:rPr&gt;&lt;m:t&gt;0&lt;/m:t&gt;&lt;/m:r&gt;&lt;/m:sub&gt;&lt;/m:sSub&gt;&lt;/m:den&gt;&lt;/m:f&gt;&lt;m:nary&gt;&lt;m:naryPr&gt;&lt;m:chr m:val=&quot;∑&quot;/&gt;&lt;m:limLoc m:val=&quot;unndOvr&quot;/&gt;&lt;m:ctrlPr&gt;&lt;w:rPr&gt;&lt;w:rFonts w:ascii=&quot;Cambria Math&quot; w:h-ansi=&quot;Cambria Math&quot;/&gt;&lt;wx:font wx:val=&quot;Cambria Math&quot;/&gt;&lt;w:i/&gt;&lt;w:sz-cs w:val=&quot;28&quot;/&gt;&lt;/w:rPr&gt;&lt;/m:ctrlPr&gt;&lt;/m:naryPr&gt;&lt;m:sub&gt;&lt;m:r&gt;&lt;w:rPr&gt;&lt;w:rFonts w:ascii=&quot;Cambria Math&quot; w:h-ansi=&quot;Cambria Math&quot;/&gt;&lt;wx:font wx:val=&quot;Cambria Math&quot;/&gt;&lt;w:i/&gt;&lt;w:sz-cs w:val=&quot;28&quot;/&gt;&lt;/w:rPr&gt;&lt;m:t&gt;i&lt;/m:t&gt;&lt;/m:r&gt;&lt;m:r&gt;&lt;w:rPr&gt;&lt;w:rFonts w:ascii=&quot;Cambria Math&quot; w:h-ansi=&quot;Cambria Math&quot; w:hint=&quot;fareast&quot;/&gt;&lt;wx:font wx:val=&quot;Cambria Math&quot;/&gt;&lt;w:i/&gt;&lt;w:sz-cs w:val=&quot;28&quot;/&gt;&lt;/w:rPr&gt;&lt;m:t&gt;=&lt;/m:t&gt;&lt;/m:r&gt;&lt;m:r&gt;&lt;w:rPr&gt;&lt;w:rFonts w:ascii=&quot;Cambria Math&quot; w:h-ansi=&quot;Cambria Math&quot;/&gt;&lt;wx:font wx:val=&quot;Cambria Math&quot;/&gt;&lt;w:i/&gt;&lt;w:sz-cs w:val=&quot;28&quot;/&gt;&lt;/w:rPr&gt;&lt;m:t&gt;1&lt;/m:t&gt;&lt;/m:r&gt;&lt;/m:sub&gt;&lt;m:sup&gt;&lt;m:r&gt;&lt;w:rPr&gt;&lt;w:rFonts w:ascii=&quot;Cambria Math&quot; w:h-ansi=&quot;Cambria Math&quot;/&gt;&lt;wx:font wx:val=&quot;Cambria Math&quot;/&gt;&lt;w:i/&gt;&lt;w:sz-cs w:val=&quot;28&quot;/&gt;&lt;/w:rPr&gt;&lt;m:t&gt;m&lt;/m:t&gt;&lt;/m:r&gt;&lt;/m:sup&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Q&lt;/m:t&gt;&lt;/m:r&gt;&lt;/m:e&gt;&lt;m:sub&gt;&lt;m:r&gt;&lt;w:rPr&gt;&lt;w:rFonts w:ascii=&quot;Cambria Math&quot; w:h-ansi=&quot;Cambria Math&quot;/&gt;&lt;wx:font wx:val=&quot;Cambria Math&quot;/&gt;&lt;w:i/&gt;&lt;w:sz-cs w:val=&quot;28&quot;/&gt;&lt;/w:rPr&gt;&lt;m:t&gt;i&lt;/m:t&gt;&lt;/m:r&gt;&lt;/m:sub&gt;&lt;/m:sSub&gt;&lt;/m:e&gt;&lt;/m:nary&gt;&lt;m:d&gt;&lt;m:dPr&gt;&lt;m:begChr m:val=&quot;[&quot;/&gt;&lt;m:endChr m:val=&quot;]&quot;/&gt;&lt;m:ctrlPr&gt;&lt;w:rPr&gt;&lt;w:rFonts w:ascii=&quot;Cambria Math&quot; w:h-ansi=&quot;Cambria Math&quot;/&gt;&lt;wx:font wx:val=&quot;Cambria Math&quot;/&gt;&lt;w:i/&gt;&lt;w:sz-cs w:val=&quot;28&quot;/&gt;&lt;/w:rPr&gt;&lt;/m:ctrlPr&gt;&lt;/m:dPr&gt;&lt;m:e&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y&lt;/m:t&gt;&lt;/m:r&gt;&lt;m:r&gt;&lt;w:rPr&gt;&lt;w:rFonts w:ascii=&quot;MS Mincho&quot; w:h-ansi=&quot;MS Mincho&quot; w:cs=&quot;MS Mincho&quot;/&gt;&lt;wx:font wx:val=&quot;MS Mincho&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y&lt;/m:t&gt;&lt;/m:r&gt;&lt;/m:e&gt;&lt;m:sub&gt;&lt;m:r&gt;&lt;w:rPr&gt;&lt;w:rFonts w:ascii=&quot;Cambria Math&quot; w:h-ansi=&quot;Cambria Math&quot;/&gt;&lt;wx:font wx:val=&quot;Cambria Math&quot;/&gt;&lt;w:i/&gt;&lt;w:sz-cs w:val=&quot;28&quot;/&gt;&lt;/w:rPr&gt;&lt;m:t&gt;i&lt;/m:t&gt;&lt;/m:r&gt;&lt;/m:sub&gt;&lt;/m:sSub&gt;&lt;/m:num&gt;&lt;m:den&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lt;/m:t&gt;&lt;/m:r&gt;&lt;/m:sub&gt;&lt;m:sup&gt;&lt;m:r&gt;&lt;w:rPr&gt;&lt;w:rFonts w:ascii=&quot;Cambria Math&quot; w:h-ansi=&quot;Cambria Math&quot;/&gt;&lt;wx:font wx:val=&quot;Cambria Math&quot;/&gt;&lt;w:i/&gt;&lt;w:sz-cs w:val=&quot;28&quot;/&gt;&lt;/w:rPr&gt;&lt;m:t&gt;2&lt;/m:t&gt;&lt;/m:r&gt;&lt;/m:sup&gt;&lt;/m:sSubSup&gt;&lt;/m:den&gt;&lt;/m:f&gt;&lt;m:r&gt;&lt;w:rPr&gt;&lt;w:rFonts w:ascii=&quot;MS Mincho&quot; w:h-ansi=&quot;MS Mincho&quot; w:cs=&quot;MS Mincho&quot;/&gt;&lt;wx:font wx:val=&quot;MS Mincho&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y&lt;/m:t&gt;&lt;/m:r&gt;&lt;m:r&gt;&lt;w:rPr&gt;&lt;w:rFonts w:ascii=&quot;MS Mincho&quot; w:h-ansi=&quot;MS Mincho&quot; w:cs=&quot;MS Mincho&quot;/&gt;&lt;wx:font wx:val=&quot;MS Mincho&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y&lt;/m:t&gt;&lt;/m:r&gt;&lt;/m:e&gt;&lt;m:sub&gt;&lt;m:r&gt;&lt;w:rPr&gt;&lt;w:rFonts w:ascii=&quot;Cambria Math&quot; w:h-ansi=&quot;Cambria Math&quot;/&gt;&lt;wx:font wx:val=&quot;Cambria Math&quot;/&gt;&lt;w:i/&gt;&lt;w:sz-cs w:val=&quot;28&quot;/&gt;&lt;/w:rPr&gt;&lt;m:t&gt;j&lt;/m:t&gt;&lt;/m:r&gt;&lt;/m:sub&gt;&lt;/m:sSub&gt;&lt;/m:num&gt;&lt;m:den&gt;&lt;m:sSup&gt;&lt;m:sSupPr&gt;&lt;m:ctrlPr&gt;&lt;w:rPr&gt;&lt;w:rFonts w:ascii=&quot;Cambria Math&quot; w:h-ansi=&quot;Cambria Math&quot;/&gt;&lt;wx:font wx:val=&quot;Cambria Math&quot;/&gt;&lt;w:i/&gt;&lt;w:sz-cs w:val=&quot;28&quot;/&gt;&lt;/w:rPr&gt;&lt;/m:ctrlPr&gt;&lt;/m:sSupPr&gt;&lt;m:e&gt;&lt;m:d&gt;&lt;m:dPr&gt;&lt;m:ctrlPr&gt;&lt;w:rPr&gt;&lt;w:rFonts w:ascii=&quot;Cambria Math&quot; w:h-ansi=&quot;Cambria Math&quot;/&gt;&lt;wx:font wx:val=&quot;Cambria Math&quot;/&gt;&lt;w:i/&gt;&lt;w:sz-cs w:val=&quot;28&quot;/&gt;&lt;/w:rPr&gt;&lt;/m:ctrlPr&gt;&lt;/m:dPr&gt;&lt;m:e&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lt;/m:t&gt;&lt;/m:r&gt;&lt;/m:sub&gt;&lt;m:sup&gt;&lt;m:r&gt;&lt;w:rPr&gt;&lt;w:rFonts w:ascii=&quot;Cambria Math&quot; w:h-ansi=&quot;Cambria Math&quot; w:hint=&quot;fareast&quot;/&gt;&lt;wx:font wx:val=&quot;宋体&quot;/&gt;&lt;w:i/&gt;&lt;w:sz-cs w:val=&quot;28&quot;/&gt;&lt;/=&quot;w:rPr&gt;&lt;m:t&gt;‘&lt;/m:t&gt;&lt;/m:r&gt;&lt;/m:sup&gt;&lt;/m:sSubSup&gt;&lt;/m:e&gt;&lt;/m:d&gt;&lt;/m:e&gt;&lt;m:sup&gt;&lt;m:r&gt;&lt;w:rPr&gt;&lt;w:rFonts w:ascii=&quot;Cambria Math&quot; w:h-ansi=&quot;Cambria Math&quot;/&gt;&lt;wx:font wx:val=&quot;Cambria Math&quot;/&gt;&lt;w:i/&gt;&lt;w:sz-cs w:val=&quot;28&quot;/&gt;&lt;/w:rPr&gt;&lt;m:t&gt;2&lt;/m:t&gt;&lt;/m:r&gt;&lt;/m:sup&gt;&lt;/m:sSup&gt;&lt;/m:den&gt;&lt;/m:f&quot;&gt;&lt;/m:e&gt;&lt;/m: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41" chromakey="#FFFFFF" o:title=""/>
                  <o:lock v:ext="edit" aspectratio="t"/>
                  <w10:wrap type="none"/>
                  <w10:anchorlock/>
                </v:shape>
              </w:pict>
            </w:r>
            <w:r>
              <w:rPr>
                <w:rFonts w:hint="default"/>
                <w:color w:val="000000" w:themeColor="text1"/>
                <w:sz w:val="24"/>
                <w14:textFill>
                  <w14:solidFill>
                    <w14:schemeClr w14:val="tx1"/>
                  </w14:solidFill>
                </w14:textFill>
              </w:rPr>
              <w:instrText xml:space="preserve"> </w:instrText>
            </w:r>
            <w:r>
              <w:rPr>
                <w:rFonts w:hint="default"/>
                <w:color w:val="000000" w:themeColor="text1"/>
                <w:sz w:val="24"/>
                <w14:textFill>
                  <w14:solidFill>
                    <w14:schemeClr w14:val="tx1"/>
                  </w14:solidFill>
                </w14:textFill>
              </w:rPr>
              <w:fldChar w:fldCharType="separate"/>
            </w:r>
            <w:r>
              <w:rPr>
                <w:rFonts w:hint="default"/>
                <w:color w:val="000000" w:themeColor="text1"/>
                <w:position w:val="-38"/>
                <w:sz w:val="24"/>
                <w14:textFill>
                  <w14:solidFill>
                    <w14:schemeClr w14:val="tx1"/>
                  </w14:solidFill>
                </w14:textFill>
              </w:rPr>
              <w:pict>
                <v:shape id="_x0000_i1034" o:spt="75" type="#_x0000_t75" style="height:46.5pt;width:157.5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1FF0&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101FF0&quot; wsp:rsidP=&quot;00101FF0&quot;&gt;&lt;w:pPr&gt;&lt;w:ind w:first-line=&quot;480&quot;/&gt;&lt;/w:pPr&gt;&lt;m:oMathPara&gt;&lt;m:oMath&gt;&lt;m:sSub&gt;&lt;m:sSubPr&gt;&lt;m:ctrlPr&gt;&lt;w:rPr&gt;&lt;w:rFonts w:ascii=&quot;Cambria Math&quot; w:h-ansi=&quot;Cambria Math&quot;/&gt;&lt;wx:font wx:val=&quot;Cambria Math&quot;/&gt;&lt;w:sz-cs w:val=&quot;28&quot;/&gt;&lt;/w:rPr&gt;&lt;/m:ctrlPr&gt;&lt;/m:sSubPr&gt;&lt;m:e&gt;&lt;m:r&gt;&lt;w:rPr&gt;&lt;w:rFonts w:ascii=&quot;Cambria Math&quot; w:h-ansi=&quot;Cambria Math&quot;/&gt;&lt;wx:font wx:val=&quot;Cambria Math&quot;/&gt;&lt;w:i/&gt;&lt;w:sz-cs w:val=&quot;28&quot;/&gt;&lt;/w:rPr&gt;&lt;m:t&gt;E&lt;/m:t&gt;&lt;/m:r&gt;&lt;/m:e&gt;&lt;m:sub&gt;&lt;m:r&gt;&lt;w:rPr&gt;&lt;w:rFonts w:ascii=&quot;Cambria Math&quot; w:h-ansi=&quot;Cambria Math&quot; w:hint=&quot;fareast&quot;/&gt;&lt;wx:font wx:val=&quot;Cambria Math&quot;/&gt;&lt;w:i/&gt;&lt;w:sz-cs w:val=&quot;28&quot;/&gt;&lt;/w:rPr&gt;&lt;m:t&gt;y&lt;/m:t&gt;&lt;/m:r&gt;&lt;/m:sub&gt;&lt;/m:sSub&gt;&lt;m:r&gt;&lt;w:rPr&gt;&lt;w:rFonts w:ascii=&quot;Cambria Math&quot; w:h-ansi=&quot;Cambria Math&quot; w:hint=&quot;fareast&quot;/&gt;&lt;wx:font wx:val=&quot;Cambria Math&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1&lt;/m:t&gt;&lt;/m:r&gt;&lt;/m:num&gt;&lt;m:den&gt;&lt;m:r&gt;&lt;w:rPr&gt;&lt;w:rFonts w:ascii=&quot;Cambria Math&quot; w:h-ansi=&quot;Cambria Math&quot;/&gt;&lt;wx:font wx:val=&quot;Cambria Math&quot;/&gt;&lt;w:i/&gt;&lt;w:sz-cs w:val=&quot;28&quot;/&gt;&lt;/w:rPr&gt;&lt;m:t&gt;2π&lt;/m:t&gt;&lt;/m:r&gt;&lt;m:sSub&gt;&lt;m:sSubPr&gt;&lt;m:ctrlPr&gt;&lt;w:rPr&gt;&lt;w:rFonts w:ascii=&quot;Cambria Math&quot; w:h-ansi=&quot;Cambria Manth&quot;/&gt;&lt;wx:font wx:val=&quot;Cambria Math&quot;/&gt;&lt;w:i/&gt;&lt;w:sz-cs w:val=&quot;28&quot;/&gt;&lt;/w:rPr&gt;&lt;/m:ctrlPr&gt;&lt;/m:sSubPr&gt;&lt;m:e&gt;&lt;m:r&gt;&lt;w:rPr&gt;&lt;w:rFonts w:ascii=&quot;Cambria Math&quot; w:h-ansi=&quot;Cambria Math&quot;/&gt;&lt;wx:font wx:val=&quot;Cambria Math&quot;/&gt;&lt;w:i/&gt;&lt;w:sz-cs w:val=&quot;28&quot;/&gt;&lt;/w:rPr&gt;&lt;m:t&gt;ε&lt;/m:t&gt;&lt;/m:r&gt;n&lt;/m:e&gt;&lt;m:sub&gt;&lt;m:r&gt;&lt;w:rPr&gt;&lt;w:rFonts w:ascii=&quot;Cambria Math&quot; w:h-ansi=&quot;Cambria Math&quot;/&gt;&lt;wx:font wx:val=&quot;Cambria Math&quot;/&gt;&lt;w:i/&gt;&lt;w:sz-cs w:val=&quot;28&quot;/&gt;&lt;/w:rPr&gt;&lt;m:t&gt;0&lt;/m:t&gt;&lt;/m:r&gt;&lt;/m:sub&gt;&lt;/m:sSub&gt;&lt;/m:den&gt;&lt;/m:f&gt;&lt;m:nary&gt;&lt;m:naryPr&gt;&lt;m:chr m:val=&quot;∑&quot;/&gt;&lt;m:limLoc m:val=&quot;unndOvr&quot;/&gt;&lt;m:ctrlPr&gt;&lt;w:rPr&gt;&lt;w:rFonts w:ascii=&quot;Cambria Math&quot; w:h-ansi=&quot;Cambria Math&quot;/&gt;&lt;wx:font wx:val=&quot;Cambria Math&quot;/&gt;&lt;w:i/&gt;&lt;w:sz-cs w:val=&quot;28&quot;/&gt;&lt;/w:rPr&gt;&lt;/m:ctrlPr&gt;&lt;/m:naryPr&gt;&lt;m:sub&gt;&lt;m:r&gt;&lt;w:rPr&gt;&lt;w:rFonts w:ascii=&quot;Cambria Math&quot; w:h-ansi=&quot;Cambria Math&quot;/&gt;&lt;wx:font wx:val=&quot;Cambria Math&quot;/&gt;&lt;w:i/&gt;&lt;w:sz-cs w:val=&quot;28&quot;/&gt;&lt;/w:rPr&gt;&lt;m:t&gt;i&lt;/m:t&gt;&lt;/m:r&gt;&lt;m:r&gt;&lt;w:rPr&gt;&lt;w:rFonts w:ascii=&quot;Cambria Math&quot; w:h-ansi=&quot;Cambria Math&quot; w:hint=&quot;fareast&quot;/&gt;&lt;wx:font wx:val=&quot;Cambria Math&quot;/&gt;&lt;w:i/&gt;&lt;w:sz-cs w:val=&quot;28&quot;/&gt;&lt;/w:rPr&gt;&lt;m:t&gt;=&lt;/m:t&gt;&lt;/m:r&gt;&lt;m:r&gt;&lt;w:rPr&gt;&lt;w:rFonts w:ascii=&quot;Cambria Math&quot; w:h-ansi=&quot;Cambria Math&quot;/&gt;&lt;wx:font wx:val=&quot;Cambria Math&quot;/&gt;&lt;w:i/&gt;&lt;w:sz-cs w:val=&quot;28&quot;/&gt;&lt;/w:rPr&gt;&lt;m:t&gt;1&lt;/m:t&gt;&lt;/m:r&gt;&lt;/m:sub&gt;&lt;m:sup&gt;&lt;m:r&gt;&lt;w:rPr&gt;&lt;w:rFonts w:ascii=&quot;Cambria Math&quot; w:h-ansi=&quot;Cambria Math&quot;/&gt;&lt;wx:font wx:val=&quot;Cambria Math&quot;/&gt;&lt;w:i/&gt;&lt;w:sz-cs w:val=&quot;28&quot;/&gt;&lt;/w:rPr&gt;&lt;m:t&gt;m&lt;/m:t&gt;&lt;/m:r&gt;&lt;/m:sup&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Q&lt;/m:t&gt;&lt;/m:r&gt;&lt;/m:e&gt;&lt;m:sub&gt;&lt;m:r&gt;&lt;w:rPr&gt;&lt;w:rFonts w:ascii=&quot;Cambria Math&quot; w:h-ansi=&quot;Cambria Math&quot;/&gt;&lt;wx:font wx:val=&quot;Cambria Math&quot;/&gt;&lt;w:i/&gt;&lt;w:sz-cs w:val=&quot;28&quot;/&gt;&lt;/w:rPr&gt;&lt;m:t&gt;i&lt;/m:t&gt;&lt;/m:r&gt;&lt;/m:sub&gt;&lt;/m:sSub&gt;&lt;/m:e&gt;&lt;/m:nary&gt;&lt;m:d&gt;&lt;m:dPr&gt;&lt;m:begChr m:val=&quot;[&quot;/&gt;&lt;m:endChr m:val=&quot;]&quot;/&gt;&lt;m:ctrlPr&gt;&lt;w:rPr&gt;&lt;w:rFonts w:ascii=&quot;Cambria Math&quot; w:h-ansi=&quot;Cambria Math&quot;/&gt;&lt;wx:font wx:val=&quot;Cambria Math&quot;/&gt;&lt;w:i/&gt;&lt;w:sz-cs w:val=&quot;28&quot;/&gt;&lt;/w:rPr&gt;&lt;/m:ctrlPr&gt;&lt;/m:dPr&gt;&lt;m:e&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y&lt;/m:t&gt;&lt;/m:r&gt;&lt;m:r&gt;&lt;w:rPr&gt;&lt;w:rFonts w:ascii=&quot;MS Mincho&quot; w:h-ansi=&quot;MS Mincho&quot; w:cs=&quot;MS Mincho&quot;/&gt;&lt;wx:font wx:val=&quot;MS Mincho&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y&lt;/m:t&gt;&lt;/m:r&gt;&lt;/m:e&gt;&lt;m:sub&gt;&lt;m:r&gt;&lt;w:rPr&gt;&lt;w:rFonts w:ascii=&quot;Cambria Math&quot; w:h-ansi=&quot;Cambria Math&quot;/&gt;&lt;wx:font wx:val=&quot;Cambria Math&quot;/&gt;&lt;w:i/&gt;&lt;w:sz-cs w:val=&quot;28&quot;/&gt;&lt;/w:rPr&gt;&lt;m:t&gt;i&lt;/m:t&gt;&lt;/m:r&gt;&lt;/m:sub&gt;&lt;/m:sSub&gt;&lt;/m:num&gt;&lt;m:den&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lt;/m:t&gt;&lt;/m:r&gt;&lt;/m:sub&gt;&lt;m:sup&gt;&lt;m:r&gt;&lt;w:rPr&gt;&lt;w:rFonts w:ascii=&quot;Cambria Math&quot; w:h-ansi=&quot;Cambria Math&quot;/&gt;&lt;wx:font wx:val=&quot;Cambria Math&quot;/&gt;&lt;w:i/&gt;&lt;w:sz-cs w:val=&quot;28&quot;/&gt;&lt;/w:rPr&gt;&lt;m:t&gt;2&lt;/m:t&gt;&lt;/m:r&gt;&lt;/m:sup&gt;&lt;/m:sSubSup&gt;&lt;/m:den&gt;&lt;/m:f&gt;&lt;m:r&gt;&lt;w:rPr&gt;&lt;w:rFonts w:ascii=&quot;MS Mincho&quot; w:h-ansi=&quot;MS Mincho&quot; w:cs=&quot;MS Mincho&quot;/&gt;&lt;wx:font wx:val=&quot;MS Mincho&quot;/&gt;&lt;w:i/&gt;&lt;w:sz-cs w:val=&quot;28&quot;/&gt;&lt;/w:rPr&gt;&lt;m:t&gt;-&lt;/m:t&gt;&lt;/m:r&gt;&lt;m:f&gt;&lt;m:fPr&gt;&lt;m:ctrlPr&gt;&lt;w:rPr&gt;&lt;w:rFonts w:ascii=&quot;Cambria Math&quot; w:h-ansi=&quot;Cambria Math&quot;/&gt;&lt;wx:font wx:val=&quot;Cambria Math&quot;/&gt;&lt;w:i/&gt;&lt;w:sz-cs w:val=&quot;28&quot;/&gt;&lt;/w:rPr&gt;&lt;/m:ctrlPr&gt;&lt;/m:fPr&gt;&lt;m:num&gt;&lt;m:r&gt;&lt;w:rPr&gt;&lt;w:rFonts w:ascii=&quot;Cambria Math&quot; w:h-ansi=&quot;Cambria Math&quot;/&gt;&lt;wx:font wx:val=&quot;Cambria Math&quot;/&gt;&lt;w:i/&gt;&lt;w:sz-cs w:val=&quot;28&quot;/&gt;&lt;/w:rPr&gt;&lt;m:t&gt;y&lt;/m:t&gt;&lt;/m:r&gt;&lt;m:r&gt;&lt;w:rPr&gt;&lt;w:rFonts w:ascii=&quot;MS Mincho&quot; w:h-ansi=&quot;MS Mincho&quot; w:cs=&quot;MS Mincho&quot;/&gt;&lt;wx:font wx:val=&quot;MS Mincho&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y&lt;/m:t&gt;&lt;/m:r&gt;&lt;/m:e&gt;&lt;m:sub&gt;&lt;m:r&gt;&lt;w:rPr&gt;&lt;w:rFonts w:ascii=&quot;Cambria Math&quot; w:h-ansi=&quot;Cambria Math&quot;/&gt;&lt;wx:font wx:val=&quot;Cambria Math&quot;/&gt;&lt;w:i/&gt;&lt;w:sz-cs w:val=&quot;28&quot;/&gt;&lt;/w:rPr&gt;&lt;m:t&gt;j&lt;/m:t&gt;&lt;/m:r&gt;&lt;/m:sub&gt;&lt;/m:sSub&gt;&lt;/m:num&gt;&lt;m:den&gt;&lt;m:sSup&gt;&lt;m:sSupPr&gt;&lt;m:ctrlPr&gt;&lt;w:rPr&gt;&lt;w:rFonts w:ascii=&quot;Cambria Math&quot; w:h-ansi=&quot;Cambria Math&quot;/&gt;&lt;wx:font wx:val=&quot;Cambria Math&quot;/&gt;&lt;w:i/&gt;&lt;w:sz-cs w:val=&quot;28&quot;/&gt;&lt;/w:rPr&gt;&lt;/m:ctrlPr&gt;&lt;/m:sSupPr&gt;&lt;m:e&gt;&lt;m:d&gt;&lt;m:dPr&gt;&lt;m:ctrlPr&gt;&lt;w:rPr&gt;&lt;w:rFonts w:ascii=&quot;Cambria Math&quot; w:h-ansi=&quot;Cambria Math&quot;/&gt;&lt;wx:font wx:val=&quot;Cambria Math&quot;/&gt;&lt;w:i/&gt;&lt;w:sz-cs w:val=&quot;28&quot;/&gt;&lt;/w:rPr&gt;&lt;/m:ctrlPr&gt;&lt;/m:dPr&gt;&lt;m:e&gt;&lt;m:sSubSup&gt;&lt;m:sSubSupPr&gt;&lt;m:ctrlPr&gt;&lt;w:rPr&gt;&lt;w:rFonts w:ascii=&quot;Cambria Math&quot; w:h-ansi=&quot;Cambria Math&quot;/&gt;&lt;wx:font wx:val=&quot;Cambria Math&quot;/&gt;&lt;w:i/&gt;&lt;w:sz-cs w:val=&quot;28&quot;/&gt;&lt;/w:rPr&gt;&lt;/m:ctrlPr&gt;&lt;/m:sSubSupPr&gt;&lt;m:e&gt;&lt;m:r&gt;&lt;w:rPr&gt;&lt;w:rFonts w:ascii=&quot;Cambria Math&quot; w:h-ansi=&quot;Cambria Math&quot;/&gt;&lt;wx:font wx:val=&quot;Cambria Math&quot;/&gt;&lt;w:i/&gt;&lt;w:sz-cs w:val=&quot;28&quot;/&gt;&lt;/w:rPr&gt;&lt;m:t&gt;L&lt;/m:t&gt;&lt;/m:r&gt;&lt;/m:e&gt;&lt;m:sub&gt;&lt;m:r&gt;&lt;w:rPr&gt;&lt;w:rFonts w:ascii=&quot;Cambria Math&quot; w:h-ansi=&quot;Cambria Math&quot;/&gt;&lt;wx:font wx:val=&quot;Cambria Math&quot;/&gt;&lt;w:i/&gt;&lt;w:sz-cs w:val=&quot;28&quot;/&gt;&lt;/w:rPr&gt;&lt;m:t&gt;i&lt;/m:t&gt;&lt;/m:r&gt;&lt;/m:sub&gt;&lt;m:sup&gt;&lt;m:r&gt;&lt;w:rPr&gt;&lt;w:rFonts w:ascii=&quot;Cambria Math&quot; w:h-ansi=&quot;Cambria Math&quot; w:hint=&quot;fareast&quot;/&gt;&lt;wx:font wx:val=&quot;宋体&quot;/&gt;&lt;w:i/&gt;&lt;w:sz-cs w:val=&quot;28&quot;/&gt;&lt;/=&quot;w:rPr&gt;&lt;m:t&gt;‘&lt;/m:t&gt;&lt;/m:r&gt;&lt;/m:sup&gt;&lt;/m:sSubSup&gt;&lt;/m:e&gt;&lt;/m:d&gt;&lt;/m:e&gt;&lt;m:sup&gt;&lt;m:r&gt;&lt;w:rPr&gt;&lt;w:rFonts w:ascii=&quot;Cambria Math&quot; w:h-ansi=&quot;Cambria Math&quot;/&gt;&lt;wx:font wx:val=&quot;Cambria Math&quot;/&gt;&lt;w:i/&gt;&lt;w:sz-cs w:val=&quot;28&quot;/&gt;&lt;/w:rPr&gt;&lt;m:t&gt;2&lt;/m:t&gt;&lt;/m:r&gt;&lt;/m:sup&gt;&lt;/m:sSup&gt;&lt;/m:den&gt;&lt;/m:f&quot;&gt;&lt;/m:e&gt;&lt;/m: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41" chromakey="#FFFFFF" o:title=""/>
                  <o:lock v:ext="edit" aspectratio="t"/>
                  <w10:wrap type="none"/>
                  <w10:anchorlock/>
                </v:shape>
              </w:pict>
            </w:r>
            <w:r>
              <w:rPr>
                <w:rFonts w:hint="default"/>
                <w:color w:val="000000" w:themeColor="text1"/>
                <w:sz w:val="24"/>
                <w14:textFill>
                  <w14:solidFill>
                    <w14:schemeClr w14:val="tx1"/>
                  </w14:solidFill>
                </w14:textFill>
              </w:rPr>
              <w:fldChar w:fldCharType="end"/>
            </w:r>
            <w:r>
              <w:rPr>
                <w:rFonts w:hint="default"/>
                <w:color w:val="000000" w:themeColor="text1"/>
                <w:sz w:val="24"/>
                <w14:textFill>
                  <w14:solidFill>
                    <w14:schemeClr w14:val="tx1"/>
                  </w14:solidFill>
                </w14:textFill>
              </w:rPr>
              <w:t xml:space="preserve">   （式5）</w:t>
            </w:r>
          </w:p>
          <w:p w14:paraId="2A96273F">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式中：x</w:t>
            </w:r>
            <w:r>
              <w:rPr>
                <w:rFonts w:hint="default"/>
                <w:color w:val="000000" w:themeColor="text1"/>
                <w:sz w:val="24"/>
                <w:vertAlign w:val="subscript"/>
                <w14:textFill>
                  <w14:solidFill>
                    <w14:schemeClr w14:val="tx1"/>
                  </w14:solidFill>
                </w14:textFill>
              </w:rPr>
              <w:t>i</w:t>
            </w:r>
            <w:r>
              <w:rPr>
                <w:rFonts w:hint="default"/>
                <w:color w:val="000000" w:themeColor="text1"/>
                <w:sz w:val="24"/>
                <w14:textFill>
                  <w14:solidFill>
                    <w14:schemeClr w14:val="tx1"/>
                  </w14:solidFill>
                </w14:textFill>
              </w:rPr>
              <w:t>，y</w:t>
            </w:r>
            <w:r>
              <w:rPr>
                <w:rFonts w:hint="default"/>
                <w:color w:val="000000" w:themeColor="text1"/>
                <w:sz w:val="24"/>
                <w:vertAlign w:val="subscript"/>
                <w14:textFill>
                  <w14:solidFill>
                    <w14:schemeClr w14:val="tx1"/>
                  </w14:solidFill>
                </w14:textFill>
              </w:rPr>
              <w:t>i</w:t>
            </w:r>
            <w:r>
              <w:rPr>
                <w:rFonts w:hint="default"/>
                <w:color w:val="000000" w:themeColor="text1"/>
                <w:sz w:val="24"/>
                <w14:textFill>
                  <w14:solidFill>
                    <w14:schemeClr w14:val="tx1"/>
                  </w14:solidFill>
                </w14:textFill>
              </w:rPr>
              <w:t>-导线i的坐标（I=1、2……n）；</w:t>
            </w:r>
          </w:p>
          <w:p w14:paraId="068A895B">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m-导线数量；</w:t>
            </w:r>
          </w:p>
          <w:p w14:paraId="74146E87">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L</w:t>
            </w:r>
            <w:r>
              <w:rPr>
                <w:rFonts w:hint="default"/>
                <w:color w:val="000000" w:themeColor="text1"/>
                <w:sz w:val="24"/>
                <w:vertAlign w:val="subscript"/>
                <w14:textFill>
                  <w14:solidFill>
                    <w14:schemeClr w14:val="tx1"/>
                  </w14:solidFill>
                </w14:textFill>
              </w:rPr>
              <w:t>i</w:t>
            </w:r>
            <w:r>
              <w:rPr>
                <w:rFonts w:hint="default"/>
                <w:color w:val="000000" w:themeColor="text1"/>
                <w:sz w:val="24"/>
                <w14:textFill>
                  <w14:solidFill>
                    <w14:schemeClr w14:val="tx1"/>
                  </w14:solidFill>
                </w14:textFill>
              </w:rPr>
              <w:t>，L</w:t>
            </w:r>
            <w:r>
              <w:rPr>
                <w:rFonts w:hint="default"/>
                <w:color w:val="000000" w:themeColor="text1"/>
                <w:sz w:val="24"/>
                <w:vertAlign w:val="subscript"/>
                <w14:textFill>
                  <w14:solidFill>
                    <w14:schemeClr w14:val="tx1"/>
                  </w14:solidFill>
                </w14:textFill>
              </w:rPr>
              <w:t>j</w:t>
            </w:r>
            <w:r>
              <w:rPr>
                <w:rFonts w:hint="default"/>
                <w:color w:val="000000" w:themeColor="text1"/>
                <w:sz w:val="24"/>
                <w14:textFill>
                  <w14:solidFill>
                    <w14:schemeClr w14:val="tx1"/>
                  </w14:solidFill>
                </w14:textFill>
              </w:rPr>
              <w:t>-分别为导线I及其镜像至计算点的距离。</w:t>
            </w:r>
          </w:p>
          <w:p w14:paraId="5021B622">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空间任一点合成场强为：</w:t>
            </w:r>
          </w:p>
          <w:p w14:paraId="23F3EA62">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fldChar w:fldCharType="begin"/>
            </w:r>
            <w:r>
              <w:rPr>
                <w:rFonts w:hint="default"/>
                <w:color w:val="000000" w:themeColor="text1"/>
                <w:sz w:val="24"/>
                <w14:textFill>
                  <w14:solidFill>
                    <w14:schemeClr w14:val="tx1"/>
                  </w14:solidFill>
                </w14:textFill>
              </w:rPr>
              <w:instrText xml:space="preserve"> QUOTE </w:instrText>
            </w:r>
            <w:r>
              <w:rPr>
                <w:rFonts w:hint="default"/>
                <w:color w:val="000000" w:themeColor="text1"/>
                <w:position w:val="-24"/>
                <w:sz w:val="24"/>
                <w14:textFill>
                  <w14:solidFill>
                    <w14:schemeClr w14:val="tx1"/>
                  </w14:solidFill>
                </w14:textFill>
              </w:rPr>
              <w:pict>
                <v:shape id="_x0000_i1035" o:spt="75" type="#_x0000_t75" style="height:31.5pt;width:73.5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29FA&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9B29FA&quot; wsp:rsidP=&quot;009B29FA&quot;&gt;&lt;w:pPr&gt;&lt;w:ind w:first-line=&quot;480&quot;/&gt;&lt;/w:pPr&gt;&lt;m:oMathPara&gt;&lt;m:oMath&gt;&lt;m:r&gt;&lt;m:rPr&gt;&lt;m:sty m:val=&quot;p&quot;/&gt;&lt;/m:rPr&gt;&lt;w:rPr&gt;&lt;w:rFonts w:ascii=&quot;Cambria Math&quot; w:h-ansi=&quot;Cambria Math&quot;/&gt;&lt;wx:font wx:val=&quot;Cambria Math&quot;/&gt;&lt;w:sz-cs w:val=&quot;28&quot;/&gt;&lt;/w:rPr&gt;&lt;m:t&gt;E=&lt;/m:t&gt;&lt;/m:r&gt;&lt;m:d&gt;&lt;m:dPr&gt;&lt;m:begChr m:val=&quot;|&quot;/&gt;&lt;m:endChr m:val=&quot;|&quot;/&gt;&lt;m:ctrlPr&gt;&lt;w:rPr&gt;&lt;w:rFonts w:ascii=&quot;Cambria Math&quot; w:h-ansi=&quot;Cambria Math&quot;/&gt;&lt;wx:font wx:val=&quot;Cambria Math&quot;/&gt;&lt;w:sz-cs w:val=&quot;28&quot;/&gt;&lt;/w:rPr&gt;&lt;/m:ctrlPr&gt;&lt;/m:dP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E&lt;/m:t&gt;&lt;/m:r&gt;&lt;/m:e&gt;&lt;m:sub&gt;&lt;m:eqArr&gt;&lt;m:eqArrPr&gt;&lt;m:ctrlPr&gt;&lt;w:rPr&gt;&lt;w:rFonts w:ascii=&quot;Cambria Math&quot; w:h-ansi=&quot;Cambria Math&quot;/&gt;&lt;wx:font wx:val=&quot;Cambria Math&quot;/&gt;&lt;w:i/&gt;&lt;w:sz-cs w:val=&quot;28&quot;/&gt;&lt;/w:rPr&gt;&lt;/m:ctrlPr&gt;&lt;/m:eqArrPr&gt;&lt;m:e&gt;&lt;m:r&gt;&lt;w:rPr&gt;&lt;w:rFonts w:ascii=&quot;Cambria Math&quot; w:h-ansi=&quot;Cambria Math&quot;/&gt;&lt;wx:font wx:val=&quot;Cambria Math&quot;/&gt;&lt;w:i/&gt;&lt;w:sz-cs w:val=&quot;28&quot;/&gt;&lt;/w:rPr&gt;&lt;m:t&gt;X&lt;/m:t&gt;&lt;/m:r&gt;&lt;/m:e&gt;&lt;m:e/&gt;&lt;/m:eqArr&gt;&lt;/m:sub&gt;&lt;/m:sSub&gt;&lt;m:r&gt;&lt;w:rPr&gt;&lt;w:rFonts w:ascii=&quot;Cambria Math&quot; w:h-ansi=&quot;Cambria Math&quot;/&gt;&lt;wx:font wx:val=&quot;Cambria Math&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E&lt;/m:t&gt;&lt;/m:r&gt;&lt;/m:e&gt;&lt;m:sub&gt;&lt;m:r&gt;&lt;w:rPr&gt;&lt;w:rFonts w:ascii=&quot;Cambria Math&quot; w:h-ansi=&quot;Cambria Math&quot;/&gt;&lt;wx:font wx:val=&quot;Cambria Math&quot;/&gt;&lt;w:i/&gt;&lt;w:sz-cs w:val=&quot;28&quot;/&gt;&lt;/w:rPr&gt;&lt;m:t&gt;y&lt;/m:t&gt;&lt;/m:r&gt;&lt;/m:sub&gt;&lt;/m:sSub&gt;&lt;/m:e&gt;&lt;/m: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42" chromakey="#FFFFFF" o:title=""/>
                  <o:lock v:ext="edit" aspectratio="t"/>
                  <w10:wrap type="none"/>
                  <w10:anchorlock/>
                </v:shape>
              </w:pict>
            </w:r>
            <w:r>
              <w:rPr>
                <w:rFonts w:hint="default"/>
                <w:color w:val="000000" w:themeColor="text1"/>
                <w:sz w:val="24"/>
                <w14:textFill>
                  <w14:solidFill>
                    <w14:schemeClr w14:val="tx1"/>
                  </w14:solidFill>
                </w14:textFill>
              </w:rPr>
              <w:instrText xml:space="preserve"> </w:instrText>
            </w:r>
            <w:r>
              <w:rPr>
                <w:rFonts w:hint="default"/>
                <w:color w:val="000000" w:themeColor="text1"/>
                <w:sz w:val="24"/>
                <w14:textFill>
                  <w14:solidFill>
                    <w14:schemeClr w14:val="tx1"/>
                  </w14:solidFill>
                </w14:textFill>
              </w:rPr>
              <w:fldChar w:fldCharType="separate"/>
            </w:r>
            <w:r>
              <w:rPr>
                <w:rFonts w:hint="default"/>
                <w:color w:val="000000" w:themeColor="text1"/>
                <w:position w:val="-24"/>
                <w:sz w:val="24"/>
                <w14:textFill>
                  <w14:solidFill>
                    <w14:schemeClr w14:val="tx1"/>
                  </w14:solidFill>
                </w14:textFill>
              </w:rPr>
              <w:pict>
                <v:shape id="_x0000_i1036" o:spt="75" type="#_x0000_t75" style="height:31.5pt;width:73.5pt;" fill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webPageEncoding w:val=&quot;x-cp20936&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96E41&quot;/&gt;&lt;wsp:rsid wsp:val=&quot;000217AD&quot;/&gt;&lt;wsp:rsid wsp:val=&quot;00037434&quot;/&gt;&lt;wsp:rsid wsp:val=&quot;00043D2E&quot;/&gt;&lt;wsp:rsid wsp:val=&quot;000A36EA&quot;/&gt;&lt;wsp:rsid wsp:val=&quot;000A4066&quot;/&gt;&lt;wsp:rsid wsp:val=&quot;000A555D&quot;/&gt;&lt;wsp:rsid wsp:val=&quot;000E57B8&quot;/&gt;&lt;wsp:rsid wsp:val=&quot;00107C7E&quot;/&gt;&lt;wsp:rsid wsp:val=&quot;001114BF&quot;/&gt;&lt;wsp:rsid wsp:val=&quot;00120801&quot;/&gt;&lt;wsp:rsid wsp:val=&quot;00125AA8&quot;/&gt;&lt;wsp:rsid wsp:val=&quot;00132BBE&quot;/&gt;&lt;wsp:rsid wsp:val=&quot;00146CDB&quot;/&gt;&lt;wsp:rsid wsp:val=&quot;0017046A&quot;/&gt;&lt;wsp:rsid wsp:val=&quot;001723AE&quot;/&gt;&lt;wsp:rsid wsp:val=&quot;00172898&quot;/&gt;&lt;wsp:rsid wsp:val=&quot;001C2F18&quot;/&gt;&lt;wsp:rsid wsp:val=&quot;001D6B3E&quot;/&gt;&lt;wsp:rsid wsp:val=&quot;0020168D&quot;/&gt;&lt;wsp:rsid wsp:val=&quot;00204E9F&quot;/&gt;&lt;wsp:rsid wsp:val=&quot;00207C75&quot;/&gt;&lt;wsp:rsid wsp:val=&quot;00225E7C&quot;/&gt;&lt;wsp:rsid wsp:val=&quot;00290829&quot;/&gt;&lt;wsp:rsid wsp:val=&quot;00292C49&quot;/&gt;&lt;wsp:rsid wsp:val=&quot;00292E10&quot;/&gt;&lt;wsp:rsid wsp:val=&quot;00296506&quot;/&gt;&lt;wsp:rsid wsp:val=&quot;00296821&quot;/&gt;&lt;wsp:rsid wsp:val=&quot;002C1389&quot;/&gt;&lt;wsp:rsid wsp:val=&quot;002C2A58&quot;/&gt;&lt;wsp:rsid wsp:val=&quot;002E48FF&quot;/&gt;&lt;wsp:rsid wsp:val=&quot;003344FD&quot;/&gt;&lt;wsp:rsid wsp:val=&quot;00351C9D&quot;/&gt;&lt;wsp:rsid wsp:val=&quot;00352755&quot;/&gt;&lt;wsp:rsid wsp:val=&quot;003700B1&quot;/&gt;&lt;wsp:rsid wsp:val=&quot;00376F33&quot;/&gt;&lt;wsp:rsid wsp:val=&quot;00397FAD&quot;/&gt;&lt;wsp:rsid wsp:val=&quot;003B4363&quot;/&gt;&lt;wsp:rsid wsp:val=&quot;003C55CD&quot;/&gt;&lt;wsp:rsid wsp:val=&quot;004322A8&quot;/&gt;&lt;wsp:rsid wsp:val=&quot;00435859&quot;/&gt;&lt;wsp:rsid wsp:val=&quot;00441F97&quot;/&gt;&lt;wsp:rsid wsp:val=&quot;00444707&quot;/&gt;&lt;wsp:rsid wsp:val=&quot;00453011&quot;/&gt;&lt;wsp:rsid wsp:val=&quot;004614EE&quot;/&gt;&lt;wsp:rsid wsp:val=&quot;0046237E&quot;/&gt;&lt;wsp:rsid wsp:val=&quot;00474720&quot;/&gt;&lt;wsp:rsid wsp:val=&quot;00476523&quot;/&gt;&lt;wsp:rsid wsp:val=&quot;004A15E6&quot;/&gt;&lt;wsp:rsid wsp:val=&quot;004B48CF&quot;/&gt;&lt;wsp:rsid wsp:val=&quot;004B5B42&quot;/&gt;&lt;wsp:rsid wsp:val=&quot;004B7D58&quot;/&gt;&lt;wsp:rsid wsp:val=&quot;004C2AFC&quot;/&gt;&lt;wsp:rsid wsp:val=&quot;004F6145&quot;/&gt;&lt;wsp:rsid wsp:val=&quot;005057C2&quot;/&gt;&lt;wsp:rsid wsp:val=&quot;0054395F&quot;/&gt;&lt;wsp:rsid wsp:val=&quot;005451F7&quot;/&gt;&lt;wsp:rsid wsp:val=&quot;005652BE&quot;/&gt;&lt;wsp:rsid wsp:val=&quot;005B4F6B&quot;/&gt;&lt;wsp:rsid wsp:val=&quot;005C6B99&quot;/&gt;&lt;wsp:rsid wsp:val=&quot;005F49E4&quot;/&gt;&lt;wsp:rsid wsp:val=&quot;0063468F&quot;/&gt;&lt;wsp:rsid wsp:val=&quot;0065118C&quot;/&gt;&lt;wsp:rsid wsp:val=&quot;00651B4B&quot;/&gt;&lt;wsp:rsid wsp:val=&quot;00660D93&quot;/&gt;&lt;wsp:rsid wsp:val=&quot;00663299&quot;/&gt;&lt;wsp:rsid wsp:val=&quot;00676CCF&quot;/&gt;&lt;wsp:rsid wsp:val=&quot;00676DEB&quot;/&gt;&lt;wsp:rsid wsp:val=&quot;0068582F&quot;/&gt;&lt;wsp:rsid wsp:val=&quot;006C5CF6&quot;/&gt;&lt;wsp:rsid wsp:val=&quot;006D53D3&quot;/&gt;&lt;wsp:rsid wsp:val=&quot;006D681B&quot;/&gt;&lt;wsp:rsid wsp:val=&quot;00700801&quot;/&gt;&lt;wsp:rsid wsp:val=&quot;00703389&quot;/&gt;&lt;wsp:rsid wsp:val=&quot;00713209&quot;/&gt;&lt;wsp:rsid wsp:val=&quot;007554F2&quot;/&gt;&lt;wsp:rsid wsp:val=&quot;00755E5C&quot;/&gt;&lt;wsp:rsid wsp:val=&quot;00765D34&quot;/&gt;&lt;wsp:rsid wsp:val=&quot;0076696F&quot;/&gt;&lt;wsp:rsid wsp:val=&quot;007A1056&quot;/&gt;&lt;wsp:rsid wsp:val=&quot;007A52B2&quot;/&gt;&lt;wsp:rsid wsp:val=&quot;007B1FDE&quot;/&gt;&lt;wsp:rsid wsp:val=&quot;007B2B6D&quot;/&gt;&lt;wsp:rsid wsp:val=&quot;007D2FC4&quot;/&gt;&lt;wsp:rsid wsp:val=&quot;007E1651&quot;/&gt;&lt;wsp:rsid wsp:val=&quot;007F0B7F&quot;/&gt;&lt;wsp:rsid wsp:val=&quot;00831098&quot;/&gt;&lt;wsp:rsid wsp:val=&quot;00834F99&quot;/&gt;&lt;wsp:rsid wsp:val=&quot;00845BBB&quot;/&gt;&lt;wsp:rsid wsp:val=&quot;00853727&quot;/&gt;&lt;wsp:rsid wsp:val=&quot;00863289&quot;/&gt;&lt;wsp:rsid wsp:val=&quot;00863644&quot;/&gt;&lt;wsp:rsid wsp:val=&quot;008A0679&quot;/&gt;&lt;wsp:rsid wsp:val=&quot;008A4737&quot;/&gt;&lt;wsp:rsid wsp:val=&quot;008A6EF2&quot;/&gt;&lt;wsp:rsid wsp:val=&quot;008D4AC0&quot;/&gt;&lt;wsp:rsid wsp:val=&quot;008F7C47&quot;/&gt;&lt;wsp:rsid wsp:val=&quot;009003EE&quot;/&gt;&lt;wsp:rsid wsp:val=&quot;0090485D&quot;/&gt;&lt;wsp:rsid wsp:val=&quot;0090745C&quot;/&gt;&lt;wsp:rsid wsp:val=&quot;00933911&quot;/&gt;&lt;wsp:rsid wsp:val=&quot;009376F0&quot;/&gt;&lt;wsp:rsid wsp:val=&quot;00947EAF&quot;/&gt;&lt;wsp:rsid wsp:val=&quot;00956C66&quot;/&gt;&lt;wsp:rsid wsp:val=&quot;009730DC&quot;/&gt;&lt;wsp:rsid wsp:val=&quot;00982971&quot;/&gt;&lt;wsp:rsid wsp:val=&quot;00994400&quot;/&gt;&lt;wsp:rsid wsp:val=&quot;009B29FA&quot;/&gt;&lt;wsp:rsid wsp:val=&quot;009B5B10&quot;/&gt;&lt;wsp:rsid wsp:val=&quot;009C7305&quot;/&gt;&lt;wsp:rsid wsp:val=&quot;009D77CF&quot;/&gt;&lt;wsp:rsid wsp:val=&quot;009E5C77&quot;/&gt;&lt;wsp:rsid wsp:val=&quot;009F61AC&quot;/&gt;&lt;wsp:rsid wsp:val=&quot;00A21B25&quot;/&gt;&lt;wsp:rsid wsp:val=&quot;00A3686B&quot;/&gt;&lt;wsp:rsid wsp:val=&quot;00A54D95&quot;/&gt;&lt;wsp:rsid wsp:val=&quot;00A71F2C&quot;/&gt;&lt;wsp:rsid wsp:val=&quot;00A7666C&quot;/&gt;&lt;wsp:rsid wsp:val=&quot;00A9644E&quot;/&gt;&lt;wsp:rsid wsp:val=&quot;00AB61C5&quot;/&gt;&lt;wsp:rsid wsp:val=&quot;00AF7DBA&quot;/&gt;&lt;wsp:rsid wsp:val=&quot;00B14EF2&quot;/&gt;&lt;wsp:rsid wsp:val=&quot;00B23F22&quot;/&gt;&lt;wsp:rsid wsp:val=&quot;00B8309C&quot;/&gt;&lt;wsp:rsid wsp:val=&quot;00B85DCE&quot;/&gt;&lt;wsp:rsid wsp:val=&quot;00B966A9&quot;/&gt;&lt;wsp:rsid wsp:val=&quot;00BA0584&quot;/&gt;&lt;wsp:rsid wsp:val=&quot;00BC1721&quot;/&gt;&lt;wsp:rsid wsp:val=&quot;00BC476E&quot;/&gt;&lt;wsp:rsid wsp:val=&quot;00BE5951&quot;/&gt;&lt;wsp:rsid wsp:val=&quot;00C040B3&quot;/&gt;&lt;wsp:rsid wsp:val=&quot;00C10EA9&quot;/&gt;&lt;wsp:rsid wsp:val=&quot;00C354A3&quot;/&gt;&lt;wsp:rsid wsp:val=&quot;00C70B7E&quot;/&gt;&lt;wsp:rsid wsp:val=&quot;00C73028&quot;/&gt;&lt;wsp:rsid wsp:val=&quot;00C96E41&quot;/&gt;&lt;wsp:rsid wsp:val=&quot;00CA02CF&quot;/&gt;&lt;wsp:rsid wsp:val=&quot;00CB70F4&quot;/&gt;&lt;wsp:rsid wsp:val=&quot;00CD749B&quot;/&gt;&lt;wsp:rsid wsp:val=&quot;00CE3382&quot;/&gt;&lt;wsp:rsid wsp:val=&quot;00D041ED&quot;/&gt;&lt;wsp:rsid wsp:val=&quot;00D43EB9&quot;/&gt;&lt;wsp:rsid wsp:val=&quot;00D46C38&quot;/&gt;&lt;wsp:rsid wsp:val=&quot;00D54154&quot;/&gt;&lt;wsp:rsid wsp:val=&quot;00D562E5&quot;/&gt;&lt;wsp:rsid wsp:val=&quot;00D56838&quot;/&gt;&lt;wsp:rsid wsp:val=&quot;00D61F39&quot;/&gt;&lt;wsp:rsid wsp:val=&quot;00D624BB&quot;/&gt;&lt;wsp:rsid wsp:val=&quot;00D730E6&quot;/&gt;&lt;wsp:rsid wsp:val=&quot;00D9072C&quot;/&gt;&lt;wsp:rsid wsp:val=&quot;00DF007F&quot;/&gt;&lt;wsp:rsid wsp:val=&quot;00E17DCF&quot;/&gt;&lt;wsp:rsid wsp:val=&quot;00E32BD4&quot;/&gt;&lt;wsp:rsid wsp:val=&quot;00E446FA&quot;/&gt;&lt;wsp:rsid wsp:val=&quot;00E67B99&quot;/&gt;&lt;wsp:rsid wsp:val=&quot;00E74BD4&quot;/&gt;&lt;wsp:rsid wsp:val=&quot;00EC13CA&quot;/&gt;&lt;wsp:rsid wsp:val=&quot;00ED1ECF&quot;/&gt;&lt;wsp:rsid wsp:val=&quot;00ED2EF7&quot;/&gt;&lt;wsp:rsid wsp:val=&quot;00ED4D7C&quot;/&gt;&lt;wsp:rsid wsp:val=&quot;00EF02F5&quot;/&gt;&lt;wsp:rsid wsp:val=&quot;00EF2D77&quot;/&gt;&lt;wsp:rsid wsp:val=&quot;00EF41B1&quot;/&gt;&lt;wsp:rsid wsp:val=&quot;00F203AA&quot;/&gt;&lt;wsp:rsid wsp:val=&quot;00F25A83&quot;/&gt;&lt;wsp:rsid wsp:val=&quot;00F325C1&quot;/&gt;&lt;wsp:rsid wsp:val=&quot;00F37197&quot;/&gt;&lt;wsp:rsid wsp:val=&quot;00F37B82&quot;/&gt;&lt;wsp:rsid wsp:val=&quot;00F51981&quot;/&gt;&lt;wsp:rsid wsp:val=&quot;00FB100B&quot;/&gt;&lt;wsp:rsid wsp:val=&quot;00FC7D8D&quot;/&gt;&lt;wsp:rsid wsp:val=&quot;00FD3170&quot;/&gt;&lt;wsp:rsid wsp:val=&quot;00FF6339&quot;/&gt;&lt;wsp:rsid wsp:val=&quot;00FF6553&quot;/&gt;&lt;wsp:rsid wsp:val=&quot;010E72CB&quot;/&gt;&lt;wsp:rsid wsp:val=&quot;038247D1&quot;/&gt;&lt;wsp:rsid wsp:val=&quot;055830D2&quot;/&gt;&lt;wsp:rsid wsp:val=&quot;05D77224&quot;/&gt;&lt;wsp:rsid wsp:val=&quot;08F62644&quot;/&gt;&lt;wsp:rsid wsp:val=&quot;091C7001&quot;/&gt;&lt;wsp:rsid wsp:val=&quot;0A5C3784&quot;/&gt;&lt;wsp:rsid wsp:val=&quot;0AA8200A&quot;/&gt;&lt;wsp:rsid wsp:val=&quot;0B755EDB&quot;/&gt;&lt;wsp:rsid wsp:val=&quot;0C115D59&quot;/&gt;&lt;wsp:rsid wsp:val=&quot;0C157FE3&quot;/&gt;&lt;wsp:rsid wsp:val=&quot;0C6A76ED&quot;/&gt;&lt;wsp:rsid wsp:val=&quot;0E172C2B&quot;/&gt;&lt;wsp:rsid wsp:val=&quot;0E2C734E&quot;/&gt;&lt;wsp:rsid wsp:val=&quot;0E9F3E09&quot;/&gt;&lt;wsp:rsid wsp:val=&quot;0F0F53C2&quot;/&gt;&lt;wsp:rsid wsp:val=&quot;0FC72972&quot;/&gt;&lt;wsp:rsid wsp:val=&quot;0FCE44FB&quot;/&gt;&lt;wsp:rsid wsp:val=&quot;10B33874&quot;/&gt;&lt;wsp:rsid wsp:val=&quot;114D3A73&quot;/&gt;&lt;wsp:rsid wsp:val=&quot;11E12C61&quot;/&gt;&lt;wsp:rsid wsp:val=&quot;135D1254&quot;/&gt;&lt;wsp:rsid wsp:val=&quot;148C60C3&quot;/&gt;&lt;wsp:rsid wsp:val=&quot;14D46A2C&quot;/&gt;&lt;wsp:rsid wsp:val=&quot;154E1A04&quot;/&gt;&lt;wsp:rsid wsp:val=&quot;154F3C02&quot;/&gt;&lt;wsp:rsid wsp:val=&quot;15786FC5&quot;/&gt;&lt;wsp:rsid wsp:val=&quot;16F37B36&quot;/&gt;&lt;wsp:rsid wsp:val=&quot;17920939&quot;/&gt;&lt;wsp:rsid wsp:val=&quot;19B95D40&quot;/&gt;&lt;wsp:rsid wsp:val=&quot;1A48432A&quot;/&gt;&lt;wsp:rsid wsp:val=&quot;1C3B3861&quot;/&gt;&lt;wsp:rsid wsp:val=&quot;1C947772&quot;/&gt;&lt;wsp:rsid wsp:val=&quot;1DED79A4&quot;/&gt;&lt;wsp:rsid wsp:val=&quot;1E33399B&quot;/&gt;&lt;wsp:rsid wsp:val=&quot;1E857F22&quot;/&gt;&lt;wsp:rsid wsp:val=&quot;21B80CDF&quot;/&gt;&lt;wsp:rsid wsp:val=&quot;21F94FCB&quot;/&gt;&lt;wsp:rsid wsp:val=&quot;22151078&quot;/&gt;&lt;wsp:rsid wsp:val=&quot;221F1988&quot;/&gt;&lt;wsp:rsid wsp:val=&quot;23E847F6&quot;/&gt;&lt;wsp:rsid wsp:val=&quot;247B506A&quot;/&gt;&lt;wsp:rsid wsp:val=&quot;2598673B&quot;/&gt;&lt;wsp:rsid wsp:val=&quot;268818C7&quot;/&gt;&lt;wsp:rsid wsp:val=&quot;26FF6F87&quot;/&gt;&lt;wsp:rsid wsp:val=&quot;27355263&quot;/&gt;&lt;wsp:rsid wsp:val=&quot;28190D59&quot;/&gt;&lt;wsp:rsid wsp:val=&quot;283205FE&quot;/&gt;&lt;wsp:rsid wsp:val=&quot;2887138D&quot;/&gt;&lt;wsp:rsid wsp:val=&quot;28E848A9&quot;/&gt;&lt;wsp:rsid wsp:val=&quot;2AEA2D75&quot;/&gt;&lt;wsp:rsid wsp:val=&quot;2C341A92&quot;/&gt;&lt;wsp:rsid wsp:val=&quot;2D167E87&quot;/&gt;&lt;wsp:rsid wsp:val=&quot;2DE64CDC&quot;/&gt;&lt;wsp:rsid wsp:val=&quot;2E460579&quot;/&gt;&lt;wsp:rsid wsp:val=&quot;2EE6487F&quot;/&gt;&lt;wsp:rsid wsp:val=&quot;2F45269A&quot;/&gt;&lt;wsp:rsid wsp:val=&quot;2F616747&quot;/&gt;&lt;wsp:rsid wsp:val=&quot;2F6D385E&quot;/&gt;&lt;wsp:rsid wsp:val=&quot;30AD41EB&quot;/&gt;&lt;wsp:rsid wsp:val=&quot;31AF7290&quot;/&gt;&lt;wsp:rsid wsp:val=&quot;31D84BD1&quot;/&gt;&lt;wsp:rsid wsp:val=&quot;31F63288&quot;/&gt;&lt;wsp:rsid wsp:val=&quot;3282506A&quot;/&gt;&lt;wsp:rsid wsp:val=&quot;339B13BA&quot;/&gt;&lt;wsp:rsid wsp:val=&quot;34CD2A31&quot;/&gt;&lt;wsp:rsid wsp:val=&quot;363C4E06&quot;/&gt;&lt;wsp:rsid wsp:val=&quot;376E647C&quot;/&gt;&lt;wsp:rsid wsp:val=&quot;38C522B1&quot;/&gt;&lt;wsp:rsid wsp:val=&quot;39176838&quot;/&gt;&lt;wsp:rsid wsp:val=&quot;3A6B5E65&quot;/&gt;&lt;wsp:rsid wsp:val=&quot;3AC342F5&quot;/&gt;&lt;wsp:rsid wsp:val=&quot;3BE86656&quot;/&gt;&lt;wsp:rsid wsp:val=&quot;3C11529C&quot;/&gt;&lt;wsp:rsid wsp:val=&quot;3DFE37C3&quot;/&gt;&lt;wsp:rsid wsp:val=&quot;3E0B5057&quot;/&gt;&lt;wsp:rsid wsp:val=&quot;3E1A5671&quot;/&gt;&lt;wsp:rsid wsp:val=&quot;3F8D7751&quot;/&gt;&lt;wsp:rsid wsp:val=&quot;401A063A&quot;/&gt;&lt;wsp:rsid wsp:val=&quot;40965A05&quot;/&gt;&lt;wsp:rsid wsp:val=&quot;41084A3F&quot;/&gt;&lt;wsp:rsid wsp:val=&quot;411462D3&quot;/&gt;&lt;wsp:rsid wsp:val=&quot;41C11C6F&quot;/&gt;&lt;wsp:rsid wsp:val=&quot;41D66391&quot;/&gt;&lt;wsp:rsid wsp:val=&quot;421019EE&quot;/&gt;&lt;wsp:rsid wsp:val=&quot;421C6B06&quot;/&gt;&lt;wsp:rsid wsp:val=&quot;443416F4&quot;/&gt;&lt;wsp:rsid wsp:val=&quot;449F0DA3&quot;/&gt;&lt;wsp:rsid wsp:val=&quot;4582269B&quot;/&gt;&lt;wsp:rsid wsp:val=&quot;459B1F40&quot;/&gt;&lt;wsp:rsid wsp:val=&quot;45C9178A&quot;/&gt;&lt;wsp:rsid wsp:val=&quot;47143D2B&quot;/&gt;&lt;wsp:rsid wsp:val=&quot;474E7388&quot;/&gt;&lt;wsp:rsid wsp:val=&quot;47966882&quot;/&gt;&lt;wsp:rsid wsp:val=&quot;47F25917&quot;/&gt;&lt;wsp:rsid wsp:val=&quot;489973AA&quot;/&gt;&lt;wsp:rsid wsp:val=&quot;48B06FCF&quot;/&gt;&lt;wsp:rsid wsp:val=&quot;4A884657&quot;/&gt;&lt;wsp:rsid wsp:val=&quot;4B1367B9&quot;/&gt;&lt;wsp:rsid wsp:val=&quot;4B545024&quot;/&gt;&lt;wsp:rsid wsp:val=&quot;4C816990&quot;/&gt;&lt;wsp:rsid wsp:val=&quot;4DA457ED&quot;/&gt;&lt;wsp:rsid wsp:val=&quot;4F080938&quot;/&gt;&lt;wsp:rsid wsp:val=&quot;4F7D08F7&quot;/&gt;&lt;wsp:rsid wsp:val=&quot;500E01E6&quot;/&gt;&lt;wsp:rsid wsp:val=&quot;5054095A&quot;/&gt;&lt;wsp:rsid wsp:val=&quot;50DF4CBB&quot;/&gt;&lt;wsp:rsid wsp:val=&quot;50EC654F&quot;/&gt;&lt;wsp:rsid wsp:val=&quot;51206DA9&quot;/&gt;&lt;wsp:rsid wsp:val=&quot;51563A00&quot;/&gt;&lt;wsp:rsid wsp:val=&quot;51DF029A&quot;/&gt;&lt;wsp:rsid wsp:val=&quot;5245110A&quot;/&gt;&lt;wsp:rsid wsp:val=&quot;53B953E8&quot;/&gt;&lt;wsp:rsid wsp:val=&quot;53D57297&quot;/&gt;&lt;wsp:rsid wsp:val=&quot;54244A97&quot;/&gt;&lt;wsp:rsid wsp:val=&quot;543D59C1&quot;/&gt;&lt;wsp:rsid wsp:val=&quot;5472041A&quot;/&gt;&lt;wsp:rsid wsp:val=&quot;54843BB7&quot;/&gt;&lt;wsp:rsid wsp:val=&quot;573F3A30&quot;/&gt;&lt;wsp:rsid wsp:val=&quot;577A3C15&quot;/&gt;&lt;wsp:rsid wsp:val=&quot;57882F2B&quot;/&gt;&lt;wsp:rsid wsp:val=&quot;57AB0B61&quot;/&gt;&lt;wsp:rsid wsp:val=&quot;583F4C58&quot;/&gt;&lt;wsp:rsid wsp:val=&quot;585225F3&quot;/&gt;&lt;wsp:rsid wsp:val=&quot;58A80E04&quot;/&gt;&lt;wsp:rsid wsp:val=&quot;58BC7AA4&quot;/&gt;&lt;wsp:rsid wsp:val=&quot;59620232&quot;/&gt;&lt;wsp:rsid wsp:val=&quot;597823D6&quot;/&gt;&lt;wsp:rsid wsp:val=&quot;597A115C&quot;/&gt;&lt;wsp:rsid wsp:val=&quot;59810AE7&quot;/&gt;&lt;wsp:rsid wsp:val=&quot;599C4B94&quot;/&gt;&lt;wsp:rsid wsp:val=&quot;5A0709C0&quot;/&gt;&lt;wsp:rsid wsp:val=&quot;5A1B7661&quot;/&gt;&lt;wsp:rsid wsp:val=&quot;5BDE63C8&quot;/&gt;&lt;wsp:rsid wsp:val=&quot;5CD84061&quot;/&gt;&lt;wsp:rsid wsp:val=&quot;5CDE5F6B&quot;/&gt;&lt;wsp:rsid wsp:val=&quot;5D207CD9&quot;/&gt;&lt;wsp:rsid wsp:val=&quot;5DF125B0&quot;/&gt;&lt;wsp:rsid wsp:val=&quot;5FFD138B&quot;/&gt;&lt;wsp:rsid wsp:val=&quot;600F70A7&quot;/&gt;&lt;wsp:rsid wsp:val=&quot;60297C51&quot;/&gt;&lt;wsp:rsid wsp:val=&quot;60510E15&quot;/&gt;&lt;wsp:rsid wsp:val=&quot;609B470C&quot;/&gt;&lt;wsp:rsid wsp:val=&quot;611C3D61&quot;/&gt;&lt;wsp:rsid wsp:val=&quot;64D84A81&quot;/&gt;&lt;wsp:rsid wsp:val=&quot;65090AD4&quot;/&gt;&lt;wsp:rsid wsp:val=&quot;65282282&quot;/&gt;&lt;wsp:rsid wsp:val=&quot;66ED66EB&quot;/&gt;&lt;wsp:rsid wsp:val=&quot;68290671&quot;/&gt;&lt;wsp:rsid wsp:val=&quot;696B7D83&quot;/&gt;&lt;wsp:rsid wsp:val=&quot;69740693&quot;/&gt;&lt;wsp:rsid wsp:val=&quot;698663AF&quot;/&gt;&lt;wsp:rsid wsp:val=&quot;69E7734D&quot;/&gt;&lt;wsp:rsid wsp:val=&quot;6AFE4916&quot;/&gt;&lt;wsp:rsid wsp:val=&quot;6C953733&quot;/&gt;&lt;wsp:rsid wsp:val=&quot;6CA82754&quot;/&gt;&lt;wsp:rsid wsp:val=&quot;6DED7568&quot;/&gt;&lt;wsp:rsid wsp:val=&quot;6E986940&quot;/&gt;&lt;wsp:rsid wsp:val=&quot;6EE82C83&quot;/&gt;&lt;wsp:rsid wsp:val=&quot;6F992AA6&quot;/&gt;&lt;wsp:rsid wsp:val=&quot;6FB56B53&quot;/&gt;&lt;wsp:rsid wsp:val=&quot;6FEB37AA&quot;/&gt;&lt;wsp:rsid wsp:val=&quot;72F90EAF&quot;/&gt;&lt;wsp:rsid wsp:val=&quot;73293BFC&quot;/&gt;&lt;wsp:rsid wsp:val=&quot;73476A2F&quot;/&gt;&lt;wsp:rsid wsp:val=&quot;735C3151&quot;/&gt;&lt;wsp:rsid wsp:val=&quot;73866514&quot;/&gt;&lt;wsp:rsid wsp:val=&quot;73D24415&quot;/&gt;&lt;wsp:rsid wsp:val=&quot;743608B6&quot;/&gt;&lt;wsp:rsid wsp:val=&quot;74D900BF&quot;/&gt;&lt;wsp:rsid wsp:val=&quot;74DA5B41&quot;/&gt;&lt;wsp:rsid wsp:val=&quot;756B2EB1&quot;/&gt;&lt;wsp:rsid wsp:val=&quot;7618684D&quot;/&gt;&lt;wsp:rsid wsp:val=&quot;776A2977&quot;/&gt;&lt;wsp:rsid wsp:val=&quot;78073AFA&quot;/&gt;&lt;wsp:rsid wsp:val=&quot;7B831833&quot;/&gt;&lt;wsp:rsid wsp:val=&quot;7BB26AFF&quot;/&gt;&lt;wsp:rsid wsp:val=&quot;7D3D4087&quot;/&gt;&lt;wsp:rsid wsp:val=&quot;7D8234F7&quot;/&gt;&lt;wsp:rsid wsp:val=&quot;7E6802F1&quot;/&gt;&lt;wsp:rsid wsp:val=&quot;7F0E6500&quot;/&gt;&lt;/wsp:rsids&gt;&lt;/w:docPr&gt;&lt;w:body&gt;&lt;wx:sect&gt;&lt;w:p wsp:rsidR=&quot;00000000&quot; wsp:rsidRDefault=&quot;009B29FA&quot; wsp:rsidP=&quot;009B29FA&quot;&gt;&lt;w:pPr&gt;&lt;w:ind w:first-line=&quot;480&quot;/&gt;&lt;/w:pPr&gt;&lt;m:oMathPara&gt;&lt;m:oMath&gt;&lt;m:r&gt;&lt;m:rPr&gt;&lt;m:sty m:val=&quot;p&quot;/&gt;&lt;/m:rPr&gt;&lt;w:rPr&gt;&lt;w:rFonts w:ascii=&quot;Cambria Math&quot; w:h-ansi=&quot;Cambria Math&quot;/&gt;&lt;wx:font wx:val=&quot;Cambria Math&quot;/&gt;&lt;w:sz-cs w:val=&quot;28&quot;/&gt;&lt;/w:rPr&gt;&lt;m:t&gt;E=&lt;/m:t&gt;&lt;/m:r&gt;&lt;m:d&gt;&lt;m:dPr&gt;&lt;m:begChr m:val=&quot;|&quot;/&gt;&lt;m:endChr m:val=&quot;|&quot;/&gt;&lt;m:ctrlPr&gt;&lt;w:rPr&gt;&lt;w:rFonts w:ascii=&quot;Cambria Math&quot; w:h-ansi=&quot;Cambria Math&quot;/&gt;&lt;wx:font wx:val=&quot;Cambria Math&quot;/&gt;&lt;w:sz-cs w:val=&quot;28&quot;/&gt;&lt;/w:rPr&gt;&lt;/m:ctrlPr&gt;&lt;/m:dPr&gt;&lt;m:e&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E&lt;/m:t&gt;&lt;/m:r&gt;&lt;/m:e&gt;&lt;m:sub&gt;&lt;m:eqArr&gt;&lt;m:eqArrPr&gt;&lt;m:ctrlPr&gt;&lt;w:rPr&gt;&lt;w:rFonts w:ascii=&quot;Cambria Math&quot; w:h-ansi=&quot;Cambria Math&quot;/&gt;&lt;wx:font wx:val=&quot;Cambria Math&quot;/&gt;&lt;w:i/&gt;&lt;w:sz-cs w:val=&quot;28&quot;/&gt;&lt;/w:rPr&gt;&lt;/m:ctrlPr&gt;&lt;/m:eqArrPr&gt;&lt;m:e&gt;&lt;m:r&gt;&lt;w:rPr&gt;&lt;w:rFonts w:ascii=&quot;Cambria Math&quot; w:h-ansi=&quot;Cambria Math&quot;/&gt;&lt;wx:font wx:val=&quot;Cambria Math&quot;/&gt;&lt;w:i/&gt;&lt;w:sz-cs w:val=&quot;28&quot;/&gt;&lt;/w:rPr&gt;&lt;m:t&gt;X&lt;/m:t&gt;&lt;/m:r&gt;&lt;/m:e&gt;&lt;m:e/&gt;&lt;/m:eqArr&gt;&lt;/m:sub&gt;&lt;/m:sSub&gt;&lt;m:r&gt;&lt;w:rPr&gt;&lt;w:rFonts w:ascii=&quot;Cambria Math&quot; w:h-ansi=&quot;Cambria Math&quot;/&gt;&lt;wx:font wx:val=&quot;Cambria Math&quot;/&gt;&lt;w:i/&gt;&lt;w:sz-cs w:val=&quot;28&quot;/&gt;&lt;/w:rPr&gt;&lt;m:t&gt;+&lt;/m:t&gt;&lt;/m:r&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rPr&gt;&lt;m:t&gt;E&lt;/m:t&gt;&lt;/m:r&gt;&lt;/m:e&gt;&lt;m:sub&gt;&lt;m:r&gt;&lt;w:rPr&gt;&lt;w:rFonts w:ascii=&quot;Cambria Math&quot; w:h-ansi=&quot;Cambria Math&quot;/&gt;&lt;wx:font wx:val=&quot;Cambria Math&quot;/&gt;&lt;w:i/&gt;&lt;w:sz-cs w:val=&quot;28&quot;/&gt;&lt;/w:rPr&gt;&lt;m:t&gt;y&lt;/m:t&gt;&lt;/m:r&gt;&lt;/m:sub&gt;&lt;/m:sSub&gt;&lt;/m:e&gt;&lt;/m:d&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v:imagedata r:id="rId42" chromakey="#FFFFFF" o:title=""/>
                  <o:lock v:ext="edit" aspectratio="t"/>
                  <w10:wrap type="none"/>
                  <w10:anchorlock/>
                </v:shape>
              </w:pict>
            </w:r>
            <w:r>
              <w:rPr>
                <w:rFonts w:hint="default"/>
                <w:color w:val="000000" w:themeColor="text1"/>
                <w:sz w:val="24"/>
                <w14:textFill>
                  <w14:solidFill>
                    <w14:schemeClr w14:val="tx1"/>
                  </w14:solidFill>
                </w14:textFill>
              </w:rPr>
              <w:fldChar w:fldCharType="end"/>
            </w:r>
            <w:r>
              <w:rPr>
                <w:rFonts w:hint="default"/>
                <w:color w:val="000000" w:themeColor="text1"/>
                <w:sz w:val="24"/>
                <w14:textFill>
                  <w14:solidFill>
                    <w14:schemeClr w14:val="tx1"/>
                  </w14:solidFill>
                </w14:textFill>
              </w:rPr>
              <w:t xml:space="preserve">   （式6）</w:t>
            </w:r>
          </w:p>
          <w:p w14:paraId="48A56DF5">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（2）工频磁感应强度的计算</w:t>
            </w:r>
          </w:p>
          <w:p w14:paraId="1A47D9BA">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由于工频情况下电磁性能具有准静态特性，线路的磁场仅由电流产生，应用安培定律，将计算结果按矢量叠加，可得出周围的磁场强度。</w:t>
            </w:r>
          </w:p>
          <w:p w14:paraId="1A8A32C4">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在很多情况下，只考虑处于空间的实际导线，忽略它的镜像进行计算，其结果足够符合实际。不考虑导线i的镜像时，可计算在A点其产生的磁场强度。</w:t>
            </w:r>
          </w:p>
          <w:p w14:paraId="49B19F1D">
            <w:pPr>
              <w:keepNext w:val="0"/>
              <w:keepLines w:val="0"/>
              <w:suppressLineNumbers w:val="0"/>
              <w:spacing w:before="0" w:beforeAutospacing="0" w:after="0" w:afterAutospacing="0" w:line="360" w:lineRule="auto"/>
              <w:ind w:left="0" w:right="0" w:firstLine="480" w:firstLineChars="200"/>
              <w:jc w:val="center"/>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drawing>
                <wp:inline distT="0" distB="0" distL="114300" distR="114300">
                  <wp:extent cx="1323975" cy="400050"/>
                  <wp:effectExtent l="0" t="0" r="9525" b="0"/>
                  <wp:docPr id="65" name="图片 65" descr="WPS图片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WPS图片编辑"/>
                          <pic:cNvPicPr>
                            <a:picLocks noChangeAspect="1"/>
                          </pic:cNvPicPr>
                        </pic:nvPicPr>
                        <pic:blipFill>
                          <a:blip r:embed="rId43"/>
                          <a:stretch>
                            <a:fillRect/>
                          </a:stretch>
                        </pic:blipFill>
                        <pic:spPr>
                          <a:xfrm>
                            <a:off x="0" y="0"/>
                            <a:ext cx="1323975" cy="400050"/>
                          </a:xfrm>
                          <a:prstGeom prst="rect">
                            <a:avLst/>
                          </a:prstGeom>
                        </pic:spPr>
                      </pic:pic>
                    </a:graphicData>
                  </a:graphic>
                </wp:inline>
              </w:drawing>
            </w:r>
            <w:r>
              <w:rPr>
                <w:rFonts w:hint="default"/>
                <w:color w:val="000000" w:themeColor="text1"/>
                <w:sz w:val="24"/>
                <w14:textFill>
                  <w14:solidFill>
                    <w14:schemeClr w14:val="tx1"/>
                  </w14:solidFill>
                </w14:textFill>
              </w:rPr>
              <w:t xml:space="preserve">   （式7）</w:t>
            </w:r>
          </w:p>
          <w:p w14:paraId="65320155">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式中：I-导线I中的电流值；</w:t>
            </w:r>
          </w:p>
          <w:p w14:paraId="4E30BC99">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h-导线与预测点垂直距离；</w:t>
            </w:r>
          </w:p>
          <w:p w14:paraId="3FB17897">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L-导线与预测点水平距离。</w:t>
            </w:r>
          </w:p>
          <w:p w14:paraId="2F864086">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（3）参数的选择</w:t>
            </w:r>
          </w:p>
          <w:p w14:paraId="742DA8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预测杆塔型式的选取主要根据杆塔的代表性、数量及电磁环境的影响程度及范围等几个方面考虑。</w:t>
            </w:r>
          </w:p>
          <w:p w14:paraId="17D8FB59">
            <w:pPr>
              <w:pStyle w:val="26"/>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80" w:firstLineChars="200"/>
              <w:textAlignment w:val="auto"/>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14:textFill>
                  <w14:solidFill>
                    <w14:schemeClr w14:val="tx1"/>
                  </w14:solidFill>
                </w14:textFill>
              </w:rPr>
              <w:t>本</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环评从设计规划使用单回路塔型中，通过对各种塔型进行电磁预测按照保守原则选择220-FD21D-ZB</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1、</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220-FD21D-</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SDJ和220-ED21D-DJ</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塔型进行理论计算，</w:t>
            </w:r>
            <w:r>
              <w:rPr>
                <w:rFonts w:hint="eastAsia" w:ascii="Times New Roman" w:hAnsi="Times New Roman" w:eastAsia="宋体" w:cs="Times New Roman"/>
                <w:b w:val="0"/>
                <w:bCs w:val="0"/>
                <w:color w:val="FF0000"/>
                <w:kern w:val="2"/>
                <w:sz w:val="24"/>
                <w:szCs w:val="24"/>
                <w:lang w:val="en-US" w:eastAsia="zh-CN" w:bidi="ar-SA"/>
              </w:rPr>
              <w:t>220-FD21D-ZB</w:t>
            </w:r>
            <w:r>
              <w:rPr>
                <w:rFonts w:hint="eastAsia" w:ascii="Times New Roman" w:hAnsi="Times New Roman" w:cs="Times New Roman"/>
                <w:b w:val="0"/>
                <w:bCs w:val="0"/>
                <w:color w:val="FF0000"/>
                <w:kern w:val="2"/>
                <w:sz w:val="24"/>
                <w:szCs w:val="24"/>
                <w:lang w:val="en-US" w:eastAsia="zh-CN" w:bidi="ar-SA"/>
              </w:rPr>
              <w:t>1</w:t>
            </w:r>
            <w:r>
              <w:rPr>
                <w:rFonts w:hint="eastAsia" w:ascii="Times New Roman" w:hAnsi="Times New Roman" w:eastAsia="宋体" w:cs="Times New Roman"/>
                <w:b w:val="0"/>
                <w:bCs w:val="0"/>
                <w:color w:val="FF0000"/>
                <w:kern w:val="2"/>
                <w:sz w:val="24"/>
                <w:szCs w:val="24"/>
                <w:lang w:val="en-US" w:eastAsia="zh-CN" w:bidi="ar-SA"/>
              </w:rPr>
              <w:t>为</w:t>
            </w:r>
            <w:r>
              <w:rPr>
                <w:rFonts w:hint="eastAsia" w:ascii="Times New Roman" w:hAnsi="Times New Roman" w:cs="Times New Roman"/>
                <w:b w:val="0"/>
                <w:bCs w:val="0"/>
                <w:color w:val="FF0000"/>
                <w:kern w:val="2"/>
                <w:sz w:val="24"/>
                <w:szCs w:val="24"/>
                <w:lang w:val="en-US" w:eastAsia="zh-CN" w:bidi="ar-SA"/>
              </w:rPr>
              <w:t>单回路</w:t>
            </w:r>
            <w:r>
              <w:rPr>
                <w:rFonts w:hint="eastAsia" w:ascii="Times New Roman" w:hAnsi="Times New Roman" w:eastAsia="宋体" w:cs="Times New Roman"/>
                <w:b w:val="0"/>
                <w:bCs w:val="0"/>
                <w:color w:val="FF0000"/>
                <w:kern w:val="2"/>
                <w:sz w:val="24"/>
                <w:szCs w:val="24"/>
                <w:lang w:val="en-US" w:eastAsia="zh-CN" w:bidi="ar-SA"/>
              </w:rPr>
              <w:t>直线塔</w:t>
            </w:r>
            <w:r>
              <w:rPr>
                <w:rFonts w:hint="eastAsia" w:ascii="Times New Roman" w:hAnsi="Times New Roman" w:cs="Times New Roman"/>
                <w:b w:val="0"/>
                <w:bCs w:val="0"/>
                <w:color w:val="FF0000"/>
                <w:kern w:val="2"/>
                <w:sz w:val="24"/>
                <w:szCs w:val="24"/>
                <w:lang w:val="en-US" w:eastAsia="zh-CN" w:bidi="ar-SA"/>
              </w:rPr>
              <w:t>，</w:t>
            </w:r>
            <w:r>
              <w:rPr>
                <w:rFonts w:hint="eastAsia" w:ascii="Times New Roman" w:hAnsi="Times New Roman" w:eastAsia="宋体" w:cs="Times New Roman"/>
                <w:b w:val="0"/>
                <w:bCs w:val="0"/>
                <w:color w:val="FF0000"/>
                <w:kern w:val="2"/>
                <w:sz w:val="24"/>
                <w:szCs w:val="24"/>
                <w:lang w:val="en-US" w:eastAsia="zh-CN" w:bidi="ar-SA"/>
              </w:rPr>
              <w:t>呼称高为</w:t>
            </w:r>
            <w:r>
              <w:rPr>
                <w:rFonts w:hint="eastAsia" w:ascii="Times New Roman" w:hAnsi="Times New Roman" w:cs="Times New Roman"/>
                <w:b w:val="0"/>
                <w:bCs w:val="0"/>
                <w:color w:val="FF0000"/>
                <w:kern w:val="2"/>
                <w:sz w:val="24"/>
                <w:szCs w:val="24"/>
                <w:lang w:val="en-US" w:eastAsia="zh-CN" w:bidi="ar-SA"/>
              </w:rPr>
              <w:t>36</w:t>
            </w:r>
            <w:r>
              <w:rPr>
                <w:rFonts w:hint="eastAsia" w:ascii="Times New Roman" w:hAnsi="Times New Roman" w:eastAsia="宋体" w:cs="Times New Roman"/>
                <w:b w:val="0"/>
                <w:bCs w:val="0"/>
                <w:color w:val="FF0000"/>
                <w:kern w:val="2"/>
                <w:sz w:val="24"/>
                <w:szCs w:val="24"/>
                <w:lang w:val="en-US" w:eastAsia="zh-CN" w:bidi="ar-SA"/>
              </w:rPr>
              <w:t>m</w:t>
            </w:r>
            <w:r>
              <w:rPr>
                <w:rFonts w:hint="eastAsia" w:ascii="Times New Roman" w:hAnsi="Times New Roman" w:cs="Times New Roman"/>
                <w:b w:val="0"/>
                <w:bCs w:val="0"/>
                <w:color w:val="FF0000"/>
                <w:kern w:val="2"/>
                <w:sz w:val="24"/>
                <w:szCs w:val="24"/>
                <w:lang w:val="en-US" w:eastAsia="zh-CN" w:bidi="ar-SA"/>
              </w:rPr>
              <w:t>，</w:t>
            </w:r>
            <w:r>
              <w:rPr>
                <w:rFonts w:hint="eastAsia" w:ascii="Times New Roman" w:hAnsi="Times New Roman" w:eastAsia="宋体" w:cs="Times New Roman"/>
                <w:b w:val="0"/>
                <w:bCs w:val="0"/>
                <w:color w:val="FF0000"/>
                <w:kern w:val="2"/>
                <w:sz w:val="24"/>
                <w:szCs w:val="24"/>
                <w:lang w:val="en-US" w:eastAsia="zh-CN" w:bidi="ar-SA"/>
              </w:rPr>
              <w:t>在设计塔型中是建设基数较多</w:t>
            </w:r>
            <w:r>
              <w:rPr>
                <w:rFonts w:hint="eastAsia" w:ascii="Times New Roman" w:hAnsi="Times New Roman" w:cs="Times New Roman"/>
                <w:b w:val="0"/>
                <w:bCs w:val="0"/>
                <w:color w:val="FF0000"/>
                <w:kern w:val="2"/>
                <w:sz w:val="24"/>
                <w:szCs w:val="24"/>
                <w:lang w:val="en-US" w:eastAsia="zh-CN" w:bidi="ar-SA"/>
              </w:rPr>
              <w:t>且导线对地最小距离</w:t>
            </w:r>
            <w:r>
              <w:rPr>
                <w:rFonts w:hint="eastAsia" w:ascii="Times New Roman" w:hAnsi="Times New Roman" w:eastAsia="宋体" w:cs="Times New Roman"/>
                <w:b w:val="0"/>
                <w:bCs w:val="0"/>
                <w:color w:val="FF0000"/>
                <w:kern w:val="2"/>
                <w:sz w:val="24"/>
                <w:szCs w:val="24"/>
                <w:lang w:val="en-US" w:eastAsia="zh-CN" w:bidi="ar-SA"/>
              </w:rPr>
              <w:t>的直线塔，故选择该塔型预测具备典型性。220-FD21D-</w:t>
            </w:r>
            <w:r>
              <w:rPr>
                <w:rFonts w:hint="eastAsia" w:ascii="Times New Roman" w:hAnsi="Times New Roman" w:cs="Times New Roman"/>
                <w:b w:val="0"/>
                <w:bCs w:val="0"/>
                <w:color w:val="FF0000"/>
                <w:kern w:val="2"/>
                <w:sz w:val="24"/>
                <w:szCs w:val="24"/>
                <w:lang w:val="en-US" w:eastAsia="zh-CN" w:bidi="ar-SA"/>
              </w:rPr>
              <w:t>SDJ</w:t>
            </w:r>
            <w:r>
              <w:rPr>
                <w:rFonts w:hint="eastAsia" w:ascii="Times New Roman" w:hAnsi="Times New Roman" w:eastAsia="宋体" w:cs="Times New Roman"/>
                <w:b w:val="0"/>
                <w:bCs w:val="0"/>
                <w:color w:val="FF0000"/>
                <w:kern w:val="2"/>
                <w:sz w:val="24"/>
                <w:szCs w:val="24"/>
                <w:lang w:val="en-US" w:eastAsia="zh-CN" w:bidi="ar-SA"/>
              </w:rPr>
              <w:t>塔</w:t>
            </w:r>
            <w:r>
              <w:rPr>
                <w:rFonts w:hint="eastAsia" w:ascii="Times New Roman" w:hAnsi="Times New Roman" w:cs="Times New Roman"/>
                <w:b w:val="0"/>
                <w:bCs w:val="0"/>
                <w:color w:val="FF0000"/>
                <w:kern w:val="2"/>
                <w:sz w:val="24"/>
                <w:szCs w:val="24"/>
                <w:lang w:val="en-US" w:eastAsia="zh-CN" w:bidi="ar-SA"/>
              </w:rPr>
              <w:t>双回路耐张</w:t>
            </w:r>
            <w:r>
              <w:rPr>
                <w:rFonts w:hint="eastAsia" w:ascii="Times New Roman" w:hAnsi="Times New Roman" w:eastAsia="宋体" w:cs="Times New Roman"/>
                <w:b w:val="0"/>
                <w:bCs w:val="0"/>
                <w:color w:val="FF0000"/>
                <w:kern w:val="2"/>
                <w:sz w:val="24"/>
                <w:szCs w:val="24"/>
                <w:lang w:val="en-US" w:eastAsia="zh-CN" w:bidi="ar-SA"/>
              </w:rPr>
              <w:t>塔</w:t>
            </w:r>
            <w:r>
              <w:rPr>
                <w:rFonts w:hint="eastAsia" w:ascii="Times New Roman" w:hAnsi="Times New Roman" w:cs="Times New Roman"/>
                <w:b w:val="0"/>
                <w:bCs w:val="0"/>
                <w:color w:val="FF0000"/>
                <w:kern w:val="2"/>
                <w:sz w:val="24"/>
                <w:szCs w:val="24"/>
                <w:lang w:val="en-US" w:eastAsia="zh-CN" w:bidi="ar-SA"/>
              </w:rPr>
              <w:t>，</w:t>
            </w:r>
            <w:r>
              <w:rPr>
                <w:rFonts w:hint="eastAsia" w:ascii="Times New Roman" w:hAnsi="Times New Roman" w:eastAsia="宋体" w:cs="Times New Roman"/>
                <w:b w:val="0"/>
                <w:bCs w:val="0"/>
                <w:color w:val="FF0000"/>
                <w:kern w:val="2"/>
                <w:sz w:val="24"/>
                <w:szCs w:val="24"/>
                <w:lang w:val="en-US" w:eastAsia="zh-CN" w:bidi="ar-SA"/>
              </w:rPr>
              <w:t>呼称高</w:t>
            </w:r>
            <w:r>
              <w:rPr>
                <w:rFonts w:hint="eastAsia" w:ascii="Times New Roman" w:hAnsi="Times New Roman" w:cs="Times New Roman"/>
                <w:b w:val="0"/>
                <w:bCs w:val="0"/>
                <w:color w:val="FF0000"/>
                <w:kern w:val="2"/>
                <w:sz w:val="24"/>
                <w:szCs w:val="24"/>
                <w:lang w:val="en-US" w:eastAsia="zh-CN" w:bidi="ar-SA"/>
              </w:rPr>
              <w:t>为38</w:t>
            </w:r>
            <w:r>
              <w:rPr>
                <w:rFonts w:hint="eastAsia" w:ascii="Times New Roman" w:hAnsi="Times New Roman" w:eastAsia="宋体" w:cs="Times New Roman"/>
                <w:b w:val="0"/>
                <w:bCs w:val="0"/>
                <w:color w:val="FF0000"/>
                <w:kern w:val="2"/>
                <w:sz w:val="24"/>
                <w:szCs w:val="24"/>
                <w:lang w:val="en-US" w:eastAsia="zh-CN" w:bidi="ar-SA"/>
              </w:rPr>
              <w:t>m，</w:t>
            </w:r>
            <w:r>
              <w:rPr>
                <w:rFonts w:hint="eastAsia" w:ascii="Times New Roman" w:hAnsi="Times New Roman" w:cs="Times New Roman"/>
                <w:b w:val="0"/>
                <w:bCs w:val="0"/>
                <w:color w:val="FF0000"/>
                <w:kern w:val="2"/>
                <w:sz w:val="24"/>
                <w:szCs w:val="24"/>
                <w:lang w:val="en-US" w:eastAsia="zh-CN" w:bidi="ar-SA"/>
              </w:rPr>
              <w:t>本项目恒山变电站出现位置线路有部分双回路线段，因线路较短无双回路直线塔</w:t>
            </w:r>
            <w:r>
              <w:rPr>
                <w:rFonts w:hint="eastAsia" w:ascii="Times New Roman" w:hAnsi="Times New Roman" w:eastAsia="宋体" w:cs="Times New Roman"/>
                <w:b w:val="0"/>
                <w:bCs w:val="0"/>
                <w:color w:val="FF0000"/>
                <w:kern w:val="2"/>
                <w:sz w:val="24"/>
                <w:szCs w:val="24"/>
                <w:lang w:val="en-US" w:eastAsia="zh-CN" w:bidi="ar-SA"/>
              </w:rPr>
              <w:t>，故选择该塔型预测。</w:t>
            </w:r>
            <w:r>
              <w:rPr>
                <w:rFonts w:hint="eastAsia" w:ascii="Times New Roman" w:hAnsi="Times New Roman" w:cs="Times New Roman"/>
                <w:b w:val="0"/>
                <w:bCs w:val="0"/>
                <w:color w:val="FF0000"/>
                <w:kern w:val="2"/>
                <w:sz w:val="24"/>
                <w:szCs w:val="24"/>
                <w:lang w:val="en-US" w:eastAsia="zh-CN" w:bidi="ar-SA"/>
              </w:rPr>
              <w:t>220-ED21D-DJ</w:t>
            </w:r>
            <w:r>
              <w:rPr>
                <w:rFonts w:hint="eastAsia" w:ascii="Times New Roman" w:hAnsi="Times New Roman" w:eastAsia="宋体" w:cs="Times New Roman"/>
                <w:b w:val="0"/>
                <w:bCs w:val="0"/>
                <w:color w:val="FF0000"/>
                <w:kern w:val="2"/>
                <w:sz w:val="24"/>
                <w:szCs w:val="24"/>
                <w:lang w:val="en-US" w:eastAsia="zh-CN" w:bidi="ar-SA"/>
              </w:rPr>
              <w:t>塔单</w:t>
            </w:r>
            <w:r>
              <w:rPr>
                <w:rFonts w:hint="eastAsia" w:ascii="Times New Roman" w:hAnsi="Times New Roman" w:cs="Times New Roman"/>
                <w:b w:val="0"/>
                <w:bCs w:val="0"/>
                <w:color w:val="FF0000"/>
                <w:kern w:val="2"/>
                <w:sz w:val="24"/>
                <w:szCs w:val="24"/>
                <w:lang w:val="en-US" w:eastAsia="zh-CN" w:bidi="ar-SA"/>
              </w:rPr>
              <w:t>回路耐张</w:t>
            </w:r>
            <w:r>
              <w:rPr>
                <w:rFonts w:hint="eastAsia" w:ascii="Times New Roman" w:hAnsi="Times New Roman" w:eastAsia="宋体" w:cs="Times New Roman"/>
                <w:b w:val="0"/>
                <w:bCs w:val="0"/>
                <w:color w:val="FF0000"/>
                <w:kern w:val="2"/>
                <w:sz w:val="24"/>
                <w:szCs w:val="24"/>
                <w:lang w:val="en-US" w:eastAsia="zh-CN" w:bidi="ar-SA"/>
              </w:rPr>
              <w:t>塔</w:t>
            </w:r>
            <w:r>
              <w:rPr>
                <w:rFonts w:hint="eastAsia" w:ascii="Times New Roman" w:hAnsi="Times New Roman" w:cs="Times New Roman"/>
                <w:b w:val="0"/>
                <w:bCs w:val="0"/>
                <w:color w:val="FF0000"/>
                <w:kern w:val="2"/>
                <w:sz w:val="24"/>
                <w:szCs w:val="24"/>
                <w:lang w:val="en-US" w:eastAsia="zh-CN" w:bidi="ar-SA"/>
              </w:rPr>
              <w:t>，</w:t>
            </w:r>
            <w:r>
              <w:rPr>
                <w:rFonts w:hint="eastAsia" w:ascii="Times New Roman" w:hAnsi="Times New Roman" w:eastAsia="宋体" w:cs="Times New Roman"/>
                <w:b w:val="0"/>
                <w:bCs w:val="0"/>
                <w:color w:val="FF0000"/>
                <w:kern w:val="2"/>
                <w:sz w:val="24"/>
                <w:szCs w:val="24"/>
                <w:lang w:val="en-US" w:eastAsia="zh-CN" w:bidi="ar-SA"/>
              </w:rPr>
              <w:t>呼称高</w:t>
            </w:r>
            <w:r>
              <w:rPr>
                <w:rFonts w:hint="eastAsia" w:ascii="Times New Roman" w:hAnsi="Times New Roman" w:cs="Times New Roman"/>
                <w:b w:val="0"/>
                <w:bCs w:val="0"/>
                <w:color w:val="FF0000"/>
                <w:kern w:val="2"/>
                <w:sz w:val="24"/>
                <w:szCs w:val="24"/>
                <w:lang w:val="en-US" w:eastAsia="zh-CN" w:bidi="ar-SA"/>
              </w:rPr>
              <w:t>为30</w:t>
            </w:r>
            <w:r>
              <w:rPr>
                <w:rFonts w:hint="eastAsia" w:ascii="Times New Roman" w:hAnsi="Times New Roman" w:eastAsia="宋体" w:cs="Times New Roman"/>
                <w:b w:val="0"/>
                <w:bCs w:val="0"/>
                <w:color w:val="FF0000"/>
                <w:kern w:val="2"/>
                <w:sz w:val="24"/>
                <w:szCs w:val="24"/>
                <w:lang w:val="en-US" w:eastAsia="zh-CN" w:bidi="ar-SA"/>
              </w:rPr>
              <w:t>m，</w:t>
            </w:r>
            <w:r>
              <w:rPr>
                <w:rFonts w:hint="eastAsia" w:ascii="Times New Roman" w:hAnsi="Times New Roman" w:cs="Times New Roman"/>
                <w:b w:val="0"/>
                <w:bCs w:val="0"/>
                <w:color w:val="FF0000"/>
                <w:kern w:val="2"/>
                <w:sz w:val="24"/>
                <w:szCs w:val="24"/>
                <w:lang w:val="en-US" w:eastAsia="zh-CN" w:bidi="ar-SA"/>
              </w:rPr>
              <w:t>本项目改造线路较短无直线塔</w:t>
            </w:r>
            <w:r>
              <w:rPr>
                <w:rFonts w:hint="eastAsia" w:ascii="Times New Roman" w:hAnsi="Times New Roman" w:eastAsia="宋体" w:cs="Times New Roman"/>
                <w:b w:val="0"/>
                <w:bCs w:val="0"/>
                <w:color w:val="FF0000"/>
                <w:kern w:val="2"/>
                <w:sz w:val="24"/>
                <w:szCs w:val="24"/>
                <w:lang w:val="en-US" w:eastAsia="zh-CN" w:bidi="ar-SA"/>
              </w:rPr>
              <w:t>，故选择该塔型预测。</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理论计算典型塔型图见图1。</w:t>
            </w:r>
          </w:p>
          <w:p w14:paraId="27643D99">
            <w:pPr>
              <w:keepNext w:val="0"/>
              <w:keepLines w:val="0"/>
              <w:suppressLineNumbers w:val="0"/>
              <w:spacing w:before="0" w:beforeAutospacing="0" w:after="0" w:afterAutospacing="0" w:line="360" w:lineRule="auto"/>
              <w:ind w:left="0" w:right="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根据《110kV～750kV架空输电线路设计规范》（GB 50545-2010）“</w:t>
            </w:r>
            <w:r>
              <w:rPr>
                <w:rFonts w:hint="eastAsia"/>
                <w:color w:val="000000" w:themeColor="text1"/>
                <w:sz w:val="24"/>
                <w:lang w:val="en-US" w:eastAsia="zh-CN"/>
                <w14:textFill>
                  <w14:solidFill>
                    <w14:schemeClr w14:val="tx1"/>
                  </w14:solidFill>
                </w14:textFill>
              </w:rPr>
              <w:t>22</w:t>
            </w:r>
            <w:r>
              <w:rPr>
                <w:rFonts w:hint="eastAsia"/>
                <w:color w:val="000000" w:themeColor="text1"/>
                <w:sz w:val="24"/>
                <w14:textFill>
                  <w14:solidFill>
                    <w14:schemeClr w14:val="tx1"/>
                  </w14:solidFill>
                </w14:textFill>
              </w:rPr>
              <w:t>0kV线路距离非居民区最低线高</w:t>
            </w:r>
            <w:r>
              <w:rPr>
                <w:rFonts w:hint="eastAsia"/>
                <w:color w:val="000000" w:themeColor="text1"/>
                <w:sz w:val="24"/>
                <w:lang w:val="en-US" w:eastAsia="zh-CN"/>
                <w14:textFill>
                  <w14:solidFill>
                    <w14:schemeClr w14:val="tx1"/>
                  </w14:solidFill>
                </w14:textFill>
              </w:rPr>
              <w:t>6.5</w:t>
            </w:r>
            <w:r>
              <w:rPr>
                <w:rFonts w:hint="eastAsia"/>
                <w:color w:val="000000" w:themeColor="text1"/>
                <w:sz w:val="24"/>
                <w14:textFill>
                  <w14:solidFill>
                    <w14:schemeClr w14:val="tx1"/>
                  </w14:solidFill>
                </w14:textFill>
              </w:rPr>
              <w:t>m，距离居民区最低线高</w:t>
            </w:r>
            <w:r>
              <w:rPr>
                <w:rFonts w:hint="eastAsia"/>
                <w:color w:val="000000" w:themeColor="text1"/>
                <w:sz w:val="24"/>
                <w:lang w:val="en-US" w:eastAsia="zh-CN"/>
                <w14:textFill>
                  <w14:solidFill>
                    <w14:schemeClr w14:val="tx1"/>
                  </w14:solidFill>
                </w14:textFill>
              </w:rPr>
              <w:t>7.5</w:t>
            </w:r>
            <w:r>
              <w:rPr>
                <w:rFonts w:hint="eastAsia"/>
                <w:color w:val="000000" w:themeColor="text1"/>
                <w:sz w:val="24"/>
                <w14:textFill>
                  <w14:solidFill>
                    <w14:schemeClr w14:val="tx1"/>
                  </w14:solidFill>
                </w14:textFill>
              </w:rPr>
              <w:t>m”。本次计算从最不利角度考虑，最低线高分别选取6.</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m、7.</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m</w:t>
            </w:r>
            <w:r>
              <w:rPr>
                <w:rFonts w:hint="eastAsia"/>
                <w:color w:val="000000" w:themeColor="text1"/>
                <w:sz w:val="24"/>
                <w:lang w:val="en-US" w:eastAsia="zh-CN"/>
                <w14:textFill>
                  <w14:solidFill>
                    <w14:schemeClr w14:val="tx1"/>
                  </w14:solidFill>
                </w14:textFill>
              </w:rPr>
              <w:t>以及实际最低线</w:t>
            </w:r>
            <w:r>
              <w:rPr>
                <w:rFonts w:hint="eastAsia"/>
                <w:color w:val="000000" w:themeColor="text1"/>
                <w:sz w:val="24"/>
                <w:highlight w:val="none"/>
                <w:lang w:val="en-US" w:eastAsia="zh-CN"/>
                <w14:textFill>
                  <w14:solidFill>
                    <w14:schemeClr w14:val="tx1"/>
                  </w14:solidFill>
                </w14:textFill>
              </w:rPr>
              <w:t>高14.0m</w:t>
            </w:r>
            <w:r>
              <w:rPr>
                <w:rFonts w:hint="eastAsia"/>
                <w:color w:val="000000" w:themeColor="text1"/>
                <w:sz w:val="24"/>
                <w:highlight w:val="none"/>
                <w14:textFill>
                  <w14:solidFill>
                    <w14:schemeClr w14:val="tx1"/>
                  </w14:solidFill>
                </w14:textFill>
              </w:rPr>
              <w:t>进行预测</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以输电线路中心地表投影为坐标原</w:t>
            </w:r>
            <w:r>
              <w:rPr>
                <w:rFonts w:hint="eastAsia"/>
                <w:color w:val="000000" w:themeColor="text1"/>
                <w:sz w:val="24"/>
                <w14:textFill>
                  <w14:solidFill>
                    <w14:schemeClr w14:val="tx1"/>
                  </w14:solidFill>
                </w14:textFill>
              </w:rPr>
              <w:t>点，以垂直线路走向为X坐标方向，计算范围为输电线路中心至边导线外</w:t>
            </w:r>
            <w:r>
              <w:rPr>
                <w:rFonts w:hint="eastAsia"/>
                <w:color w:val="000000" w:themeColor="text1"/>
                <w:sz w:val="24"/>
                <w:lang w:val="en-US" w:eastAsia="zh-CN"/>
                <w14:textFill>
                  <w14:solidFill>
                    <w14:schemeClr w14:val="tx1"/>
                  </w14:solidFill>
                </w14:textFill>
              </w:rPr>
              <w:t>40</w:t>
            </w:r>
            <w:r>
              <w:rPr>
                <w:rFonts w:hint="eastAsia"/>
                <w:color w:val="000000" w:themeColor="text1"/>
                <w:sz w:val="24"/>
                <w14:textFill>
                  <w14:solidFill>
                    <w14:schemeClr w14:val="tx1"/>
                  </w14:solidFill>
                </w14:textFill>
              </w:rPr>
              <w:t>m。</w:t>
            </w:r>
          </w:p>
          <w:p w14:paraId="73407CAD">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本工程架空线路电磁环境影响预测中，以走廊中心线地面投影为预测坐标原点。</w:t>
            </w:r>
            <w:r>
              <w:rPr>
                <w:rFonts w:hint="default"/>
                <w:color w:val="000000" w:themeColor="text1"/>
                <w:sz w:val="24"/>
                <w14:textFill>
                  <w14:solidFill>
                    <w14:schemeClr w14:val="tx1"/>
                  </w14:solidFill>
                </w14:textFill>
              </w:rPr>
              <w:t>理论计算预测输电线路电场强度、磁感应强度时确定有关参数如下：</w:t>
            </w:r>
          </w:p>
          <w:p w14:paraId="0FDA03B9">
            <w:pPr>
              <w:keepNext w:val="0"/>
              <w:keepLines w:val="0"/>
              <w:suppressLineNumbers w:val="0"/>
              <w:spacing w:before="0" w:beforeAutospacing="0" w:after="0" w:afterAutospacing="0"/>
              <w:ind w:left="0" w:right="0"/>
              <w:jc w:val="center"/>
              <w:rPr>
                <w:rFonts w:hint="default"/>
                <w:color w:val="000000" w:themeColor="text1"/>
                <w:lang w:val="en-US"/>
                <w14:textFill>
                  <w14:solidFill>
                    <w14:schemeClr w14:val="tx1"/>
                  </w14:solidFill>
                </w14:textFill>
              </w:rPr>
            </w:pPr>
            <w:r>
              <w:rPr>
                <w:rFonts w:hint="eastAsia" w:ascii="Times New Roman" w:hAnsi="Times New Roman" w:eastAsia="宋体" w:cs="Times New Roman"/>
                <w:b/>
                <w:bCs/>
                <w:color w:val="000000" w:themeColor="text1"/>
                <w:kern w:val="2"/>
                <w:sz w:val="24"/>
                <w:szCs w:val="21"/>
                <w:lang w:val="en-US" w:eastAsia="zh-CN" w:bidi="ar-SA"/>
                <w14:textFill>
                  <w14:solidFill>
                    <w14:schemeClr w14:val="tx1"/>
                  </w14:solidFill>
                </w14:textFill>
              </w:rPr>
              <w:t>表</w:t>
            </w:r>
            <w:r>
              <w:rPr>
                <w:rFonts w:hint="eastAsia" w:cs="Times New Roman"/>
                <w:b/>
                <w:bCs/>
                <w:color w:val="000000" w:themeColor="text1"/>
                <w:kern w:val="2"/>
                <w:sz w:val="24"/>
                <w:szCs w:val="21"/>
                <w:lang w:val="en-US" w:eastAsia="zh-CN" w:bidi="ar-SA"/>
                <w14:textFill>
                  <w14:solidFill>
                    <w14:schemeClr w14:val="tx1"/>
                  </w14:solidFill>
                </w14:textFill>
              </w:rPr>
              <w:t xml:space="preserve"> 8</w:t>
            </w:r>
            <w:r>
              <w:rPr>
                <w:rFonts w:hint="eastAsia" w:ascii="Times New Roman" w:hAnsi="Times New Roman" w:eastAsia="宋体" w:cs="Times New Roman"/>
                <w:b/>
                <w:bCs/>
                <w:color w:val="000000" w:themeColor="text1"/>
                <w:kern w:val="2"/>
                <w:sz w:val="24"/>
                <w:szCs w:val="21"/>
                <w:lang w:val="en-US" w:eastAsia="zh-CN" w:bidi="ar-SA"/>
                <w14:textFill>
                  <w14:solidFill>
                    <w14:schemeClr w14:val="tx1"/>
                  </w14:solidFill>
                </w14:textFill>
              </w:rPr>
              <w:t xml:space="preserve"> 预测输电线路</w:t>
            </w:r>
            <w:r>
              <w:rPr>
                <w:rFonts w:hint="eastAsia" w:cs="Times New Roman"/>
                <w:b/>
                <w:bCs/>
                <w:color w:val="000000" w:themeColor="text1"/>
                <w:kern w:val="2"/>
                <w:sz w:val="24"/>
                <w:szCs w:val="21"/>
                <w:lang w:val="en-US" w:eastAsia="zh-CN" w:bidi="ar-SA"/>
                <w14:textFill>
                  <w14:solidFill>
                    <w14:schemeClr w14:val="tx1"/>
                  </w14:solidFill>
                </w14:textFill>
              </w:rPr>
              <w:t>参数一览表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1686"/>
              <w:gridCol w:w="3246"/>
              <w:gridCol w:w="2445"/>
            </w:tblGrid>
            <w:tr w14:paraId="0F018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4" w:type="pct"/>
                  <w:noWrap w:val="0"/>
                  <w:vAlign w:val="center"/>
                </w:tcPr>
                <w:p w14:paraId="5108A4BE">
                  <w:pPr>
                    <w:keepNext w:val="0"/>
                    <w:keepLines w:val="0"/>
                    <w:widowControl/>
                    <w:suppressLineNumbers w:val="0"/>
                    <w:spacing w:before="0" w:beforeAutospacing="0" w:after="0" w:afterAutospacing="0"/>
                    <w:ind w:left="0" w:right="0"/>
                    <w:jc w:val="center"/>
                    <w:textAlignment w:val="bottom"/>
                    <w:rPr>
                      <w:rFonts w:hint="eastAsia"/>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路段</w:t>
                  </w:r>
                </w:p>
              </w:tc>
              <w:tc>
                <w:tcPr>
                  <w:tcW w:w="1016" w:type="pct"/>
                  <w:noWrap w:val="0"/>
                  <w:vAlign w:val="center"/>
                </w:tcPr>
                <w:p w14:paraId="02E9349F">
                  <w:pPr>
                    <w:keepNext w:val="0"/>
                    <w:keepLines w:val="0"/>
                    <w:widowControl/>
                    <w:suppressLineNumbers w:val="0"/>
                    <w:spacing w:before="0" w:beforeAutospacing="0" w:after="0" w:afterAutospacing="0"/>
                    <w:ind w:left="0" w:right="0"/>
                    <w:jc w:val="center"/>
                    <w:textAlignment w:val="bottom"/>
                    <w:rPr>
                      <w:rFonts w:hint="default" w:eastAsia="宋体"/>
                      <w:color w:val="FF0000"/>
                      <w:kern w:val="0"/>
                      <w:szCs w:val="21"/>
                      <w:lang w:val="en-US" w:eastAsia="zh-CN" w:bidi="ar"/>
                    </w:rPr>
                  </w:pPr>
                  <w:r>
                    <w:rPr>
                      <w:rFonts w:hint="eastAsia"/>
                      <w:color w:val="FF0000"/>
                      <w:kern w:val="0"/>
                      <w:szCs w:val="21"/>
                      <w:lang w:val="en-US" w:eastAsia="zh-CN" w:bidi="ar"/>
                    </w:rPr>
                    <w:t>鸡西-恒山新建线路（单回路）</w:t>
                  </w:r>
                </w:p>
              </w:tc>
              <w:tc>
                <w:tcPr>
                  <w:tcW w:w="1956" w:type="pct"/>
                  <w:noWrap w:val="0"/>
                  <w:vAlign w:val="center"/>
                </w:tcPr>
                <w:p w14:paraId="12714439">
                  <w:pPr>
                    <w:keepNext w:val="0"/>
                    <w:keepLines w:val="0"/>
                    <w:widowControl/>
                    <w:suppressLineNumbers w:val="0"/>
                    <w:spacing w:before="0" w:beforeAutospacing="0" w:after="0" w:afterAutospacing="0"/>
                    <w:ind w:left="0" w:right="0"/>
                    <w:jc w:val="center"/>
                    <w:textAlignment w:val="bottom"/>
                    <w:rPr>
                      <w:rFonts w:hint="eastAsia"/>
                      <w:color w:val="FF0000"/>
                      <w:kern w:val="0"/>
                      <w:szCs w:val="21"/>
                      <w:lang w:val="en-US" w:eastAsia="zh-CN" w:bidi="ar"/>
                    </w:rPr>
                  </w:pPr>
                  <w:r>
                    <w:rPr>
                      <w:rFonts w:hint="eastAsia"/>
                      <w:color w:val="FF0000"/>
                      <w:kern w:val="0"/>
                      <w:szCs w:val="21"/>
                      <w:lang w:val="en-US" w:eastAsia="zh-CN" w:bidi="ar"/>
                    </w:rPr>
                    <w:t>鸡西-恒山新建线路（双回路）</w:t>
                  </w:r>
                </w:p>
              </w:tc>
              <w:tc>
                <w:tcPr>
                  <w:tcW w:w="1472" w:type="pct"/>
                  <w:noWrap w:val="0"/>
                  <w:vAlign w:val="center"/>
                </w:tcPr>
                <w:p w14:paraId="7D3FF461">
                  <w:pPr>
                    <w:keepNext w:val="0"/>
                    <w:keepLines w:val="0"/>
                    <w:widowControl/>
                    <w:suppressLineNumbers w:val="0"/>
                    <w:spacing w:before="0" w:beforeAutospacing="0" w:after="0" w:afterAutospacing="0"/>
                    <w:ind w:left="0" w:right="0"/>
                    <w:jc w:val="center"/>
                    <w:textAlignment w:val="bottom"/>
                    <w:rPr>
                      <w:rFonts w:hint="default"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鸡联-恒山改造</w:t>
                  </w:r>
                  <w:r>
                    <w:rPr>
                      <w:rFonts w:hint="default" w:eastAsia="宋体"/>
                      <w:color w:val="000000" w:themeColor="text1"/>
                      <w:kern w:val="0"/>
                      <w:szCs w:val="21"/>
                      <w:lang w:val="en-US" w:eastAsia="zh-CN" w:bidi="ar"/>
                      <w14:textFill>
                        <w14:solidFill>
                          <w14:schemeClr w14:val="tx1"/>
                        </w14:solidFill>
                      </w14:textFill>
                    </w:rPr>
                    <w:t>线路</w:t>
                  </w:r>
                  <w:r>
                    <w:rPr>
                      <w:rFonts w:hint="eastAsia"/>
                      <w:color w:val="000000" w:themeColor="text1"/>
                      <w:kern w:val="0"/>
                      <w:szCs w:val="21"/>
                      <w:lang w:val="en-US" w:eastAsia="zh-CN" w:bidi="ar"/>
                      <w14:textFill>
                        <w14:solidFill>
                          <w14:schemeClr w14:val="tx1"/>
                        </w14:solidFill>
                      </w14:textFill>
                    </w:rPr>
                    <w:t>（单回路）</w:t>
                  </w:r>
                </w:p>
              </w:tc>
            </w:tr>
            <w:tr w14:paraId="54C3B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4" w:type="pct"/>
                  <w:noWrap w:val="0"/>
                  <w:vAlign w:val="center"/>
                </w:tcPr>
                <w:p w14:paraId="22DABA14">
                  <w:pPr>
                    <w:keepNext w:val="0"/>
                    <w:keepLines w:val="0"/>
                    <w:widowControl/>
                    <w:suppressLineNumbers w:val="0"/>
                    <w:spacing w:before="0" w:beforeAutospacing="0" w:after="0" w:afterAutospacing="0"/>
                    <w:ind w:left="0" w:right="0"/>
                    <w:jc w:val="center"/>
                    <w:textAlignment w:val="bottom"/>
                    <w:rPr>
                      <w:rFonts w:hint="eastAsia"/>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电压等级</w:t>
                  </w:r>
                </w:p>
              </w:tc>
              <w:tc>
                <w:tcPr>
                  <w:tcW w:w="4445" w:type="pct"/>
                  <w:gridSpan w:val="3"/>
                  <w:noWrap w:val="0"/>
                  <w:vAlign w:val="center"/>
                </w:tcPr>
                <w:p w14:paraId="7139E03D">
                  <w:pPr>
                    <w:keepNext w:val="0"/>
                    <w:keepLines w:val="0"/>
                    <w:widowControl/>
                    <w:suppressLineNumbers w:val="0"/>
                    <w:spacing w:before="0" w:beforeAutospacing="0" w:after="0" w:afterAutospacing="0"/>
                    <w:ind w:left="0" w:right="0"/>
                    <w:jc w:val="center"/>
                    <w:textAlignment w:val="bottom"/>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22</w:t>
                  </w:r>
                  <w:r>
                    <w:rPr>
                      <w:rFonts w:hint="eastAsia"/>
                      <w:color w:val="000000" w:themeColor="text1"/>
                      <w:kern w:val="0"/>
                      <w:szCs w:val="21"/>
                      <w:lang w:bidi="ar"/>
                      <w14:textFill>
                        <w14:solidFill>
                          <w14:schemeClr w14:val="tx1"/>
                        </w14:solidFill>
                      </w14:textFill>
                    </w:rPr>
                    <w:t>0kV</w:t>
                  </w:r>
                </w:p>
              </w:tc>
            </w:tr>
            <w:tr w14:paraId="15D1A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4" w:type="pct"/>
                  <w:noWrap w:val="0"/>
                  <w:vAlign w:val="center"/>
                </w:tcPr>
                <w:p w14:paraId="2A99FD4D">
                  <w:pPr>
                    <w:keepNext w:val="0"/>
                    <w:keepLines w:val="0"/>
                    <w:widowControl/>
                    <w:suppressLineNumbers w:val="0"/>
                    <w:spacing w:before="0" w:beforeAutospacing="0" w:after="0" w:afterAutospacing="0"/>
                    <w:ind w:left="0" w:right="0"/>
                    <w:jc w:val="center"/>
                    <w:textAlignment w:val="bottom"/>
                    <w:rPr>
                      <w:rFonts w:hint="eastAsia"/>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导线型号</w:t>
                  </w:r>
                </w:p>
              </w:tc>
              <w:tc>
                <w:tcPr>
                  <w:tcW w:w="4445" w:type="pct"/>
                  <w:gridSpan w:val="3"/>
                  <w:noWrap w:val="0"/>
                  <w:vAlign w:val="center"/>
                </w:tcPr>
                <w:p w14:paraId="70A21BF5">
                  <w:pPr>
                    <w:keepNext w:val="0"/>
                    <w:keepLines w:val="0"/>
                    <w:widowControl/>
                    <w:suppressLineNumbers w:val="0"/>
                    <w:spacing w:before="0" w:beforeAutospacing="0" w:after="0" w:afterAutospacing="0"/>
                    <w:ind w:left="0" w:right="0"/>
                    <w:jc w:val="center"/>
                    <w:textAlignment w:val="bottom"/>
                    <w:rPr>
                      <w:rFonts w:hint="eastAsia"/>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JL3/G1A-300/40</w:t>
                  </w:r>
                </w:p>
              </w:tc>
            </w:tr>
            <w:tr w14:paraId="22E27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4" w:type="pct"/>
                  <w:noWrap w:val="0"/>
                  <w:vAlign w:val="center"/>
                </w:tcPr>
                <w:p w14:paraId="0AF28221">
                  <w:pPr>
                    <w:keepNext w:val="0"/>
                    <w:keepLines w:val="0"/>
                    <w:widowControl/>
                    <w:suppressLineNumbers w:val="0"/>
                    <w:spacing w:before="0" w:beforeAutospacing="0" w:after="0" w:afterAutospacing="0"/>
                    <w:ind w:left="0" w:right="0"/>
                    <w:jc w:val="center"/>
                    <w:textAlignment w:val="bottom"/>
                    <w:rPr>
                      <w:rFonts w:hint="eastAsia"/>
                      <w:color w:val="000000" w:themeColor="text1"/>
                      <w:kern w:val="0"/>
                      <w:szCs w:val="21"/>
                      <w:lang w:bidi="ar"/>
                      <w14:textFill>
                        <w14:solidFill>
                          <w14:schemeClr w14:val="tx1"/>
                        </w14:solidFill>
                      </w14:textFill>
                    </w:rPr>
                  </w:pPr>
                  <w:r>
                    <w:rPr>
                      <w:rFonts w:hint="eastAsia" w:ascii="宋体" w:hAnsi="宋体" w:eastAsia="宋体" w:cs="仿宋"/>
                      <w:bCs/>
                      <w:color w:val="000000" w:themeColor="text1"/>
                      <w:sz w:val="21"/>
                      <w:szCs w:val="21"/>
                      <w:lang w:val="en-US" w:eastAsia="zh-CN"/>
                      <w14:textFill>
                        <w14:solidFill>
                          <w14:schemeClr w14:val="tx1"/>
                        </w14:solidFill>
                      </w14:textFill>
                    </w:rPr>
                    <w:t>导线分裂数</w:t>
                  </w:r>
                </w:p>
              </w:tc>
              <w:tc>
                <w:tcPr>
                  <w:tcW w:w="4445" w:type="pct"/>
                  <w:gridSpan w:val="3"/>
                  <w:noWrap w:val="0"/>
                  <w:vAlign w:val="center"/>
                </w:tcPr>
                <w:p w14:paraId="764BD7C5">
                  <w:pPr>
                    <w:keepNext w:val="0"/>
                    <w:keepLines w:val="0"/>
                    <w:widowControl/>
                    <w:suppressLineNumbers w:val="0"/>
                    <w:spacing w:before="0" w:beforeAutospacing="0" w:after="0" w:afterAutospacing="0"/>
                    <w:ind w:left="0" w:right="0"/>
                    <w:jc w:val="center"/>
                    <w:textAlignment w:val="bottom"/>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w:t>
                  </w:r>
                </w:p>
              </w:tc>
            </w:tr>
            <w:tr w14:paraId="06896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6" w:hRule="atLeast"/>
                <w:jc w:val="center"/>
              </w:trPr>
              <w:tc>
                <w:tcPr>
                  <w:tcW w:w="554" w:type="pct"/>
                  <w:noWrap w:val="0"/>
                  <w:vAlign w:val="center"/>
                </w:tcPr>
                <w:p w14:paraId="485AC652">
                  <w:pPr>
                    <w:keepNext w:val="0"/>
                    <w:keepLines w:val="0"/>
                    <w:widowControl/>
                    <w:suppressLineNumbers w:val="0"/>
                    <w:spacing w:before="0" w:beforeAutospacing="0" w:after="0" w:afterAutospacing="0"/>
                    <w:ind w:left="0" w:right="0"/>
                    <w:jc w:val="center"/>
                    <w:textAlignment w:val="bottom"/>
                    <w:rPr>
                      <w:rFonts w:hint="default" w:ascii="宋体" w:hAnsi="宋体" w:eastAsia="宋体" w:cs="仿宋"/>
                      <w:bCs/>
                      <w:color w:val="000000" w:themeColor="text1"/>
                      <w:sz w:val="21"/>
                      <w:szCs w:val="21"/>
                      <w:lang w:val="en-US" w:eastAsia="zh-CN"/>
                      <w14:textFill>
                        <w14:solidFill>
                          <w14:schemeClr w14:val="tx1"/>
                        </w14:solidFill>
                      </w14:textFill>
                    </w:rPr>
                  </w:pPr>
                  <w:r>
                    <w:rPr>
                      <w:rFonts w:hint="eastAsia" w:ascii="宋体" w:hAnsi="宋体" w:eastAsia="宋体" w:cs="仿宋"/>
                      <w:bCs/>
                      <w:color w:val="000000" w:themeColor="text1"/>
                      <w:sz w:val="21"/>
                      <w:szCs w:val="21"/>
                      <w:lang w:val="en-US" w:eastAsia="zh-CN"/>
                      <w14:textFill>
                        <w14:solidFill>
                          <w14:schemeClr w14:val="tx1"/>
                        </w14:solidFill>
                      </w14:textFill>
                    </w:rPr>
                    <w:t>三相分布情况</w:t>
                  </w:r>
                </w:p>
              </w:tc>
              <w:tc>
                <w:tcPr>
                  <w:tcW w:w="1016" w:type="pct"/>
                  <w:noWrap w:val="0"/>
                  <w:vAlign w:val="center"/>
                </w:tcPr>
                <w:p w14:paraId="683DBD0C">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eastAsia"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A(-4.9m,14m)</w:t>
                  </w:r>
                </w:p>
                <w:p w14:paraId="2DF8E237">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eastAsia"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B（0m,18.3m）</w:t>
                  </w:r>
                </w:p>
                <w:p w14:paraId="350E3A2F">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C（4.9m,14m）</w:t>
                  </w:r>
                </w:p>
              </w:tc>
              <w:tc>
                <w:tcPr>
                  <w:tcW w:w="1956" w:type="pct"/>
                  <w:noWrap w:val="0"/>
                  <w:vAlign w:val="center"/>
                </w:tcPr>
                <w:p w14:paraId="78948833">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eastAsia"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C(-7.6m,27m)C(7.6m,27m)</w:t>
                  </w:r>
                </w:p>
                <w:p w14:paraId="0A872E52">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eastAsia"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B（-7.6m,20.5m）B（7.6m,20.5m）</w:t>
                  </w:r>
                </w:p>
                <w:p w14:paraId="6D3F39C3">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eastAsia"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A（-7.6m,14m）A（7.6m,14m）</w:t>
                  </w:r>
                </w:p>
              </w:tc>
              <w:tc>
                <w:tcPr>
                  <w:tcW w:w="1472" w:type="pct"/>
                  <w:noWrap w:val="0"/>
                  <w:vAlign w:val="center"/>
                </w:tcPr>
                <w:p w14:paraId="3C0C3FBC">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eastAsia" w:cs="Times New Roman"/>
                      <w:color w:val="FF0000"/>
                      <w:kern w:val="2"/>
                      <w:sz w:val="21"/>
                      <w:szCs w:val="21"/>
                      <w:lang w:val="en-US" w:eastAsia="zh-CN" w:bidi="ar-SA"/>
                    </w:rPr>
                  </w:pPr>
                  <w:r>
                    <w:rPr>
                      <w:rFonts w:hint="eastAsia" w:cs="Times New Roman"/>
                      <w:color w:val="FF0000"/>
                      <w:kern w:val="2"/>
                      <w:sz w:val="21"/>
                      <w:szCs w:val="21"/>
                      <w:lang w:val="en-US" w:eastAsia="zh-CN" w:bidi="ar-SA"/>
                    </w:rPr>
                    <w:t>A（-4.4m</w:t>
                  </w:r>
                  <w:r>
                    <w:rPr>
                      <w:rFonts w:hint="eastAsia" w:ascii="Times New Roman" w:hAnsi="Times New Roman" w:eastAsia="宋体" w:cs="Times New Roman"/>
                      <w:b w:val="0"/>
                      <w:bCs w:val="0"/>
                      <w:color w:val="FF0000"/>
                      <w:kern w:val="2"/>
                      <w:sz w:val="21"/>
                      <w:szCs w:val="21"/>
                      <w:lang w:val="en-US" w:eastAsia="zh-CN" w:bidi="ar-SA"/>
                    </w:rPr>
                    <w:t>,</w:t>
                  </w:r>
                  <w:r>
                    <w:rPr>
                      <w:rFonts w:hint="eastAsia" w:cs="Times New Roman"/>
                      <w:color w:val="FF0000"/>
                      <w:kern w:val="2"/>
                      <w:sz w:val="21"/>
                      <w:szCs w:val="21"/>
                      <w:lang w:val="en-US" w:eastAsia="zh-CN" w:bidi="ar-SA"/>
                    </w:rPr>
                    <w:t>16m）</w:t>
                  </w:r>
                </w:p>
                <w:p w14:paraId="65FDC3BC">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eastAsia" w:cs="Times New Roman"/>
                      <w:color w:val="FF0000"/>
                      <w:kern w:val="2"/>
                      <w:sz w:val="21"/>
                      <w:szCs w:val="21"/>
                      <w:lang w:val="en-US" w:eastAsia="zh-CN" w:bidi="ar-SA"/>
                    </w:rPr>
                  </w:pPr>
                  <w:r>
                    <w:rPr>
                      <w:rFonts w:hint="eastAsia" w:cs="Times New Roman"/>
                      <w:color w:val="FF0000"/>
                      <w:kern w:val="2"/>
                      <w:sz w:val="21"/>
                      <w:szCs w:val="21"/>
                      <w:lang w:val="en-US" w:eastAsia="zh-CN" w:bidi="ar-SA"/>
                    </w:rPr>
                    <w:t>B（4.4m,21m）</w:t>
                  </w:r>
                </w:p>
                <w:p w14:paraId="6D8F8704">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jc w:val="center"/>
                    <w:textAlignment w:val="bottom"/>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FF0000"/>
                      <w:kern w:val="2"/>
                      <w:sz w:val="21"/>
                      <w:szCs w:val="21"/>
                      <w:lang w:val="en-US" w:eastAsia="zh-CN" w:bidi="ar-SA"/>
                    </w:rPr>
                    <w:t>C（0m</w:t>
                  </w:r>
                  <w:r>
                    <w:rPr>
                      <w:rFonts w:hint="eastAsia" w:ascii="Times New Roman" w:hAnsi="Times New Roman" w:eastAsia="宋体" w:cs="Times New Roman"/>
                      <w:b w:val="0"/>
                      <w:bCs w:val="0"/>
                      <w:color w:val="FF0000"/>
                      <w:kern w:val="2"/>
                      <w:sz w:val="21"/>
                      <w:szCs w:val="21"/>
                      <w:lang w:val="en-US" w:eastAsia="zh-CN" w:bidi="ar-SA"/>
                    </w:rPr>
                    <w:t>,</w:t>
                  </w:r>
                  <w:r>
                    <w:rPr>
                      <w:rFonts w:hint="eastAsia" w:cs="Times New Roman"/>
                      <w:color w:val="FF0000"/>
                      <w:kern w:val="2"/>
                      <w:sz w:val="21"/>
                      <w:szCs w:val="21"/>
                      <w:lang w:val="en-US" w:eastAsia="zh-CN" w:bidi="ar-SA"/>
                    </w:rPr>
                    <w:t>16m）</w:t>
                  </w:r>
                </w:p>
              </w:tc>
            </w:tr>
            <w:tr w14:paraId="6B4C8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4" w:type="pct"/>
                  <w:noWrap w:val="0"/>
                  <w:vAlign w:val="center"/>
                </w:tcPr>
                <w:p w14:paraId="11D13B77">
                  <w:pPr>
                    <w:pStyle w:val="68"/>
                    <w:keepNext w:val="0"/>
                    <w:keepLines w:val="0"/>
                    <w:suppressLineNumbers w:val="0"/>
                    <w:adjustRightInd w:val="0"/>
                    <w:snapToGrid w:val="0"/>
                    <w:spacing w:before="0" w:beforeAutospacing="0" w:after="0" w:afterAutospacing="0"/>
                    <w:ind w:left="0" w:leftChars="0" w:right="0" w:rightChars="0"/>
                    <w:rPr>
                      <w:rFonts w:hint="eastAsia"/>
                      <w:color w:val="000000" w:themeColor="text1"/>
                      <w:kern w:val="0"/>
                      <w:szCs w:val="21"/>
                      <w:lang w:bidi="ar"/>
                      <w14:textFill>
                        <w14:solidFill>
                          <w14:schemeClr w14:val="tx1"/>
                        </w14:solidFill>
                      </w14:textFill>
                    </w:rPr>
                  </w:pPr>
                  <w:r>
                    <w:rPr>
                      <w:rFonts w:hint="eastAsia"/>
                      <w:color w:val="000000" w:themeColor="text1"/>
                      <w:szCs w:val="21"/>
                      <w14:textFill>
                        <w14:solidFill>
                          <w14:schemeClr w14:val="tx1"/>
                        </w14:solidFill>
                      </w14:textFill>
                    </w:rPr>
                    <w:t>极限传输容量</w:t>
                  </w:r>
                </w:p>
              </w:tc>
              <w:tc>
                <w:tcPr>
                  <w:tcW w:w="4445" w:type="pct"/>
                  <w:gridSpan w:val="3"/>
                  <w:noWrap w:val="0"/>
                  <w:vAlign w:val="center"/>
                </w:tcPr>
                <w:p w14:paraId="6FA24933">
                  <w:pPr>
                    <w:pStyle w:val="68"/>
                    <w:keepNext w:val="0"/>
                    <w:keepLines w:val="0"/>
                    <w:suppressLineNumbers w:val="0"/>
                    <w:adjustRightInd w:val="0"/>
                    <w:snapToGrid w:val="0"/>
                    <w:spacing w:before="0" w:beforeAutospacing="0" w:after="0" w:afterAutospacing="0"/>
                    <w:ind w:left="0" w:leftChars="0" w:right="0" w:rightChars="0"/>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541MVA</w:t>
                  </w:r>
                </w:p>
              </w:tc>
            </w:tr>
            <w:tr w14:paraId="7C84D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6" w:hRule="atLeast"/>
                <w:jc w:val="center"/>
              </w:trPr>
              <w:tc>
                <w:tcPr>
                  <w:tcW w:w="554" w:type="pct"/>
                  <w:noWrap w:val="0"/>
                  <w:vAlign w:val="center"/>
                </w:tcPr>
                <w:p w14:paraId="34A12AE7">
                  <w:pPr>
                    <w:pStyle w:val="68"/>
                    <w:keepNext w:val="0"/>
                    <w:keepLines w:val="0"/>
                    <w:suppressLineNumbers w:val="0"/>
                    <w:adjustRightInd w:val="0"/>
                    <w:snapToGrid w:val="0"/>
                    <w:spacing w:before="0" w:beforeAutospacing="0" w:after="0" w:afterAutospacing="0"/>
                    <w:ind w:left="0" w:leftChars="0" w:right="0" w:rightChars="0"/>
                    <w:rPr>
                      <w:rFonts w:hint="default"/>
                      <w:color w:val="000000" w:themeColor="text1"/>
                      <w:kern w:val="0"/>
                      <w:szCs w:val="21"/>
                      <w:lang w:bidi="ar"/>
                      <w14:textFill>
                        <w14:solidFill>
                          <w14:schemeClr w14:val="tx1"/>
                        </w14:solidFill>
                      </w14:textFill>
                    </w:rPr>
                  </w:pPr>
                  <w:r>
                    <w:rPr>
                      <w:rFonts w:hint="default"/>
                      <w:color w:val="000000" w:themeColor="text1"/>
                      <w:szCs w:val="21"/>
                      <w14:textFill>
                        <w14:solidFill>
                          <w14:schemeClr w14:val="tx1"/>
                        </w14:solidFill>
                      </w14:textFill>
                    </w:rPr>
                    <w:t>导线截面积</w:t>
                  </w:r>
                </w:p>
              </w:tc>
              <w:tc>
                <w:tcPr>
                  <w:tcW w:w="4445" w:type="pct"/>
                  <w:gridSpan w:val="3"/>
                  <w:noWrap w:val="0"/>
                  <w:vAlign w:val="center"/>
                </w:tcPr>
                <w:p w14:paraId="3A840470">
                  <w:pPr>
                    <w:pStyle w:val="68"/>
                    <w:keepNext w:val="0"/>
                    <w:keepLines w:val="0"/>
                    <w:suppressLineNumbers w:val="0"/>
                    <w:adjustRightInd w:val="0"/>
                    <w:snapToGrid w:val="0"/>
                    <w:spacing w:before="0" w:beforeAutospacing="0" w:after="0" w:afterAutospacing="0"/>
                    <w:ind w:left="0" w:leftChars="0" w:right="0" w:rightChars="0"/>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339mm</w:t>
                  </w:r>
                  <w:r>
                    <w:rPr>
                      <w:rFonts w:hint="eastAsia"/>
                      <w:color w:val="000000" w:themeColor="text1"/>
                      <w:kern w:val="0"/>
                      <w:szCs w:val="21"/>
                      <w:vertAlign w:val="superscript"/>
                      <w:lang w:val="en-US" w:eastAsia="zh-CN" w:bidi="ar"/>
                      <w14:textFill>
                        <w14:solidFill>
                          <w14:schemeClr w14:val="tx1"/>
                        </w14:solidFill>
                      </w14:textFill>
                    </w:rPr>
                    <w:t>2</w:t>
                  </w:r>
                </w:p>
              </w:tc>
            </w:tr>
            <w:tr w14:paraId="30C30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4" w:type="pct"/>
                  <w:noWrap w:val="0"/>
                  <w:vAlign w:val="center"/>
                </w:tcPr>
                <w:p w14:paraId="71820EE8">
                  <w:pPr>
                    <w:pStyle w:val="68"/>
                    <w:keepNext w:val="0"/>
                    <w:keepLines w:val="0"/>
                    <w:suppressLineNumbers w:val="0"/>
                    <w:adjustRightInd w:val="0"/>
                    <w:snapToGrid w:val="0"/>
                    <w:spacing w:before="0" w:beforeAutospacing="0" w:after="0" w:afterAutospacing="0"/>
                    <w:ind w:left="0" w:leftChars="0" w:right="0" w:rightChars="0"/>
                    <w:rPr>
                      <w:rFonts w:hint="eastAsia"/>
                      <w:color w:val="000000" w:themeColor="text1"/>
                      <w:kern w:val="0"/>
                      <w:szCs w:val="21"/>
                      <w:lang w:bidi="ar"/>
                      <w14:textFill>
                        <w14:solidFill>
                          <w14:schemeClr w14:val="tx1"/>
                        </w14:solidFill>
                      </w14:textFill>
                    </w:rPr>
                  </w:pPr>
                  <w:r>
                    <w:rPr>
                      <w:rFonts w:hint="default"/>
                      <w:color w:val="000000" w:themeColor="text1"/>
                      <w:szCs w:val="21"/>
                      <w14:textFill>
                        <w14:solidFill>
                          <w14:schemeClr w14:val="tx1"/>
                        </w14:solidFill>
                      </w14:textFill>
                    </w:rPr>
                    <w:t>导线外径</w:t>
                  </w:r>
                </w:p>
              </w:tc>
              <w:tc>
                <w:tcPr>
                  <w:tcW w:w="4445" w:type="pct"/>
                  <w:gridSpan w:val="3"/>
                  <w:noWrap w:val="0"/>
                  <w:vAlign w:val="center"/>
                </w:tcPr>
                <w:p w14:paraId="56973813">
                  <w:pPr>
                    <w:pStyle w:val="68"/>
                    <w:keepNext w:val="0"/>
                    <w:keepLines w:val="0"/>
                    <w:suppressLineNumbers w:val="0"/>
                    <w:adjustRightInd w:val="0"/>
                    <w:snapToGrid w:val="0"/>
                    <w:spacing w:before="0" w:beforeAutospacing="0" w:after="0" w:afterAutospacing="0"/>
                    <w:ind w:left="0" w:leftChars="0" w:right="0" w:rightChars="0"/>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23.90m</w:t>
                  </w:r>
                </w:p>
              </w:tc>
            </w:tr>
            <w:tr w14:paraId="563FB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4" w:type="pct"/>
                  <w:noWrap w:val="0"/>
                  <w:vAlign w:val="center"/>
                </w:tcPr>
                <w:p w14:paraId="69AC0A86">
                  <w:pPr>
                    <w:keepNext w:val="0"/>
                    <w:keepLines w:val="0"/>
                    <w:widowControl/>
                    <w:suppressLineNumbers w:val="0"/>
                    <w:spacing w:before="0" w:beforeAutospacing="0" w:after="0" w:afterAutospacing="0"/>
                    <w:ind w:left="0" w:right="0"/>
                    <w:jc w:val="center"/>
                    <w:textAlignment w:val="bottom"/>
                    <w:rPr>
                      <w:rFonts w:hint="default"/>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导线对地最小距离（m）</w:t>
                  </w:r>
                </w:p>
              </w:tc>
              <w:tc>
                <w:tcPr>
                  <w:tcW w:w="1016" w:type="pct"/>
                  <w:noWrap w:val="0"/>
                  <w:vAlign w:val="center"/>
                </w:tcPr>
                <w:p w14:paraId="654F7561">
                  <w:pPr>
                    <w:keepNext w:val="0"/>
                    <w:keepLines w:val="0"/>
                    <w:widowControl/>
                    <w:suppressLineNumbers w:val="0"/>
                    <w:spacing w:before="0" w:beforeAutospacing="0" w:after="0" w:afterAutospacing="0"/>
                    <w:ind w:left="0" w:right="0"/>
                    <w:jc w:val="center"/>
                    <w:textAlignment w:val="bottom"/>
                    <w:rPr>
                      <w:rFonts w:hint="default"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14.0</w:t>
                  </w:r>
                </w:p>
              </w:tc>
              <w:tc>
                <w:tcPr>
                  <w:tcW w:w="1956" w:type="pct"/>
                  <w:noWrap w:val="0"/>
                  <w:vAlign w:val="center"/>
                </w:tcPr>
                <w:p w14:paraId="3DC23BF2">
                  <w:pPr>
                    <w:keepNext w:val="0"/>
                    <w:keepLines w:val="0"/>
                    <w:widowControl/>
                    <w:suppressLineNumbers w:val="0"/>
                    <w:spacing w:before="0" w:beforeAutospacing="0" w:after="0" w:afterAutospacing="0"/>
                    <w:ind w:left="0" w:right="0"/>
                    <w:jc w:val="center"/>
                    <w:textAlignment w:val="bottom"/>
                    <w:rPr>
                      <w:rFonts w:hint="default"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14.0</w:t>
                  </w:r>
                </w:p>
              </w:tc>
              <w:tc>
                <w:tcPr>
                  <w:tcW w:w="1472" w:type="pct"/>
                  <w:noWrap w:val="0"/>
                  <w:vAlign w:val="center"/>
                </w:tcPr>
                <w:p w14:paraId="228B183F">
                  <w:pPr>
                    <w:keepNext w:val="0"/>
                    <w:keepLines w:val="0"/>
                    <w:widowControl/>
                    <w:suppressLineNumbers w:val="0"/>
                    <w:spacing w:before="0" w:beforeAutospacing="0" w:after="0" w:afterAutospacing="0"/>
                    <w:ind w:left="0" w:right="0"/>
                    <w:jc w:val="center"/>
                    <w:textAlignment w:val="bottom"/>
                    <w:rPr>
                      <w:rFonts w:hint="default"/>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16.0</w:t>
                  </w:r>
                </w:p>
              </w:tc>
            </w:tr>
            <w:tr w14:paraId="28051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554" w:type="pct"/>
                  <w:noWrap w:val="0"/>
                  <w:vAlign w:val="center"/>
                </w:tcPr>
                <w:p w14:paraId="7EEFE94D">
                  <w:pPr>
                    <w:keepNext w:val="0"/>
                    <w:keepLines w:val="0"/>
                    <w:widowControl/>
                    <w:suppressLineNumbers w:val="0"/>
                    <w:spacing w:before="0" w:beforeAutospacing="0" w:after="0" w:afterAutospacing="0"/>
                    <w:ind w:left="0" w:right="0"/>
                    <w:jc w:val="center"/>
                    <w:textAlignment w:val="bottom"/>
                    <w:rPr>
                      <w:rFonts w:hint="default"/>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典型塔形</w:t>
                  </w:r>
                </w:p>
              </w:tc>
              <w:tc>
                <w:tcPr>
                  <w:tcW w:w="1016" w:type="pct"/>
                  <w:noWrap w:val="0"/>
                  <w:vAlign w:val="center"/>
                </w:tcPr>
                <w:p w14:paraId="6736020A">
                  <w:pPr>
                    <w:keepNext w:val="0"/>
                    <w:keepLines w:val="0"/>
                    <w:widowControl/>
                    <w:suppressLineNumbers w:val="0"/>
                    <w:spacing w:before="0" w:beforeAutospacing="0" w:after="0" w:afterAutospacing="0"/>
                    <w:ind w:left="0" w:right="0"/>
                    <w:jc w:val="center"/>
                    <w:textAlignment w:val="bottom"/>
                    <w:rPr>
                      <w:rFonts w:hint="default" w:eastAsia="宋体"/>
                      <w:color w:val="000000" w:themeColor="text1"/>
                      <w:kern w:val="0"/>
                      <w:szCs w:val="21"/>
                      <w:highlight w:val="none"/>
                      <w:lang w:val="en-US" w:eastAsia="zh-CN" w:bidi="ar"/>
                      <w14:textFill>
                        <w14:solidFill>
                          <w14:schemeClr w14:val="tx1"/>
                        </w14:solidFill>
                      </w14:textFill>
                    </w:rPr>
                  </w:pPr>
                  <w:r>
                    <w:rPr>
                      <w:rFonts w:hint="default" w:eastAsia="宋体"/>
                      <w:color w:val="000000" w:themeColor="text1"/>
                      <w:kern w:val="0"/>
                      <w:szCs w:val="21"/>
                      <w:highlight w:val="none"/>
                      <w:lang w:val="en-US" w:eastAsia="zh-CN" w:bidi="ar"/>
                      <w14:textFill>
                        <w14:solidFill>
                          <w14:schemeClr w14:val="tx1"/>
                        </w14:solidFill>
                      </w14:textFill>
                    </w:rPr>
                    <w:t>220-FD21D-ZB1</w:t>
                  </w:r>
                </w:p>
              </w:tc>
              <w:tc>
                <w:tcPr>
                  <w:tcW w:w="1956" w:type="pct"/>
                  <w:noWrap w:val="0"/>
                  <w:vAlign w:val="center"/>
                </w:tcPr>
                <w:p w14:paraId="6219D7AD">
                  <w:pPr>
                    <w:keepNext w:val="0"/>
                    <w:keepLines w:val="0"/>
                    <w:widowControl/>
                    <w:suppressLineNumbers w:val="0"/>
                    <w:spacing w:before="0" w:beforeAutospacing="0" w:after="0" w:afterAutospacing="0"/>
                    <w:ind w:left="0" w:right="0"/>
                    <w:jc w:val="center"/>
                    <w:textAlignment w:val="bottom"/>
                    <w:rPr>
                      <w:rFonts w:hint="default" w:eastAsia="宋体"/>
                      <w:color w:val="000000" w:themeColor="text1"/>
                      <w:kern w:val="0"/>
                      <w:szCs w:val="21"/>
                      <w:highlight w:val="none"/>
                      <w:lang w:val="en-US" w:eastAsia="zh-CN" w:bidi="ar"/>
                      <w14:textFill>
                        <w14:solidFill>
                          <w14:schemeClr w14:val="tx1"/>
                        </w14:solidFill>
                      </w14:textFill>
                    </w:rPr>
                  </w:pPr>
                  <w:r>
                    <w:rPr>
                      <w:rFonts w:hint="default" w:eastAsia="宋体"/>
                      <w:color w:val="000000" w:themeColor="text1"/>
                      <w:kern w:val="0"/>
                      <w:szCs w:val="21"/>
                      <w:highlight w:val="none"/>
                      <w:lang w:val="en-US" w:eastAsia="zh-CN" w:bidi="ar"/>
                      <w14:textFill>
                        <w14:solidFill>
                          <w14:schemeClr w14:val="tx1"/>
                        </w14:solidFill>
                      </w14:textFill>
                    </w:rPr>
                    <w:t>220-FD21D-SDJ</w:t>
                  </w:r>
                </w:p>
              </w:tc>
              <w:tc>
                <w:tcPr>
                  <w:tcW w:w="1472" w:type="pct"/>
                  <w:noWrap w:val="0"/>
                  <w:vAlign w:val="center"/>
                </w:tcPr>
                <w:p w14:paraId="3E524170">
                  <w:pPr>
                    <w:keepNext w:val="0"/>
                    <w:keepLines w:val="0"/>
                    <w:widowControl/>
                    <w:suppressLineNumbers w:val="0"/>
                    <w:spacing w:before="0" w:beforeAutospacing="0" w:after="0" w:afterAutospacing="0"/>
                    <w:ind w:left="0" w:right="0"/>
                    <w:jc w:val="center"/>
                    <w:textAlignment w:val="bottom"/>
                    <w:rPr>
                      <w:rFonts w:hint="default"/>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220-ED21D-DJ</w:t>
                  </w:r>
                </w:p>
              </w:tc>
            </w:tr>
            <w:tr w14:paraId="18251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570" w:type="pct"/>
                  <w:gridSpan w:val="2"/>
                  <w:noWrap w:val="0"/>
                  <w:vAlign w:val="center"/>
                </w:tcPr>
                <w:p w14:paraId="7F2E927C">
                  <w:pPr>
                    <w:keepNext w:val="0"/>
                    <w:keepLines w:val="0"/>
                    <w:widowControl/>
                    <w:suppressLineNumbers w:val="0"/>
                    <w:spacing w:before="0" w:beforeAutospacing="0" w:after="0" w:afterAutospacing="0"/>
                    <w:ind w:left="0" w:right="0"/>
                    <w:jc w:val="center"/>
                    <w:textAlignment w:val="bottom"/>
                    <w:rPr>
                      <w:rFonts w:hint="eastAsia"/>
                      <w:color w:val="000000" w:themeColor="text1"/>
                      <w:kern w:val="0"/>
                      <w:szCs w:val="21"/>
                      <w:highlight w:val="none"/>
                      <w:lang w:bidi="ar"/>
                      <w14:textFill>
                        <w14:solidFill>
                          <w14:schemeClr w14:val="tx1"/>
                        </w14:solidFill>
                      </w14:textFill>
                    </w:rPr>
                  </w:pP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713740</wp:posOffset>
                            </wp:positionH>
                            <wp:positionV relativeFrom="paragraph">
                              <wp:posOffset>294005</wp:posOffset>
                            </wp:positionV>
                            <wp:extent cx="271145" cy="248920"/>
                            <wp:effectExtent l="0" t="0" r="0" b="0"/>
                            <wp:wrapNone/>
                            <wp:docPr id="43" name="矩形 43"/>
                            <wp:cNvGraphicFramePr/>
                            <a:graphic xmlns:a="http://schemas.openxmlformats.org/drawingml/2006/main">
                              <a:graphicData uri="http://schemas.microsoft.com/office/word/2010/wordprocessingShape">
                                <wps:wsp>
                                  <wps:cNvSpPr/>
                                  <wps:spPr>
                                    <a:xfrm>
                                      <a:off x="0" y="0"/>
                                      <a:ext cx="271145" cy="24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11A9D0">
                                        <w:pPr>
                                          <w:jc w:val="center"/>
                                          <w:rPr>
                                            <w:rFonts w:hint="default" w:eastAsia="宋体"/>
                                            <w:lang w:val="en-US" w:eastAsia="zh-CN"/>
                                          </w:rPr>
                                        </w:pPr>
                                        <w:r>
                                          <w:rPr>
                                            <w:rFonts w:hint="eastAsia"/>
                                            <w:color w:val="FF0000"/>
                                            <w:lang w:val="en-US" w:eastAsia="zh-CN"/>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2pt;margin-top:23.15pt;height:19.6pt;width:21.35pt;z-index:251665408;v-text-anchor:middle;mso-width-relative:page;mso-height-relative:page;" filled="f" stroked="f" coordsize="21600,21600" o:gfxdata="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dNjnLXAAAACQEA&#10;AA8AAAAAAAAAAQAgAAAAIgAAAGRycy9kb3ducmV2LnhtbFBLAQIUABQAAAAIAIdO4kCS/RzDVAIA&#10;AJcEAAAOAAAAAAAAAAEAIAAAACYBAABkcnMvZTJvRG9jLnhtbFBLBQYAAAAABgAGAFkBAADsBQAA&#10;AAA=&#10;">
                            <v:fill on="f" focussize="0,0"/>
                            <v:stroke on="f" weight="2pt"/>
                            <v:imagedata o:title=""/>
                            <o:lock v:ext="edit" aspectratio="f"/>
                            <v:textbox>
                              <w:txbxContent>
                                <w:p w14:paraId="3111A9D0">
                                  <w:pPr>
                                    <w:jc w:val="center"/>
                                    <w:rPr>
                                      <w:rFonts w:hint="default" w:eastAsia="宋体"/>
                                      <w:lang w:val="en-US" w:eastAsia="zh-CN"/>
                                    </w:rPr>
                                  </w:pPr>
                                  <w:r>
                                    <w:rPr>
                                      <w:rFonts w:hint="eastAsia"/>
                                      <w:color w:val="FF0000"/>
                                      <w:lang w:val="en-US" w:eastAsia="zh-CN"/>
                                    </w:rPr>
                                    <w:t>B</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1017270</wp:posOffset>
                            </wp:positionH>
                            <wp:positionV relativeFrom="paragraph">
                              <wp:posOffset>585470</wp:posOffset>
                            </wp:positionV>
                            <wp:extent cx="271145" cy="248920"/>
                            <wp:effectExtent l="0" t="0" r="0" b="0"/>
                            <wp:wrapNone/>
                            <wp:docPr id="47" name="矩形 47"/>
                            <wp:cNvGraphicFramePr/>
                            <a:graphic xmlns:a="http://schemas.openxmlformats.org/drawingml/2006/main">
                              <a:graphicData uri="http://schemas.microsoft.com/office/word/2010/wordprocessingShape">
                                <wps:wsp>
                                  <wps:cNvSpPr/>
                                  <wps:spPr>
                                    <a:xfrm>
                                      <a:off x="0" y="0"/>
                                      <a:ext cx="271145" cy="24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DCF7B0">
                                        <w:pPr>
                                          <w:jc w:val="center"/>
                                          <w:rPr>
                                            <w:rFonts w:hint="default" w:eastAsia="宋体"/>
                                            <w:lang w:val="en-US" w:eastAsia="zh-CN"/>
                                          </w:rPr>
                                        </w:pPr>
                                        <w:r>
                                          <w:rPr>
                                            <w:rFonts w:hint="eastAsia"/>
                                            <w:color w:val="FF0000"/>
                                            <w:lang w:val="en-US" w:eastAsia="zh-CN"/>
                                          </w:rPr>
                                          <w:t>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1pt;margin-top:46.1pt;height:19.6pt;width:21.35pt;z-index:251666432;v-text-anchor:middle;mso-width-relative:page;mso-height-relative:page;" filled="f" stroked="f" coordsize="21600,21600" o:gfxdata="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Gh58ndcAAAAKAQAA&#10;DwAAAAAAAAABACAAAAAiAAAAZHJzL2Rvd25yZXYueG1sUEsBAhQAFAAAAAgAh07iQOKTwYtTAgAA&#10;lwQAAA4AAAAAAAAAAQAgAAAAJgEAAGRycy9lMm9Eb2MueG1sUEsFBgAAAAAGAAYAWQEAAOsFAAAA&#10;AA==&#10;">
                            <v:fill on="f" focussize="0,0"/>
                            <v:stroke on="f" weight="2pt"/>
                            <v:imagedata o:title=""/>
                            <o:lock v:ext="edit" aspectratio="f"/>
                            <v:textbox>
                              <w:txbxContent>
                                <w:p w14:paraId="05DCF7B0">
                                  <w:pPr>
                                    <w:jc w:val="center"/>
                                    <w:rPr>
                                      <w:rFonts w:hint="default" w:eastAsia="宋体"/>
                                      <w:lang w:val="en-US" w:eastAsia="zh-CN"/>
                                    </w:rPr>
                                  </w:pPr>
                                  <w:r>
                                    <w:rPr>
                                      <w:rFonts w:hint="eastAsia"/>
                                      <w:color w:val="FF0000"/>
                                      <w:lang w:val="en-US" w:eastAsia="zh-CN"/>
                                    </w:rPr>
                                    <w:t>C</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379095</wp:posOffset>
                            </wp:positionH>
                            <wp:positionV relativeFrom="paragraph">
                              <wp:posOffset>565150</wp:posOffset>
                            </wp:positionV>
                            <wp:extent cx="227965" cy="256540"/>
                            <wp:effectExtent l="0" t="0" r="0" b="0"/>
                            <wp:wrapNone/>
                            <wp:docPr id="5" name="矩形 5"/>
                            <wp:cNvGraphicFramePr/>
                            <a:graphic xmlns:a="http://schemas.openxmlformats.org/drawingml/2006/main">
                              <a:graphicData uri="http://schemas.microsoft.com/office/word/2010/wordprocessingShape">
                                <wps:wsp>
                                  <wps:cNvSpPr/>
                                  <wps:spPr>
                                    <a:xfrm>
                                      <a:off x="2456815" y="1725930"/>
                                      <a:ext cx="227965" cy="2565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87A97">
                                        <w:pPr>
                                          <w:jc w:val="center"/>
                                          <w:rPr>
                                            <w:rFonts w:hint="eastAsia" w:eastAsia="宋体"/>
                                            <w:lang w:val="en-US" w:eastAsia="zh-CN"/>
                                          </w:rPr>
                                        </w:pPr>
                                        <w:r>
                                          <w:rPr>
                                            <w:rFonts w:hint="eastAsia"/>
                                            <w:color w:val="FF0000"/>
                                            <w:lang w:val="en-US" w:eastAsia="zh-CN"/>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85pt;margin-top:44.5pt;height:20.2pt;width:17.95pt;z-index:251664384;v-text-anchor:middle;mso-width-relative:page;mso-height-relative:page;" filled="f" stroked="f" coordsize="21600,21600" o:gfxdata="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Ttns&#10;ZNcAAAAIAQAADwAAAAAAAAABACAAAAAiAAAAZHJzL2Rvd25yZXYueG1sUEsBAhQAFAAAAAgAh07i&#10;QN9agZ1cAgAAoQQAAA4AAAAAAAAAAQAgAAAAJgEAAGRycy9lMm9Eb2MueG1sUEsFBgAAAAAGAAYA&#10;WQEAAPQFAAAAAA==&#10;">
                            <v:fill on="f" focussize="0,0"/>
                            <v:stroke on="f" weight="2pt"/>
                            <v:imagedata o:title=""/>
                            <o:lock v:ext="edit" aspectratio="f"/>
                            <v:textbox>
                              <w:txbxContent>
                                <w:p w14:paraId="3A787A97">
                                  <w:pPr>
                                    <w:jc w:val="center"/>
                                    <w:rPr>
                                      <w:rFonts w:hint="eastAsia" w:eastAsia="宋体"/>
                                      <w:lang w:val="en-US" w:eastAsia="zh-CN"/>
                                    </w:rPr>
                                  </w:pPr>
                                  <w:r>
                                    <w:rPr>
                                      <w:rFonts w:hint="eastAsia"/>
                                      <w:color w:val="FF0000"/>
                                      <w:lang w:val="en-US" w:eastAsia="zh-CN"/>
                                    </w:rPr>
                                    <w:t>A</w:t>
                                  </w:r>
                                </w:p>
                              </w:txbxContent>
                            </v:textbox>
                          </v:rect>
                        </w:pict>
                      </mc:Fallback>
                    </mc:AlternateContent>
                  </w:r>
                  <w:r>
                    <w:rPr>
                      <w:rFonts w:hint="default"/>
                    </w:rPr>
                    <w:drawing>
                      <wp:inline distT="0" distB="0" distL="114300" distR="114300">
                        <wp:extent cx="1482725" cy="3239135"/>
                        <wp:effectExtent l="0" t="0" r="3175" b="18415"/>
                        <wp:docPr id="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pic:cNvPicPr>
                                  <a:picLocks noChangeAspect="1"/>
                                </pic:cNvPicPr>
                              </pic:nvPicPr>
                              <pic:blipFill>
                                <a:blip r:embed="rId44"/>
                                <a:stretch>
                                  <a:fillRect/>
                                </a:stretch>
                              </pic:blipFill>
                              <pic:spPr>
                                <a:xfrm>
                                  <a:off x="0" y="0"/>
                                  <a:ext cx="1482725" cy="3239135"/>
                                </a:xfrm>
                                <a:prstGeom prst="rect">
                                  <a:avLst/>
                                </a:prstGeom>
                                <a:noFill/>
                                <a:ln>
                                  <a:noFill/>
                                </a:ln>
                              </pic:spPr>
                            </pic:pic>
                          </a:graphicData>
                        </a:graphic>
                      </wp:inline>
                    </w:drawing>
                  </w:r>
                </w:p>
              </w:tc>
              <w:tc>
                <w:tcPr>
                  <w:tcW w:w="1956" w:type="pct"/>
                  <w:noWrap w:val="0"/>
                  <w:vAlign w:val="center"/>
                </w:tcPr>
                <w:p w14:paraId="0931A6B8">
                  <w:pPr>
                    <w:keepNext w:val="0"/>
                    <w:keepLines w:val="0"/>
                    <w:widowControl/>
                    <w:suppressLineNumbers w:val="0"/>
                    <w:spacing w:before="0" w:beforeAutospacing="0" w:after="0" w:afterAutospacing="0"/>
                    <w:ind w:left="0" w:right="0"/>
                    <w:jc w:val="center"/>
                    <w:textAlignment w:val="bottom"/>
                    <w:rPr>
                      <w:rFonts w:hint="eastAsia" w:eastAsia="宋体"/>
                      <w:color w:val="000000" w:themeColor="text1"/>
                      <w:kern w:val="0"/>
                      <w:szCs w:val="21"/>
                      <w:highlight w:val="none"/>
                      <w:lang w:eastAsia="zh-CN" w:bidi="ar"/>
                      <w14:textFill>
                        <w14:solidFill>
                          <w14:schemeClr w14:val="tx1"/>
                        </w14:solidFill>
                      </w14:textFill>
                    </w:rPr>
                  </w:pP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1348740</wp:posOffset>
                            </wp:positionH>
                            <wp:positionV relativeFrom="paragraph">
                              <wp:posOffset>1350010</wp:posOffset>
                            </wp:positionV>
                            <wp:extent cx="227965" cy="256540"/>
                            <wp:effectExtent l="0" t="0" r="0" b="0"/>
                            <wp:wrapNone/>
                            <wp:docPr id="53" name="矩形 53"/>
                            <wp:cNvGraphicFramePr/>
                            <a:graphic xmlns:a="http://schemas.openxmlformats.org/drawingml/2006/main">
                              <a:graphicData uri="http://schemas.microsoft.com/office/word/2010/wordprocessingShape">
                                <wps:wsp>
                                  <wps:cNvSpPr/>
                                  <wps:spPr>
                                    <a:xfrm>
                                      <a:off x="0" y="0"/>
                                      <a:ext cx="227965" cy="2565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53791D">
                                        <w:pPr>
                                          <w:jc w:val="center"/>
                                          <w:rPr>
                                            <w:rFonts w:hint="eastAsia" w:eastAsia="宋体"/>
                                            <w:lang w:val="en-US" w:eastAsia="zh-CN"/>
                                          </w:rPr>
                                        </w:pPr>
                                        <w:r>
                                          <w:rPr>
                                            <w:rFonts w:hint="eastAsia"/>
                                            <w:color w:val="FF0000"/>
                                            <w:lang w:val="en-US" w:eastAsia="zh-CN"/>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6.2pt;margin-top:106.3pt;height:20.2pt;width:17.95pt;z-index:251677696;v-text-anchor:middle;mso-width-relative:page;mso-height-relative:page;" filled="f" stroked="f" coordsize="21600,21600" o:gfxdata="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HX9dbYAAAACwEA&#10;AA8AAAAAAAAAAQAgAAAAIgAAAGRycy9kb3ducmV2LnhtbFBLAQIUABQAAAAIAIdO4kDqQcrBUwIA&#10;AJcEAAAOAAAAAAAAAAEAIAAAACcBAABkcnMvZTJvRG9jLnhtbFBLBQYAAAAABgAGAFkBAADsBQAA&#10;AAA=&#10;">
                            <v:fill on="f" focussize="0,0"/>
                            <v:stroke on="f" weight="2pt"/>
                            <v:imagedata o:title=""/>
                            <o:lock v:ext="edit" aspectratio="f"/>
                            <v:textbox>
                              <w:txbxContent>
                                <w:p w14:paraId="3153791D">
                                  <w:pPr>
                                    <w:jc w:val="center"/>
                                    <w:rPr>
                                      <w:rFonts w:hint="eastAsia" w:eastAsia="宋体"/>
                                      <w:lang w:val="en-US" w:eastAsia="zh-CN"/>
                                    </w:rPr>
                                  </w:pPr>
                                  <w:r>
                                    <w:rPr>
                                      <w:rFonts w:hint="eastAsia"/>
                                      <w:color w:val="FF0000"/>
                                      <w:lang w:val="en-US" w:eastAsia="zh-CN"/>
                                    </w:rPr>
                                    <w:t>A</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1294765</wp:posOffset>
                            </wp:positionH>
                            <wp:positionV relativeFrom="paragraph">
                              <wp:posOffset>879475</wp:posOffset>
                            </wp:positionV>
                            <wp:extent cx="271145" cy="248920"/>
                            <wp:effectExtent l="0" t="0" r="0" b="0"/>
                            <wp:wrapNone/>
                            <wp:docPr id="54" name="矩形 54"/>
                            <wp:cNvGraphicFramePr/>
                            <a:graphic xmlns:a="http://schemas.openxmlformats.org/drawingml/2006/main">
                              <a:graphicData uri="http://schemas.microsoft.com/office/word/2010/wordprocessingShape">
                                <wps:wsp>
                                  <wps:cNvSpPr/>
                                  <wps:spPr>
                                    <a:xfrm>
                                      <a:off x="0" y="0"/>
                                      <a:ext cx="271145" cy="24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B1FBBB">
                                        <w:pPr>
                                          <w:jc w:val="center"/>
                                          <w:rPr>
                                            <w:rFonts w:hint="default" w:eastAsia="宋体"/>
                                            <w:lang w:val="en-US" w:eastAsia="zh-CN"/>
                                          </w:rPr>
                                        </w:pPr>
                                        <w:r>
                                          <w:rPr>
                                            <w:rFonts w:hint="eastAsia"/>
                                            <w:color w:val="FF0000"/>
                                            <w:lang w:val="en-US" w:eastAsia="zh-CN"/>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95pt;margin-top:69.25pt;height:19.6pt;width:21.35pt;z-index:251678720;v-text-anchor:middle;mso-width-relative:page;mso-height-relative:page;" filled="f" stroked="f" coordsize="21600,21600" o:gfxdata="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Fxz6toAAAAL&#10;AQAADwAAAAAAAAABACAAAAAiAAAAZHJzL2Rvd25yZXYueG1sUEsBAhQAFAAAAAgAh07iQHKXM0RT&#10;AgAAlwQAAA4AAAAAAAAAAQAgAAAAKQEAAGRycy9lMm9Eb2MueG1sUEsFBgAAAAAGAAYAWQEAAO4F&#10;AAAAAA==&#10;">
                            <v:fill on="f" focussize="0,0"/>
                            <v:stroke on="f" weight="2pt"/>
                            <v:imagedata o:title=""/>
                            <o:lock v:ext="edit" aspectratio="f"/>
                            <v:textbox>
                              <w:txbxContent>
                                <w:p w14:paraId="20B1FBBB">
                                  <w:pPr>
                                    <w:jc w:val="center"/>
                                    <w:rPr>
                                      <w:rFonts w:hint="default" w:eastAsia="宋体"/>
                                      <w:lang w:val="en-US" w:eastAsia="zh-CN"/>
                                    </w:rPr>
                                  </w:pPr>
                                  <w:r>
                                    <w:rPr>
                                      <w:rFonts w:hint="eastAsia"/>
                                      <w:color w:val="FF0000"/>
                                      <w:lang w:val="en-US" w:eastAsia="zh-CN"/>
                                    </w:rPr>
                                    <w:t>B</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1306830</wp:posOffset>
                            </wp:positionH>
                            <wp:positionV relativeFrom="paragraph">
                              <wp:posOffset>410845</wp:posOffset>
                            </wp:positionV>
                            <wp:extent cx="271145" cy="248920"/>
                            <wp:effectExtent l="0" t="0" r="0" b="0"/>
                            <wp:wrapNone/>
                            <wp:docPr id="55" name="矩形 55"/>
                            <wp:cNvGraphicFramePr/>
                            <a:graphic xmlns:a="http://schemas.openxmlformats.org/drawingml/2006/main">
                              <a:graphicData uri="http://schemas.microsoft.com/office/word/2010/wordprocessingShape">
                                <wps:wsp>
                                  <wps:cNvSpPr/>
                                  <wps:spPr>
                                    <a:xfrm>
                                      <a:off x="0" y="0"/>
                                      <a:ext cx="271145" cy="24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3F7F98">
                                        <w:pPr>
                                          <w:jc w:val="center"/>
                                          <w:rPr>
                                            <w:rFonts w:hint="default" w:eastAsia="宋体"/>
                                            <w:lang w:val="en-US" w:eastAsia="zh-CN"/>
                                          </w:rPr>
                                        </w:pPr>
                                        <w:r>
                                          <w:rPr>
                                            <w:rFonts w:hint="eastAsia"/>
                                            <w:color w:val="FF0000"/>
                                            <w:lang w:val="en-US" w:eastAsia="zh-CN"/>
                                          </w:rPr>
                                          <w:t>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2.9pt;margin-top:32.35pt;height:19.6pt;width:21.35pt;z-index:251679744;v-text-anchor:middle;mso-width-relative:page;mso-height-relative:page;" filled="f" stroked="f" coordsize="21600,21600" o:gfxdata="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8Q1nm2QAAAAoB&#10;AAAPAAAAAAAAAAEAIAAAACIAAABkcnMvZG93bnJldi54bWxQSwECFAAUAAAACACHTuJA7swEVlMC&#10;AACXBAAADgAAAAAAAAABACAAAAAoAQAAZHJzL2Uyb0RvYy54bWxQSwUGAAAAAAYABgBZAQAA7QUA&#10;AAAA&#10;">
                            <v:fill on="f" focussize="0,0"/>
                            <v:stroke on="f" weight="2pt"/>
                            <v:imagedata o:title=""/>
                            <o:lock v:ext="edit" aspectratio="f"/>
                            <v:textbox>
                              <w:txbxContent>
                                <w:p w14:paraId="703F7F98">
                                  <w:pPr>
                                    <w:jc w:val="center"/>
                                    <w:rPr>
                                      <w:rFonts w:hint="default" w:eastAsia="宋体"/>
                                      <w:lang w:val="en-US" w:eastAsia="zh-CN"/>
                                    </w:rPr>
                                  </w:pPr>
                                  <w:r>
                                    <w:rPr>
                                      <w:rFonts w:hint="eastAsia"/>
                                      <w:color w:val="FF0000"/>
                                      <w:lang w:val="en-US" w:eastAsia="zh-CN"/>
                                    </w:rPr>
                                    <w:t>C</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295910</wp:posOffset>
                            </wp:positionH>
                            <wp:positionV relativeFrom="paragraph">
                              <wp:posOffset>398145</wp:posOffset>
                            </wp:positionV>
                            <wp:extent cx="271145" cy="248920"/>
                            <wp:effectExtent l="0" t="0" r="0" b="0"/>
                            <wp:wrapNone/>
                            <wp:docPr id="52" name="矩形 52"/>
                            <wp:cNvGraphicFramePr/>
                            <a:graphic xmlns:a="http://schemas.openxmlformats.org/drawingml/2006/main">
                              <a:graphicData uri="http://schemas.microsoft.com/office/word/2010/wordprocessingShape">
                                <wps:wsp>
                                  <wps:cNvSpPr/>
                                  <wps:spPr>
                                    <a:xfrm>
                                      <a:off x="0" y="0"/>
                                      <a:ext cx="271145" cy="24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66F1E6">
                                        <w:pPr>
                                          <w:jc w:val="center"/>
                                          <w:rPr>
                                            <w:rFonts w:hint="default" w:eastAsia="宋体"/>
                                            <w:lang w:val="en-US" w:eastAsia="zh-CN"/>
                                          </w:rPr>
                                        </w:pPr>
                                        <w:r>
                                          <w:rPr>
                                            <w:rFonts w:hint="eastAsia"/>
                                            <w:color w:val="FF0000"/>
                                            <w:lang w:val="en-US" w:eastAsia="zh-CN"/>
                                          </w:rPr>
                                          <w:t>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3pt;margin-top:31.35pt;height:19.6pt;width:21.35pt;z-index:251676672;v-text-anchor:middle;mso-width-relative:page;mso-height-relative:page;" filled="f" stroked="f" coordsize="21600,21600" o:gfxdata="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s7+pi9cAAAAIAQAA&#10;DwAAAAAAAAABACAAAAAiAAAAZHJzL2Rvd25yZXYueG1sUEsBAhQAFAAAAAgAh07iQDpOgChTAgAA&#10;lwQAAA4AAAAAAAAAAQAgAAAAJgEAAGRycy9lMm9Eb2MueG1sUEsFBgAAAAAGAAYAWQEAAOsFAAAA&#10;AA==&#10;">
                            <v:fill on="f" focussize="0,0"/>
                            <v:stroke on="f" weight="2pt"/>
                            <v:imagedata o:title=""/>
                            <o:lock v:ext="edit" aspectratio="f"/>
                            <v:textbox>
                              <w:txbxContent>
                                <w:p w14:paraId="6166F1E6">
                                  <w:pPr>
                                    <w:jc w:val="center"/>
                                    <w:rPr>
                                      <w:rFonts w:hint="default" w:eastAsia="宋体"/>
                                      <w:lang w:val="en-US" w:eastAsia="zh-CN"/>
                                    </w:rPr>
                                  </w:pPr>
                                  <w:r>
                                    <w:rPr>
                                      <w:rFonts w:hint="eastAsia"/>
                                      <w:color w:val="FF0000"/>
                                      <w:lang w:val="en-US" w:eastAsia="zh-CN"/>
                                    </w:rPr>
                                    <w:t>C</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257810</wp:posOffset>
                            </wp:positionH>
                            <wp:positionV relativeFrom="paragraph">
                              <wp:posOffset>878205</wp:posOffset>
                            </wp:positionV>
                            <wp:extent cx="271145" cy="248920"/>
                            <wp:effectExtent l="0" t="0" r="0" b="0"/>
                            <wp:wrapNone/>
                            <wp:docPr id="51" name="矩形 51"/>
                            <wp:cNvGraphicFramePr/>
                            <a:graphic xmlns:a="http://schemas.openxmlformats.org/drawingml/2006/main">
                              <a:graphicData uri="http://schemas.microsoft.com/office/word/2010/wordprocessingShape">
                                <wps:wsp>
                                  <wps:cNvSpPr/>
                                  <wps:spPr>
                                    <a:xfrm>
                                      <a:off x="0" y="0"/>
                                      <a:ext cx="271145" cy="24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E30D2B">
                                        <w:pPr>
                                          <w:jc w:val="center"/>
                                          <w:rPr>
                                            <w:rFonts w:hint="default" w:eastAsia="宋体"/>
                                            <w:lang w:val="en-US" w:eastAsia="zh-CN"/>
                                          </w:rPr>
                                        </w:pPr>
                                        <w:r>
                                          <w:rPr>
                                            <w:rFonts w:hint="eastAsia"/>
                                            <w:color w:val="FF0000"/>
                                            <w:lang w:val="en-US" w:eastAsia="zh-CN"/>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pt;margin-top:69.15pt;height:19.6pt;width:21.35pt;z-index:251675648;v-text-anchor:middle;mso-width-relative:page;mso-height-relative:page;" filled="f" stroked="f" coordsize="21600,21600" o:gfxdata="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Pg8fXYAAAACQEA&#10;AA8AAAAAAAAAAQAgAAAAIgAAAGRycy9kb3ducmV2LnhtbFBLAQIUABQAAAAIAIdO4kCeotkeUwIA&#10;AJcEAAAOAAAAAAAAAAEAIAAAACcBAABkcnMvZTJvRG9jLnhtbFBLBQYAAAAABgAGAFkBAADsBQAA&#10;AAA=&#10;">
                            <v:fill on="f" focussize="0,0"/>
                            <v:stroke on="f" weight="2pt"/>
                            <v:imagedata o:title=""/>
                            <o:lock v:ext="edit" aspectratio="f"/>
                            <v:textbox>
                              <w:txbxContent>
                                <w:p w14:paraId="0AE30D2B">
                                  <w:pPr>
                                    <w:jc w:val="center"/>
                                    <w:rPr>
                                      <w:rFonts w:hint="default" w:eastAsia="宋体"/>
                                      <w:lang w:val="en-US" w:eastAsia="zh-CN"/>
                                    </w:rPr>
                                  </w:pPr>
                                  <w:r>
                                    <w:rPr>
                                      <w:rFonts w:hint="eastAsia"/>
                                      <w:color w:val="FF0000"/>
                                      <w:lang w:val="en-US" w:eastAsia="zh-CN"/>
                                    </w:rPr>
                                    <w:t>B</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262890</wp:posOffset>
                            </wp:positionH>
                            <wp:positionV relativeFrom="paragraph">
                              <wp:posOffset>1373505</wp:posOffset>
                            </wp:positionV>
                            <wp:extent cx="227965" cy="256540"/>
                            <wp:effectExtent l="0" t="0" r="0" b="0"/>
                            <wp:wrapNone/>
                            <wp:docPr id="50" name="矩形 50"/>
                            <wp:cNvGraphicFramePr/>
                            <a:graphic xmlns:a="http://schemas.openxmlformats.org/drawingml/2006/main">
                              <a:graphicData uri="http://schemas.microsoft.com/office/word/2010/wordprocessingShape">
                                <wps:wsp>
                                  <wps:cNvSpPr/>
                                  <wps:spPr>
                                    <a:xfrm>
                                      <a:off x="0" y="0"/>
                                      <a:ext cx="227965" cy="2565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6CEF6A">
                                        <w:pPr>
                                          <w:jc w:val="center"/>
                                          <w:rPr>
                                            <w:rFonts w:hint="eastAsia" w:eastAsia="宋体"/>
                                            <w:lang w:val="en-US" w:eastAsia="zh-CN"/>
                                          </w:rPr>
                                        </w:pPr>
                                        <w:r>
                                          <w:rPr>
                                            <w:rFonts w:hint="eastAsia"/>
                                            <w:color w:val="FF0000"/>
                                            <w:lang w:val="en-US" w:eastAsia="zh-CN"/>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pt;margin-top:108.15pt;height:20.2pt;width:17.95pt;z-index:251674624;v-text-anchor:middle;mso-width-relative:page;mso-height-relative:page;" filled="f" stroked="f" coordsize="21600,21600" o:gfxdata="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S1uve9gAAAAJAQAA&#10;DwAAAAAAAAABACAAAAAiAAAAZHJzL2Rvd25yZXYueG1sUEsBAhQAFAAAAAgAh07iQE6tk/dSAgAA&#10;lwQAAA4AAAAAAAAAAQAgAAAAJwEAAGRycy9lMm9Eb2MueG1sUEsFBgAAAAAGAAYAWQEAAOsFAAAA&#10;AA==&#10;">
                            <v:fill on="f" focussize="0,0"/>
                            <v:stroke on="f" weight="2pt"/>
                            <v:imagedata o:title=""/>
                            <o:lock v:ext="edit" aspectratio="f"/>
                            <v:textbox>
                              <w:txbxContent>
                                <w:p w14:paraId="2E6CEF6A">
                                  <w:pPr>
                                    <w:jc w:val="center"/>
                                    <w:rPr>
                                      <w:rFonts w:hint="eastAsia" w:eastAsia="宋体"/>
                                      <w:lang w:val="en-US" w:eastAsia="zh-CN"/>
                                    </w:rPr>
                                  </w:pPr>
                                  <w:r>
                                    <w:rPr>
                                      <w:rFonts w:hint="eastAsia"/>
                                      <w:color w:val="FF0000"/>
                                      <w:lang w:val="en-US" w:eastAsia="zh-CN"/>
                                    </w:rPr>
                                    <w:t>A</w:t>
                                  </w:r>
                                </w:p>
                              </w:txbxContent>
                            </v:textbox>
                          </v:rect>
                        </w:pict>
                      </mc:Fallback>
                    </mc:AlternateContent>
                  </w:r>
                  <w:r>
                    <w:rPr>
                      <w:rFonts w:hint="default"/>
                    </w:rPr>
                    <w:drawing>
                      <wp:inline distT="0" distB="0" distL="114300" distR="114300">
                        <wp:extent cx="1427480" cy="3181985"/>
                        <wp:effectExtent l="0" t="0" r="1270" b="18415"/>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45"/>
                                <a:stretch>
                                  <a:fillRect/>
                                </a:stretch>
                              </pic:blipFill>
                              <pic:spPr>
                                <a:xfrm>
                                  <a:off x="0" y="0"/>
                                  <a:ext cx="1427480" cy="3181985"/>
                                </a:xfrm>
                                <a:prstGeom prst="rect">
                                  <a:avLst/>
                                </a:prstGeom>
                                <a:noFill/>
                                <a:ln>
                                  <a:noFill/>
                                </a:ln>
                              </pic:spPr>
                            </pic:pic>
                          </a:graphicData>
                        </a:graphic>
                      </wp:inline>
                    </w:drawing>
                  </w:r>
                </w:p>
              </w:tc>
              <w:tc>
                <w:tcPr>
                  <w:tcW w:w="1472" w:type="pct"/>
                  <w:noWrap w:val="0"/>
                  <w:vAlign w:val="center"/>
                </w:tcPr>
                <w:p w14:paraId="222EFD1B">
                  <w:pPr>
                    <w:keepNext w:val="0"/>
                    <w:keepLines w:val="0"/>
                    <w:widowControl/>
                    <w:suppressLineNumbers w:val="0"/>
                    <w:spacing w:before="0" w:beforeAutospacing="0" w:after="0" w:afterAutospacing="0"/>
                    <w:ind w:left="0" w:right="0"/>
                    <w:jc w:val="center"/>
                    <w:textAlignment w:val="bottom"/>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1312545</wp:posOffset>
                            </wp:positionH>
                            <wp:positionV relativeFrom="paragraph">
                              <wp:posOffset>978535</wp:posOffset>
                            </wp:positionV>
                            <wp:extent cx="271145" cy="248920"/>
                            <wp:effectExtent l="0" t="0" r="0" b="0"/>
                            <wp:wrapNone/>
                            <wp:docPr id="143" name="矩形 143"/>
                            <wp:cNvGraphicFramePr/>
                            <a:graphic xmlns:a="http://schemas.openxmlformats.org/drawingml/2006/main">
                              <a:graphicData uri="http://schemas.microsoft.com/office/word/2010/wordprocessingShape">
                                <wps:wsp>
                                  <wps:cNvSpPr/>
                                  <wps:spPr>
                                    <a:xfrm>
                                      <a:off x="0" y="0"/>
                                      <a:ext cx="271145" cy="24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7392D6">
                                        <w:pPr>
                                          <w:jc w:val="center"/>
                                          <w:rPr>
                                            <w:rFonts w:hint="default" w:eastAsia="宋体"/>
                                            <w:lang w:val="en-US" w:eastAsia="zh-CN"/>
                                          </w:rPr>
                                        </w:pPr>
                                        <w:r>
                                          <w:rPr>
                                            <w:rFonts w:hint="eastAsia"/>
                                            <w:color w:val="FF0000"/>
                                            <w:lang w:val="en-US" w:eastAsia="zh-CN"/>
                                          </w:rPr>
                                          <w:t>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3.35pt;margin-top:77.05pt;height:19.6pt;width:21.35pt;z-index:251682816;v-text-anchor:middle;mso-width-relative:page;mso-height-relative:page;" filled="f" stroked="f" coordsize="21600,21600" o:gfxdata="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EkGru9kAAAAL&#10;AQAADwAAAAAAAAABACAAAAAiAAAAZHJzL2Rvd25yZXYueG1sUEsBAhQAFAAAAAgAh07iQFVFl1lU&#10;AgAAmQQAAA4AAAAAAAAAAQAgAAAAKAEAAGRycy9lMm9Eb2MueG1sUEsFBgAAAAAGAAYAWQEAAO4F&#10;AAAAAA==&#10;">
                            <v:fill on="f" focussize="0,0"/>
                            <v:stroke on="f" weight="2pt"/>
                            <v:imagedata o:title=""/>
                            <o:lock v:ext="edit" aspectratio="f"/>
                            <v:textbox>
                              <w:txbxContent>
                                <w:p w14:paraId="777392D6">
                                  <w:pPr>
                                    <w:jc w:val="center"/>
                                    <w:rPr>
                                      <w:rFonts w:hint="default" w:eastAsia="宋体"/>
                                      <w:lang w:val="en-US" w:eastAsia="zh-CN"/>
                                    </w:rPr>
                                  </w:pPr>
                                  <w:r>
                                    <w:rPr>
                                      <w:rFonts w:hint="eastAsia"/>
                                      <w:color w:val="FF0000"/>
                                      <w:lang w:val="en-US" w:eastAsia="zh-CN"/>
                                    </w:rPr>
                                    <w:t>C</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822325</wp:posOffset>
                            </wp:positionH>
                            <wp:positionV relativeFrom="paragraph">
                              <wp:posOffset>464185</wp:posOffset>
                            </wp:positionV>
                            <wp:extent cx="271145" cy="248920"/>
                            <wp:effectExtent l="0" t="0" r="0" b="0"/>
                            <wp:wrapNone/>
                            <wp:docPr id="142" name="矩形 142"/>
                            <wp:cNvGraphicFramePr/>
                            <a:graphic xmlns:a="http://schemas.openxmlformats.org/drawingml/2006/main">
                              <a:graphicData uri="http://schemas.microsoft.com/office/word/2010/wordprocessingShape">
                                <wps:wsp>
                                  <wps:cNvSpPr/>
                                  <wps:spPr>
                                    <a:xfrm>
                                      <a:off x="0" y="0"/>
                                      <a:ext cx="271145" cy="24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F66075">
                                        <w:pPr>
                                          <w:jc w:val="center"/>
                                          <w:rPr>
                                            <w:rFonts w:hint="default" w:eastAsia="宋体"/>
                                            <w:lang w:val="en-US" w:eastAsia="zh-CN"/>
                                          </w:rPr>
                                        </w:pPr>
                                        <w:r>
                                          <w:rPr>
                                            <w:rFonts w:hint="eastAsia"/>
                                            <w:color w:val="FF0000"/>
                                            <w:lang w:val="en-US" w:eastAsia="zh-CN"/>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4.75pt;margin-top:36.55pt;height:19.6pt;width:21.35pt;z-index:251681792;v-text-anchor:middle;mso-width-relative:page;mso-height-relative:page;" filled="f" stroked="f" coordsize="21600,21600" o:gfxdata="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mudMS2AAAAAoB&#10;AAAPAAAAAAAAAAEAIAAAACIAAABkcnMvZG93bnJldi54bWxQSwECFAAUAAAACACHTuJAS98qTFQC&#10;AACZBAAADgAAAAAAAAABACAAAAAnAQAAZHJzL2Uyb0RvYy54bWxQSwUGAAAAAAYABgBZAQAA7QUA&#10;AAAA&#10;">
                            <v:fill on="f" focussize="0,0"/>
                            <v:stroke on="f" weight="2pt"/>
                            <v:imagedata o:title=""/>
                            <o:lock v:ext="edit" aspectratio="f"/>
                            <v:textbox>
                              <w:txbxContent>
                                <w:p w14:paraId="47F66075">
                                  <w:pPr>
                                    <w:jc w:val="center"/>
                                    <w:rPr>
                                      <w:rFonts w:hint="default" w:eastAsia="宋体"/>
                                      <w:lang w:val="en-US" w:eastAsia="zh-CN"/>
                                    </w:rPr>
                                  </w:pPr>
                                  <w:r>
                                    <w:rPr>
                                      <w:rFonts w:hint="eastAsia"/>
                                      <w:color w:val="FF0000"/>
                                      <w:lang w:val="en-US" w:eastAsia="zh-CN"/>
                                    </w:rPr>
                                    <w:t>B</w:t>
                                  </w:r>
                                </w:p>
                              </w:txbxContent>
                            </v:textbox>
                          </v:rect>
                        </w:pict>
                      </mc:Fallback>
                    </mc:AlternateContent>
                  </w:r>
                  <w:r>
                    <w:rPr>
                      <w:rFonts w:hint="default"/>
                      <w:color w:val="000000" w:themeColor="text1"/>
                      <w:sz w:val="2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340995</wp:posOffset>
                            </wp:positionH>
                            <wp:positionV relativeFrom="paragraph">
                              <wp:posOffset>1028700</wp:posOffset>
                            </wp:positionV>
                            <wp:extent cx="227965" cy="256540"/>
                            <wp:effectExtent l="0" t="0" r="0" b="0"/>
                            <wp:wrapNone/>
                            <wp:docPr id="136" name="矩形 136"/>
                            <wp:cNvGraphicFramePr/>
                            <a:graphic xmlns:a="http://schemas.openxmlformats.org/drawingml/2006/main">
                              <a:graphicData uri="http://schemas.microsoft.com/office/word/2010/wordprocessingShape">
                                <wps:wsp>
                                  <wps:cNvSpPr/>
                                  <wps:spPr>
                                    <a:xfrm>
                                      <a:off x="0" y="0"/>
                                      <a:ext cx="227965" cy="2565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0DC3B5">
                                        <w:pPr>
                                          <w:jc w:val="center"/>
                                          <w:rPr>
                                            <w:rFonts w:hint="eastAsia" w:eastAsia="宋体"/>
                                            <w:lang w:val="en-US" w:eastAsia="zh-CN"/>
                                          </w:rPr>
                                        </w:pPr>
                                        <w:r>
                                          <w:rPr>
                                            <w:rFonts w:hint="eastAsia"/>
                                            <w:color w:val="FF0000"/>
                                            <w:lang w:val="en-US" w:eastAsia="zh-CN"/>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85pt;margin-top:81pt;height:20.2pt;width:17.95pt;z-index:251680768;v-text-anchor:middle;mso-width-relative:page;mso-height-relative:page;" filled="f" stroked="f" coordsize="21600,21600" o:gfxdata="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1lO3I2AAAAAkB&#10;AAAPAAAAAAAAAAEAIAAAACIAAABkcnMvZG93bnJldi54bWxQSwECFAAUAAAACACHTuJAU2t3alQC&#10;AACZBAAADgAAAAAAAAABACAAAAAnAQAAZHJzL2Uyb0RvYy54bWxQSwUGAAAAAAYABgBZAQAA7QUA&#10;AAAA&#10;">
                            <v:fill on="f" focussize="0,0"/>
                            <v:stroke on="f" weight="2pt"/>
                            <v:imagedata o:title=""/>
                            <o:lock v:ext="edit" aspectratio="f"/>
                            <v:textbox>
                              <w:txbxContent>
                                <w:p w14:paraId="260DC3B5">
                                  <w:pPr>
                                    <w:jc w:val="center"/>
                                    <w:rPr>
                                      <w:rFonts w:hint="eastAsia" w:eastAsia="宋体"/>
                                      <w:lang w:val="en-US" w:eastAsia="zh-CN"/>
                                    </w:rPr>
                                  </w:pPr>
                                  <w:r>
                                    <w:rPr>
                                      <w:rFonts w:hint="eastAsia"/>
                                      <w:color w:val="FF0000"/>
                                      <w:lang w:val="en-US" w:eastAsia="zh-CN"/>
                                    </w:rPr>
                                    <w:t>A</w:t>
                                  </w:r>
                                </w:p>
                              </w:txbxContent>
                            </v:textbox>
                          </v:rect>
                        </w:pict>
                      </mc:Fallback>
                    </mc:AlternateContent>
                  </w:r>
                  <w:r>
                    <w:rPr>
                      <w:rFonts w:hint="default"/>
                    </w:rPr>
                    <w:drawing>
                      <wp:inline distT="0" distB="0" distL="114300" distR="114300">
                        <wp:extent cx="1649095" cy="3151505"/>
                        <wp:effectExtent l="0" t="0" r="8255" b="10795"/>
                        <wp:docPr id="12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0"/>
                                <pic:cNvPicPr>
                                  <a:picLocks noChangeAspect="1"/>
                                </pic:cNvPicPr>
                              </pic:nvPicPr>
                              <pic:blipFill>
                                <a:blip r:embed="rId46"/>
                                <a:stretch>
                                  <a:fillRect/>
                                </a:stretch>
                              </pic:blipFill>
                              <pic:spPr>
                                <a:xfrm>
                                  <a:off x="0" y="0"/>
                                  <a:ext cx="1649095" cy="3151505"/>
                                </a:xfrm>
                                <a:prstGeom prst="rect">
                                  <a:avLst/>
                                </a:prstGeom>
                                <a:noFill/>
                                <a:ln>
                                  <a:noFill/>
                                </a:ln>
                              </pic:spPr>
                            </pic:pic>
                          </a:graphicData>
                        </a:graphic>
                      </wp:inline>
                    </w:drawing>
                  </w:r>
                </w:p>
              </w:tc>
            </w:tr>
          </w:tbl>
          <w:p w14:paraId="5E6BF8BD">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（4）计算结果</w:t>
            </w:r>
          </w:p>
          <w:p w14:paraId="7A64E976">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①22</w:t>
            </w:r>
            <w:r>
              <w:rPr>
                <w:rFonts w:hint="default"/>
                <w:color w:val="000000" w:themeColor="text1"/>
                <w:sz w:val="24"/>
                <w14:textFill>
                  <w14:solidFill>
                    <w14:schemeClr w14:val="tx1"/>
                  </w14:solidFill>
                </w14:textFill>
              </w:rPr>
              <w:t>0kV</w:t>
            </w:r>
            <w:r>
              <w:rPr>
                <w:rFonts w:hint="eastAsia" w:cs="Times New Roman"/>
                <w:b w:val="0"/>
                <w:bCs w:val="0"/>
                <w:color w:val="000000" w:themeColor="text1"/>
                <w:kern w:val="2"/>
                <w:sz w:val="24"/>
                <w:szCs w:val="24"/>
                <w:lang w:val="en-US" w:eastAsia="zh-CN" w:bidi="ar-SA"/>
                <w14:textFill>
                  <w14:solidFill>
                    <w14:schemeClr w14:val="tx1"/>
                  </w14:solidFill>
                </w14:textFill>
              </w:rPr>
              <w:t>新建</w:t>
            </w:r>
            <w:r>
              <w:rPr>
                <w:rFonts w:hint="default"/>
                <w:color w:val="000000" w:themeColor="text1"/>
                <w:sz w:val="24"/>
                <w14:textFill>
                  <w14:solidFill>
                    <w14:schemeClr w14:val="tx1"/>
                  </w14:solidFill>
                </w14:textFill>
              </w:rPr>
              <w:t>输电线路</w:t>
            </w:r>
            <w:r>
              <w:rPr>
                <w:rFonts w:hint="eastAsia"/>
                <w:color w:val="000000" w:themeColor="text1"/>
                <w:sz w:val="24"/>
                <w14:textFill>
                  <w14:solidFill>
                    <w14:schemeClr w14:val="tx1"/>
                  </w14:solidFill>
                </w14:textFill>
              </w:rPr>
              <w:t>（ZB</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工频电场、工频磁感应强度值理论计算见</w:t>
            </w:r>
            <w:r>
              <w:rPr>
                <w:rFonts w:hint="eastAsia"/>
                <w:color w:val="000000" w:themeColor="text1"/>
                <w:sz w:val="24"/>
                <w14:textFill>
                  <w14:solidFill>
                    <w14:schemeClr w14:val="tx1"/>
                  </w14:solidFill>
                </w14:textFill>
              </w:rPr>
              <w:t>下表，根据计算结果绘制的工频电场强度、工频磁感应强度分布趋势图</w:t>
            </w:r>
            <w:r>
              <w:rPr>
                <w:rFonts w:hint="default"/>
                <w:color w:val="000000" w:themeColor="text1"/>
                <w:sz w:val="24"/>
                <w14:textFill>
                  <w14:solidFill>
                    <w14:schemeClr w14:val="tx1"/>
                  </w14:solidFill>
                </w14:textFill>
              </w:rPr>
              <w:t>。</w:t>
            </w:r>
          </w:p>
          <w:p w14:paraId="09A30D6A">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表 </w:t>
            </w:r>
            <w:r>
              <w:rPr>
                <w:rFonts w:hint="eastAsia" w:eastAsia="宋体" w:cs="Times New Roman"/>
                <w:b/>
                <w:bCs/>
                <w:color w:val="000000" w:themeColor="text1"/>
                <w:kern w:val="2"/>
                <w:sz w:val="24"/>
                <w:szCs w:val="24"/>
                <w:lang w:val="en-US" w:eastAsia="zh-CN" w:bidi="ar-SA"/>
                <w14:textFill>
                  <w14:solidFill>
                    <w14:schemeClr w14:val="tx1"/>
                  </w14:solidFill>
                </w14:textFill>
              </w:rPr>
              <w:t>9</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拟</w:t>
            </w:r>
            <w:r>
              <w:rPr>
                <w:rFonts w:hint="eastAsia" w:eastAsia="宋体" w:cs="Times New Roman"/>
                <w:b/>
                <w:bCs/>
                <w:color w:val="000000" w:themeColor="text1"/>
                <w:kern w:val="2"/>
                <w:sz w:val="24"/>
                <w:szCs w:val="24"/>
                <w:lang w:val="en-US" w:eastAsia="zh-CN" w:bidi="ar-SA"/>
                <w14:textFill>
                  <w14:solidFill>
                    <w14:schemeClr w14:val="tx1"/>
                  </w14:solidFill>
                </w14:textFill>
              </w:rPr>
              <w:t>新建</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输电线路工频电场、工频磁感应强度理论计算结果</w:t>
            </w:r>
            <w:r>
              <w:rPr>
                <w:rFonts w:hint="eastAsia" w:eastAsia="宋体" w:cs="Times New Roman"/>
                <w:b/>
                <w:bCs/>
                <w:color w:val="FF0000"/>
                <w:kern w:val="2"/>
                <w:sz w:val="24"/>
                <w:szCs w:val="24"/>
                <w:lang w:val="en-US" w:eastAsia="zh-CN" w:bidi="ar-SA"/>
              </w:rPr>
              <w:t>（单回路）</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5"/>
              <w:gridCol w:w="1195"/>
              <w:gridCol w:w="1107"/>
              <w:gridCol w:w="999"/>
              <w:gridCol w:w="1107"/>
              <w:gridCol w:w="999"/>
              <w:gridCol w:w="1253"/>
              <w:gridCol w:w="1118"/>
            </w:tblGrid>
            <w:tr w14:paraId="0E738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Merge w:val="restart"/>
                  <w:vAlign w:val="center"/>
                </w:tcPr>
                <w:p w14:paraId="0EE2F22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序号</w:t>
                  </w:r>
                </w:p>
              </w:tc>
              <w:tc>
                <w:tcPr>
                  <w:tcW w:w="721" w:type="pct"/>
                  <w:vAlign w:val="center"/>
                </w:tcPr>
                <w:p w14:paraId="621E0C3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预测塔型</w:t>
                  </w:r>
                </w:p>
              </w:tc>
              <w:tc>
                <w:tcPr>
                  <w:tcW w:w="3967" w:type="pct"/>
                  <w:gridSpan w:val="6"/>
                  <w:vAlign w:val="center"/>
                </w:tcPr>
                <w:p w14:paraId="6195667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直线塔：ZB</w:t>
                  </w:r>
                  <w:r>
                    <w:rPr>
                      <w:rFonts w:hint="eastAsia" w:cs="Times New Roman"/>
                      <w:color w:val="000000" w:themeColor="text1"/>
                      <w:kern w:val="0"/>
                      <w:szCs w:val="21"/>
                      <w:lang w:val="en-US" w:eastAsia="zh-CN" w:bidi="ar"/>
                      <w14:textFill>
                        <w14:solidFill>
                          <w14:schemeClr w14:val="tx1"/>
                        </w14:solidFill>
                      </w14:textFill>
                    </w:rPr>
                    <w:t>1</w:t>
                  </w:r>
                </w:p>
              </w:tc>
            </w:tr>
            <w:tr w14:paraId="0B192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Merge w:val="continue"/>
                  <w:vAlign w:val="center"/>
                </w:tcPr>
                <w:p w14:paraId="66E0449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p>
              </w:tc>
              <w:tc>
                <w:tcPr>
                  <w:tcW w:w="721" w:type="pct"/>
                  <w:vAlign w:val="center"/>
                </w:tcPr>
                <w:p w14:paraId="739C1BA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最小垂直距离</w:t>
                  </w:r>
                </w:p>
              </w:tc>
              <w:tc>
                <w:tcPr>
                  <w:tcW w:w="1269" w:type="pct"/>
                  <w:gridSpan w:val="2"/>
                  <w:vAlign w:val="center"/>
                </w:tcPr>
                <w:p w14:paraId="6C91A1E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val="en-US" w:eastAsia="zh-CN" w:bidi="ar"/>
                      <w14:textFill>
                        <w14:solidFill>
                          <w14:schemeClr w14:val="tx1"/>
                        </w14:solidFill>
                      </w14:textFill>
                    </w:rPr>
                    <w:t>22</w:t>
                  </w:r>
                  <w:r>
                    <w:rPr>
                      <w:rFonts w:hint="default" w:cs="Times New Roman"/>
                      <w:color w:val="000000" w:themeColor="text1"/>
                      <w:kern w:val="0"/>
                      <w:szCs w:val="21"/>
                      <w:lang w:eastAsia="zh-CN" w:bidi="ar"/>
                      <w14:textFill>
                        <w14:solidFill>
                          <w14:schemeClr w14:val="tx1"/>
                        </w14:solidFill>
                      </w14:textFill>
                    </w:rPr>
                    <w:t>0kV线路：</w:t>
                  </w:r>
                  <w:r>
                    <w:rPr>
                      <w:rFonts w:hint="eastAsia" w:cs="Times New Roman"/>
                      <w:color w:val="000000" w:themeColor="text1"/>
                      <w:kern w:val="0"/>
                      <w:szCs w:val="21"/>
                      <w:lang w:eastAsia="zh-CN" w:bidi="ar"/>
                      <w14:textFill>
                        <w14:solidFill>
                          <w14:schemeClr w14:val="tx1"/>
                        </w14:solidFill>
                      </w14:textFill>
                    </w:rPr>
                    <w:t>6.</w:t>
                  </w:r>
                  <w:r>
                    <w:rPr>
                      <w:rFonts w:hint="eastAsia" w:cs="Times New Roman"/>
                      <w:color w:val="000000" w:themeColor="text1"/>
                      <w:kern w:val="0"/>
                      <w:szCs w:val="21"/>
                      <w:lang w:val="en-US" w:eastAsia="zh-CN" w:bidi="ar"/>
                      <w14:textFill>
                        <w14:solidFill>
                          <w14:schemeClr w14:val="tx1"/>
                        </w14:solidFill>
                      </w14:textFill>
                    </w:rPr>
                    <w:t>5</w:t>
                  </w:r>
                  <w:r>
                    <w:rPr>
                      <w:rFonts w:hint="default" w:cs="Times New Roman"/>
                      <w:color w:val="000000" w:themeColor="text1"/>
                      <w:kern w:val="0"/>
                      <w:szCs w:val="21"/>
                      <w:lang w:eastAsia="zh-CN" w:bidi="ar"/>
                      <w14:textFill>
                        <w14:solidFill>
                          <w14:schemeClr w14:val="tx1"/>
                        </w14:solidFill>
                      </w14:textFill>
                    </w:rPr>
                    <w:t>m</w:t>
                  </w:r>
                </w:p>
                <w:p w14:paraId="02899FC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（非居民区）</w:t>
                  </w:r>
                </w:p>
              </w:tc>
              <w:tc>
                <w:tcPr>
                  <w:tcW w:w="1269" w:type="pct"/>
                  <w:gridSpan w:val="2"/>
                  <w:vAlign w:val="center"/>
                </w:tcPr>
                <w:p w14:paraId="2C433E6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val="en-US" w:eastAsia="zh-CN" w:bidi="ar"/>
                      <w14:textFill>
                        <w14:solidFill>
                          <w14:schemeClr w14:val="tx1"/>
                        </w14:solidFill>
                      </w14:textFill>
                    </w:rPr>
                    <w:t>22</w:t>
                  </w:r>
                  <w:r>
                    <w:rPr>
                      <w:rFonts w:hint="default" w:cs="Times New Roman"/>
                      <w:color w:val="000000" w:themeColor="text1"/>
                      <w:kern w:val="0"/>
                      <w:szCs w:val="21"/>
                      <w:lang w:eastAsia="zh-CN" w:bidi="ar"/>
                      <w14:textFill>
                        <w14:solidFill>
                          <w14:schemeClr w14:val="tx1"/>
                        </w14:solidFill>
                      </w14:textFill>
                    </w:rPr>
                    <w:t>0kV线路：</w:t>
                  </w:r>
                  <w:r>
                    <w:rPr>
                      <w:rFonts w:hint="eastAsia" w:cs="Times New Roman"/>
                      <w:color w:val="000000" w:themeColor="text1"/>
                      <w:kern w:val="0"/>
                      <w:szCs w:val="21"/>
                      <w:lang w:eastAsia="zh-CN" w:bidi="ar"/>
                      <w14:textFill>
                        <w14:solidFill>
                          <w14:schemeClr w14:val="tx1"/>
                        </w14:solidFill>
                      </w14:textFill>
                    </w:rPr>
                    <w:t>7.</w:t>
                  </w:r>
                  <w:r>
                    <w:rPr>
                      <w:rFonts w:hint="eastAsia" w:cs="Times New Roman"/>
                      <w:color w:val="000000" w:themeColor="text1"/>
                      <w:kern w:val="0"/>
                      <w:szCs w:val="21"/>
                      <w:lang w:val="en-US" w:eastAsia="zh-CN" w:bidi="ar"/>
                      <w14:textFill>
                        <w14:solidFill>
                          <w14:schemeClr w14:val="tx1"/>
                        </w14:solidFill>
                      </w14:textFill>
                    </w:rPr>
                    <w:t>5</w:t>
                  </w:r>
                  <w:r>
                    <w:rPr>
                      <w:rFonts w:hint="default" w:cs="Times New Roman"/>
                      <w:color w:val="000000" w:themeColor="text1"/>
                      <w:kern w:val="0"/>
                      <w:szCs w:val="21"/>
                      <w:lang w:eastAsia="zh-CN" w:bidi="ar"/>
                      <w14:textFill>
                        <w14:solidFill>
                          <w14:schemeClr w14:val="tx1"/>
                        </w14:solidFill>
                      </w14:textFill>
                    </w:rPr>
                    <w:t>m</w:t>
                  </w:r>
                </w:p>
                <w:p w14:paraId="379A608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（居民区）</w:t>
                  </w:r>
                </w:p>
              </w:tc>
              <w:tc>
                <w:tcPr>
                  <w:tcW w:w="1428" w:type="pct"/>
                  <w:gridSpan w:val="2"/>
                  <w:vAlign w:val="center"/>
                </w:tcPr>
                <w:p w14:paraId="6E6E151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eastAsia" w:cs="Times New Roman"/>
                      <w:color w:val="000000" w:themeColor="text1"/>
                      <w:kern w:val="0"/>
                      <w:szCs w:val="21"/>
                      <w:lang w:val="en-US" w:eastAsia="zh-CN" w:bidi="ar"/>
                      <w14:textFill>
                        <w14:solidFill>
                          <w14:schemeClr w14:val="tx1"/>
                        </w14:solidFill>
                      </w14:textFill>
                    </w:rPr>
                    <w:t>22</w:t>
                  </w:r>
                  <w:r>
                    <w:rPr>
                      <w:rFonts w:hint="default" w:cs="Times New Roman"/>
                      <w:color w:val="000000" w:themeColor="text1"/>
                      <w:kern w:val="0"/>
                      <w:szCs w:val="21"/>
                      <w:lang w:eastAsia="zh-CN" w:bidi="ar"/>
                      <w14:textFill>
                        <w14:solidFill>
                          <w14:schemeClr w14:val="tx1"/>
                        </w14:solidFill>
                      </w14:textFill>
                    </w:rPr>
                    <w:t>0kV线路：</w:t>
                  </w:r>
                  <w:r>
                    <w:rPr>
                      <w:rFonts w:hint="eastAsia" w:cs="Times New Roman"/>
                      <w:color w:val="000000" w:themeColor="text1"/>
                      <w:kern w:val="0"/>
                      <w:szCs w:val="21"/>
                      <w:lang w:val="en-US" w:eastAsia="zh-CN" w:bidi="ar"/>
                      <w14:textFill>
                        <w14:solidFill>
                          <w14:schemeClr w14:val="tx1"/>
                        </w14:solidFill>
                      </w14:textFill>
                    </w:rPr>
                    <w:t>14.0m</w:t>
                  </w:r>
                  <w:r>
                    <w:rPr>
                      <w:rFonts w:hint="eastAsia" w:cs="Times New Roman"/>
                      <w:color w:val="000000" w:themeColor="text1"/>
                      <w:kern w:val="0"/>
                      <w:szCs w:val="21"/>
                      <w:lang w:eastAsia="zh-CN" w:bidi="ar"/>
                      <w14:textFill>
                        <w14:solidFill>
                          <w14:schemeClr w14:val="tx1"/>
                        </w14:solidFill>
                      </w14:textFill>
                    </w:rPr>
                    <w:t>（</w:t>
                  </w:r>
                  <w:r>
                    <w:rPr>
                      <w:rFonts w:hint="eastAsia" w:cs="Times New Roman"/>
                      <w:color w:val="000000" w:themeColor="text1"/>
                      <w:kern w:val="0"/>
                      <w:szCs w:val="21"/>
                      <w:lang w:val="en-US" w:eastAsia="zh-CN" w:bidi="ar"/>
                      <w14:textFill>
                        <w14:solidFill>
                          <w14:schemeClr w14:val="tx1"/>
                        </w14:solidFill>
                      </w14:textFill>
                    </w:rPr>
                    <w:t>实际</w:t>
                  </w:r>
                  <w:r>
                    <w:rPr>
                      <w:rFonts w:hint="eastAsia" w:cs="Times New Roman"/>
                      <w:color w:val="000000" w:themeColor="text1"/>
                      <w:kern w:val="0"/>
                      <w:szCs w:val="21"/>
                      <w:lang w:eastAsia="zh-CN" w:bidi="ar"/>
                      <w14:textFill>
                        <w14:solidFill>
                          <w14:schemeClr w14:val="tx1"/>
                        </w14:solidFill>
                      </w14:textFill>
                    </w:rPr>
                    <w:t>）</w:t>
                  </w:r>
                </w:p>
              </w:tc>
            </w:tr>
            <w:tr w14:paraId="679C3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311" w:type="pct"/>
                  <w:vMerge w:val="continue"/>
                  <w:vAlign w:val="center"/>
                </w:tcPr>
                <w:p w14:paraId="119CA94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p>
              </w:tc>
              <w:tc>
                <w:tcPr>
                  <w:tcW w:w="721" w:type="pct"/>
                  <w:vAlign w:val="center"/>
                </w:tcPr>
                <w:p w14:paraId="27EC99F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default" w:cs="Times New Roman"/>
                      <w:color w:val="000000" w:themeColor="text1"/>
                      <w:kern w:val="0"/>
                      <w:szCs w:val="21"/>
                      <w:lang w:eastAsia="zh-CN" w:bidi="ar"/>
                      <w14:textFill>
                        <w14:solidFill>
                          <w14:schemeClr w14:val="tx1"/>
                        </w14:solidFill>
                      </w14:textFill>
                    </w:rPr>
                    <w:t>线路中心距离</w:t>
                  </w:r>
                </w:p>
              </w:tc>
              <w:tc>
                <w:tcPr>
                  <w:tcW w:w="667" w:type="pct"/>
                  <w:vAlign w:val="center"/>
                </w:tcPr>
                <w:p w14:paraId="47F07FD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default" w:cs="Times New Roman"/>
                      <w:color w:val="000000" w:themeColor="text1"/>
                      <w:kern w:val="0"/>
                      <w:szCs w:val="21"/>
                      <w:lang w:eastAsia="zh-CN" w:bidi="ar"/>
                      <w14:textFill>
                        <w14:solidFill>
                          <w14:schemeClr w14:val="tx1"/>
                        </w14:solidFill>
                      </w14:textFill>
                    </w:rPr>
                    <w:t>工频电场强度（V/m）</w:t>
                  </w:r>
                </w:p>
              </w:tc>
              <w:tc>
                <w:tcPr>
                  <w:tcW w:w="602" w:type="pct"/>
                  <w:vAlign w:val="center"/>
                </w:tcPr>
                <w:p w14:paraId="6128F8E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default" w:cs="Times New Roman"/>
                      <w:color w:val="000000" w:themeColor="text1"/>
                      <w:kern w:val="0"/>
                      <w:szCs w:val="21"/>
                      <w:lang w:eastAsia="zh-CN" w:bidi="ar"/>
                      <w14:textFill>
                        <w14:solidFill>
                          <w14:schemeClr w14:val="tx1"/>
                        </w14:solidFill>
                      </w14:textFill>
                    </w:rPr>
                    <w:t>工频磁感应强度（μT）</w:t>
                  </w:r>
                </w:p>
              </w:tc>
              <w:tc>
                <w:tcPr>
                  <w:tcW w:w="667" w:type="pct"/>
                  <w:vAlign w:val="center"/>
                </w:tcPr>
                <w:p w14:paraId="1948BD9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default" w:cs="Times New Roman"/>
                      <w:color w:val="000000" w:themeColor="text1"/>
                      <w:kern w:val="0"/>
                      <w:szCs w:val="21"/>
                      <w:lang w:eastAsia="zh-CN" w:bidi="ar"/>
                      <w14:textFill>
                        <w14:solidFill>
                          <w14:schemeClr w14:val="tx1"/>
                        </w14:solidFill>
                      </w14:textFill>
                    </w:rPr>
                    <w:t>工频电场强度（V/m）</w:t>
                  </w:r>
                </w:p>
              </w:tc>
              <w:tc>
                <w:tcPr>
                  <w:tcW w:w="602" w:type="pct"/>
                  <w:vAlign w:val="center"/>
                </w:tcPr>
                <w:p w14:paraId="7C63E89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default" w:cs="Times New Roman"/>
                      <w:color w:val="000000" w:themeColor="text1"/>
                      <w:kern w:val="0"/>
                      <w:szCs w:val="21"/>
                      <w:lang w:eastAsia="zh-CN" w:bidi="ar"/>
                      <w14:textFill>
                        <w14:solidFill>
                          <w14:schemeClr w14:val="tx1"/>
                        </w14:solidFill>
                      </w14:textFill>
                    </w:rPr>
                    <w:t>工频磁感应强度（μT）</w:t>
                  </w:r>
                </w:p>
              </w:tc>
              <w:tc>
                <w:tcPr>
                  <w:tcW w:w="755" w:type="pct"/>
                  <w:vAlign w:val="center"/>
                </w:tcPr>
                <w:p w14:paraId="6A773E5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default" w:cs="Times New Roman"/>
                      <w:color w:val="000000" w:themeColor="text1"/>
                      <w:kern w:val="0"/>
                      <w:szCs w:val="21"/>
                      <w:lang w:eastAsia="zh-CN" w:bidi="ar"/>
                      <w14:textFill>
                        <w14:solidFill>
                          <w14:schemeClr w14:val="tx1"/>
                        </w14:solidFill>
                      </w14:textFill>
                    </w:rPr>
                    <w:t>工频电场强度（V/m）</w:t>
                  </w:r>
                </w:p>
              </w:tc>
              <w:tc>
                <w:tcPr>
                  <w:tcW w:w="673" w:type="pct"/>
                  <w:vAlign w:val="center"/>
                </w:tcPr>
                <w:p w14:paraId="398E5AF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default" w:cs="Times New Roman"/>
                      <w:color w:val="000000" w:themeColor="text1"/>
                      <w:kern w:val="0"/>
                      <w:szCs w:val="21"/>
                      <w:lang w:eastAsia="zh-CN" w:bidi="ar"/>
                      <w14:textFill>
                        <w14:solidFill>
                          <w14:schemeClr w14:val="tx1"/>
                        </w14:solidFill>
                      </w14:textFill>
                    </w:rPr>
                    <w:t>工频磁感应强度（μT）</w:t>
                  </w:r>
                </w:p>
              </w:tc>
            </w:tr>
            <w:tr w14:paraId="2FB59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1" w:type="pct"/>
                  <w:vAlign w:val="center"/>
                </w:tcPr>
                <w:p w14:paraId="0EE58B2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w:t>
                  </w:r>
                </w:p>
              </w:tc>
              <w:tc>
                <w:tcPr>
                  <w:tcW w:w="721" w:type="pct"/>
                  <w:vAlign w:val="center"/>
                </w:tcPr>
                <w:p w14:paraId="0F4BE44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-50,1.5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2190D1C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75.06 </w:t>
                  </w:r>
                </w:p>
              </w:tc>
              <w:tc>
                <w:tcPr>
                  <w:tcW w:w="602" w:type="pct"/>
                  <w:vAlign w:val="bottom"/>
                </w:tcPr>
                <w:p w14:paraId="4FD426B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1.13 </w:t>
                  </w:r>
                </w:p>
              </w:tc>
              <w:tc>
                <w:tcPr>
                  <w:tcW w:w="667" w:type="pct"/>
                  <w:vAlign w:val="bottom"/>
                </w:tcPr>
                <w:p w14:paraId="5111D70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76.46 </w:t>
                  </w:r>
                </w:p>
              </w:tc>
              <w:tc>
                <w:tcPr>
                  <w:tcW w:w="602" w:type="pct"/>
                  <w:vAlign w:val="bottom"/>
                </w:tcPr>
                <w:p w14:paraId="59EBA09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1.13 </w:t>
                  </w:r>
                </w:p>
              </w:tc>
              <w:tc>
                <w:tcPr>
                  <w:tcW w:w="755" w:type="pct"/>
                  <w:vAlign w:val="bottom"/>
                </w:tcPr>
                <w:p w14:paraId="0BB3C62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91.14 </w:t>
                  </w:r>
                </w:p>
              </w:tc>
              <w:tc>
                <w:tcPr>
                  <w:tcW w:w="673" w:type="pct"/>
                  <w:vAlign w:val="bottom"/>
                </w:tcPr>
                <w:p w14:paraId="66E6EE7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1.07 </w:t>
                  </w:r>
                </w:p>
              </w:tc>
            </w:tr>
            <w:tr w14:paraId="5D96D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8F30C3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w:t>
                  </w:r>
                </w:p>
              </w:tc>
              <w:tc>
                <w:tcPr>
                  <w:tcW w:w="721" w:type="pct"/>
                  <w:vAlign w:val="center"/>
                </w:tcPr>
                <w:p w14:paraId="3732549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-49,1.5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010A189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78.32 </w:t>
                  </w:r>
                </w:p>
              </w:tc>
              <w:tc>
                <w:tcPr>
                  <w:tcW w:w="602" w:type="pct"/>
                  <w:vAlign w:val="bottom"/>
                </w:tcPr>
                <w:p w14:paraId="50F6D61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1.18 </w:t>
                  </w:r>
                </w:p>
              </w:tc>
              <w:tc>
                <w:tcPr>
                  <w:tcW w:w="667" w:type="pct"/>
                  <w:vAlign w:val="bottom"/>
                </w:tcPr>
                <w:p w14:paraId="23425CB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79.88 </w:t>
                  </w:r>
                </w:p>
              </w:tc>
              <w:tc>
                <w:tcPr>
                  <w:tcW w:w="602" w:type="pct"/>
                  <w:vAlign w:val="bottom"/>
                </w:tcPr>
                <w:p w14:paraId="4AC7873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1.17 </w:t>
                  </w:r>
                </w:p>
              </w:tc>
              <w:tc>
                <w:tcPr>
                  <w:tcW w:w="755" w:type="pct"/>
                  <w:vAlign w:val="bottom"/>
                </w:tcPr>
                <w:p w14:paraId="49EB2D8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95.66 </w:t>
                  </w:r>
                </w:p>
              </w:tc>
              <w:tc>
                <w:tcPr>
                  <w:tcW w:w="673" w:type="pct"/>
                  <w:vAlign w:val="bottom"/>
                </w:tcPr>
                <w:p w14:paraId="11BA193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1.11 </w:t>
                  </w:r>
                </w:p>
              </w:tc>
            </w:tr>
            <w:tr w14:paraId="52FBA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3AAD5BB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w:t>
                  </w:r>
                </w:p>
              </w:tc>
              <w:tc>
                <w:tcPr>
                  <w:tcW w:w="721" w:type="pct"/>
                  <w:vAlign w:val="center"/>
                </w:tcPr>
                <w:p w14:paraId="6A3A6ED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-48,1.5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4A0822B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81.81 </w:t>
                  </w:r>
                </w:p>
              </w:tc>
              <w:tc>
                <w:tcPr>
                  <w:tcW w:w="602" w:type="pct"/>
                  <w:vAlign w:val="bottom"/>
                </w:tcPr>
                <w:p w14:paraId="3B440FB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1.23 </w:t>
                  </w:r>
                </w:p>
              </w:tc>
              <w:tc>
                <w:tcPr>
                  <w:tcW w:w="667" w:type="pct"/>
                  <w:vAlign w:val="bottom"/>
                </w:tcPr>
                <w:p w14:paraId="502D2DD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83.53 </w:t>
                  </w:r>
                </w:p>
              </w:tc>
              <w:tc>
                <w:tcPr>
                  <w:tcW w:w="602" w:type="pct"/>
                  <w:vAlign w:val="bottom"/>
                </w:tcPr>
                <w:p w14:paraId="4C6999C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1.22 </w:t>
                  </w:r>
                </w:p>
              </w:tc>
              <w:tc>
                <w:tcPr>
                  <w:tcW w:w="755" w:type="pct"/>
                  <w:vAlign w:val="bottom"/>
                </w:tcPr>
                <w:p w14:paraId="0A2ED02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100.50 </w:t>
                  </w:r>
                </w:p>
              </w:tc>
              <w:tc>
                <w:tcPr>
                  <w:tcW w:w="673" w:type="pct"/>
                  <w:vAlign w:val="bottom"/>
                </w:tcPr>
                <w:p w14:paraId="42122E9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1.15 </w:t>
                  </w:r>
                </w:p>
              </w:tc>
            </w:tr>
            <w:tr w14:paraId="7F285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3907D7A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w:t>
                  </w:r>
                </w:p>
              </w:tc>
              <w:tc>
                <w:tcPr>
                  <w:tcW w:w="721" w:type="pct"/>
                  <w:vAlign w:val="center"/>
                </w:tcPr>
                <w:p w14:paraId="1CB7820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（-47,1.5）</w:t>
                  </w:r>
                </w:p>
              </w:tc>
              <w:tc>
                <w:tcPr>
                  <w:tcW w:w="667" w:type="pct"/>
                  <w:vAlign w:val="bottom"/>
                </w:tcPr>
                <w:p w14:paraId="2A0EE61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85.54 </w:t>
                  </w:r>
                </w:p>
              </w:tc>
              <w:tc>
                <w:tcPr>
                  <w:tcW w:w="602" w:type="pct"/>
                  <w:vAlign w:val="bottom"/>
                </w:tcPr>
                <w:p w14:paraId="0F9C3CC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1.28 </w:t>
                  </w:r>
                </w:p>
              </w:tc>
              <w:tc>
                <w:tcPr>
                  <w:tcW w:w="667" w:type="pct"/>
                  <w:vAlign w:val="bottom"/>
                </w:tcPr>
                <w:p w14:paraId="63E4B6C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87.45 </w:t>
                  </w:r>
                </w:p>
              </w:tc>
              <w:tc>
                <w:tcPr>
                  <w:tcW w:w="602" w:type="pct"/>
                  <w:vAlign w:val="bottom"/>
                </w:tcPr>
                <w:p w14:paraId="6F77CB3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1.27 </w:t>
                  </w:r>
                </w:p>
              </w:tc>
              <w:tc>
                <w:tcPr>
                  <w:tcW w:w="755" w:type="pct"/>
                  <w:vAlign w:val="bottom"/>
                </w:tcPr>
                <w:p w14:paraId="10DA0B7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105.71 </w:t>
                  </w:r>
                </w:p>
              </w:tc>
              <w:tc>
                <w:tcPr>
                  <w:tcW w:w="673" w:type="pct"/>
                  <w:vAlign w:val="bottom"/>
                </w:tcPr>
                <w:p w14:paraId="5B3CE7F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1.20 </w:t>
                  </w:r>
                </w:p>
              </w:tc>
            </w:tr>
            <w:tr w14:paraId="442FC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16AB38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w:t>
                  </w:r>
                </w:p>
              </w:tc>
              <w:tc>
                <w:tcPr>
                  <w:tcW w:w="721" w:type="pct"/>
                  <w:vAlign w:val="center"/>
                </w:tcPr>
                <w:p w14:paraId="08C97EA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-46,1.5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1832A95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89.55 </w:t>
                  </w:r>
                </w:p>
              </w:tc>
              <w:tc>
                <w:tcPr>
                  <w:tcW w:w="602" w:type="pct"/>
                  <w:vAlign w:val="bottom"/>
                </w:tcPr>
                <w:p w14:paraId="72C8CD3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1.34 </w:t>
                  </w:r>
                </w:p>
              </w:tc>
              <w:tc>
                <w:tcPr>
                  <w:tcW w:w="667" w:type="pct"/>
                  <w:vAlign w:val="bottom"/>
                </w:tcPr>
                <w:p w14:paraId="4209148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91.66 </w:t>
                  </w:r>
                </w:p>
              </w:tc>
              <w:tc>
                <w:tcPr>
                  <w:tcW w:w="602" w:type="pct"/>
                  <w:vAlign w:val="bottom"/>
                </w:tcPr>
                <w:p w14:paraId="13079C4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1.33 </w:t>
                  </w:r>
                </w:p>
              </w:tc>
              <w:tc>
                <w:tcPr>
                  <w:tcW w:w="755" w:type="pct"/>
                  <w:vAlign w:val="bottom"/>
                </w:tcPr>
                <w:p w14:paraId="385D463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111.31 </w:t>
                  </w:r>
                </w:p>
              </w:tc>
              <w:tc>
                <w:tcPr>
                  <w:tcW w:w="673" w:type="pct"/>
                  <w:vAlign w:val="bottom"/>
                </w:tcPr>
                <w:p w14:paraId="3899821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1.25 </w:t>
                  </w:r>
                </w:p>
              </w:tc>
            </w:tr>
            <w:tr w14:paraId="63606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320550E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w:t>
                  </w:r>
                </w:p>
              </w:tc>
              <w:tc>
                <w:tcPr>
                  <w:tcW w:w="721" w:type="pct"/>
                  <w:vAlign w:val="center"/>
                </w:tcPr>
                <w:p w14:paraId="6649970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（-45,1.5）</w:t>
                  </w:r>
                </w:p>
              </w:tc>
              <w:tc>
                <w:tcPr>
                  <w:tcW w:w="667" w:type="pct"/>
                  <w:vAlign w:val="bottom"/>
                </w:tcPr>
                <w:p w14:paraId="7537DC9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93.85 </w:t>
                  </w:r>
                </w:p>
              </w:tc>
              <w:tc>
                <w:tcPr>
                  <w:tcW w:w="602" w:type="pct"/>
                  <w:vAlign w:val="bottom"/>
                </w:tcPr>
                <w:p w14:paraId="028B118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1.40 </w:t>
                  </w:r>
                </w:p>
              </w:tc>
              <w:tc>
                <w:tcPr>
                  <w:tcW w:w="667" w:type="pct"/>
                  <w:vAlign w:val="bottom"/>
                </w:tcPr>
                <w:p w14:paraId="6FCE973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96.19 </w:t>
                  </w:r>
                </w:p>
              </w:tc>
              <w:tc>
                <w:tcPr>
                  <w:tcW w:w="602" w:type="pct"/>
                  <w:vAlign w:val="bottom"/>
                </w:tcPr>
                <w:p w14:paraId="3368F00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1.39 </w:t>
                  </w:r>
                </w:p>
              </w:tc>
              <w:tc>
                <w:tcPr>
                  <w:tcW w:w="755" w:type="pct"/>
                  <w:vAlign w:val="bottom"/>
                </w:tcPr>
                <w:p w14:paraId="082AA1A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117.34 </w:t>
                  </w:r>
                </w:p>
              </w:tc>
              <w:tc>
                <w:tcPr>
                  <w:tcW w:w="673" w:type="pct"/>
                  <w:vAlign w:val="bottom"/>
                </w:tcPr>
                <w:p w14:paraId="55B23DC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1.30 </w:t>
                  </w:r>
                </w:p>
              </w:tc>
            </w:tr>
            <w:tr w14:paraId="65460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6949A3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w:t>
                  </w:r>
                </w:p>
              </w:tc>
              <w:tc>
                <w:tcPr>
                  <w:tcW w:w="721" w:type="pct"/>
                  <w:vAlign w:val="center"/>
                </w:tcPr>
                <w:p w14:paraId="5C89548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-44,1.5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1782E46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98.48 </w:t>
                  </w:r>
                </w:p>
              </w:tc>
              <w:tc>
                <w:tcPr>
                  <w:tcW w:w="602" w:type="pct"/>
                  <w:vAlign w:val="bottom"/>
                </w:tcPr>
                <w:p w14:paraId="36ABA0F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1.46 </w:t>
                  </w:r>
                </w:p>
              </w:tc>
              <w:tc>
                <w:tcPr>
                  <w:tcW w:w="667" w:type="pct"/>
                  <w:vAlign w:val="bottom"/>
                </w:tcPr>
                <w:p w14:paraId="324412E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101.08 </w:t>
                  </w:r>
                </w:p>
              </w:tc>
              <w:tc>
                <w:tcPr>
                  <w:tcW w:w="602" w:type="pct"/>
                  <w:vAlign w:val="bottom"/>
                </w:tcPr>
                <w:p w14:paraId="57E4F98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1.45 </w:t>
                  </w:r>
                </w:p>
              </w:tc>
              <w:tc>
                <w:tcPr>
                  <w:tcW w:w="755" w:type="pct"/>
                  <w:vAlign w:val="bottom"/>
                </w:tcPr>
                <w:p w14:paraId="7E5ABBF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123.86 </w:t>
                  </w:r>
                </w:p>
              </w:tc>
              <w:tc>
                <w:tcPr>
                  <w:tcW w:w="673" w:type="pct"/>
                  <w:vAlign w:val="bottom"/>
                </w:tcPr>
                <w:p w14:paraId="5014158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1.36 </w:t>
                  </w:r>
                </w:p>
              </w:tc>
            </w:tr>
            <w:tr w14:paraId="0DA3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6DD441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w:t>
                  </w:r>
                </w:p>
              </w:tc>
              <w:tc>
                <w:tcPr>
                  <w:tcW w:w="721" w:type="pct"/>
                  <w:vAlign w:val="center"/>
                </w:tcPr>
                <w:p w14:paraId="160E3FE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（-43,1.5）</w:t>
                  </w:r>
                </w:p>
              </w:tc>
              <w:tc>
                <w:tcPr>
                  <w:tcW w:w="667" w:type="pct"/>
                  <w:vAlign w:val="bottom"/>
                </w:tcPr>
                <w:p w14:paraId="0C513C9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103.47 </w:t>
                  </w:r>
                </w:p>
              </w:tc>
              <w:tc>
                <w:tcPr>
                  <w:tcW w:w="602" w:type="pct"/>
                  <w:vAlign w:val="bottom"/>
                </w:tcPr>
                <w:p w14:paraId="168FC4E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1.53 </w:t>
                  </w:r>
                </w:p>
              </w:tc>
              <w:tc>
                <w:tcPr>
                  <w:tcW w:w="667" w:type="pct"/>
                  <w:vAlign w:val="bottom"/>
                </w:tcPr>
                <w:p w14:paraId="60F5AB7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106.36 </w:t>
                  </w:r>
                </w:p>
              </w:tc>
              <w:tc>
                <w:tcPr>
                  <w:tcW w:w="602" w:type="pct"/>
                  <w:vAlign w:val="bottom"/>
                </w:tcPr>
                <w:p w14:paraId="472DEFC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1.52 </w:t>
                  </w:r>
                </w:p>
              </w:tc>
              <w:tc>
                <w:tcPr>
                  <w:tcW w:w="755" w:type="pct"/>
                  <w:vAlign w:val="bottom"/>
                </w:tcPr>
                <w:p w14:paraId="74EBEBA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130.90 </w:t>
                  </w:r>
                </w:p>
              </w:tc>
              <w:tc>
                <w:tcPr>
                  <w:tcW w:w="673" w:type="pct"/>
                  <w:vAlign w:val="bottom"/>
                </w:tcPr>
                <w:p w14:paraId="1E38ACA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1.42 </w:t>
                  </w:r>
                </w:p>
              </w:tc>
            </w:tr>
            <w:tr w14:paraId="55029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772271F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w:t>
                  </w:r>
                </w:p>
              </w:tc>
              <w:tc>
                <w:tcPr>
                  <w:tcW w:w="721" w:type="pct"/>
                  <w:vAlign w:val="center"/>
                </w:tcPr>
                <w:p w14:paraId="2DDDE12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-42,1.5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7F4F2D1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108.86 </w:t>
                  </w:r>
                </w:p>
              </w:tc>
              <w:tc>
                <w:tcPr>
                  <w:tcW w:w="602" w:type="pct"/>
                  <w:vAlign w:val="bottom"/>
                </w:tcPr>
                <w:p w14:paraId="1502FE5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1.60 </w:t>
                  </w:r>
                </w:p>
              </w:tc>
              <w:tc>
                <w:tcPr>
                  <w:tcW w:w="667" w:type="pct"/>
                  <w:vAlign w:val="bottom"/>
                </w:tcPr>
                <w:p w14:paraId="2D4F6BF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112.08 </w:t>
                  </w:r>
                </w:p>
              </w:tc>
              <w:tc>
                <w:tcPr>
                  <w:tcW w:w="602" w:type="pct"/>
                  <w:vAlign w:val="bottom"/>
                </w:tcPr>
                <w:p w14:paraId="6DC10A2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1.59 </w:t>
                  </w:r>
                </w:p>
              </w:tc>
              <w:tc>
                <w:tcPr>
                  <w:tcW w:w="755" w:type="pct"/>
                  <w:vAlign w:val="bottom"/>
                </w:tcPr>
                <w:p w14:paraId="738D434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138.52 </w:t>
                  </w:r>
                </w:p>
              </w:tc>
              <w:tc>
                <w:tcPr>
                  <w:tcW w:w="673" w:type="pct"/>
                  <w:vAlign w:val="bottom"/>
                </w:tcPr>
                <w:p w14:paraId="222C9B8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1.48 </w:t>
                  </w:r>
                </w:p>
              </w:tc>
            </w:tr>
            <w:tr w14:paraId="14F04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7FA450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10</w:t>
                  </w:r>
                </w:p>
              </w:tc>
              <w:tc>
                <w:tcPr>
                  <w:tcW w:w="721" w:type="pct"/>
                  <w:vAlign w:val="center"/>
                </w:tcPr>
                <w:p w14:paraId="1A00B70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（-41,1.5）</w:t>
                  </w:r>
                </w:p>
              </w:tc>
              <w:tc>
                <w:tcPr>
                  <w:tcW w:w="667" w:type="pct"/>
                  <w:vAlign w:val="bottom"/>
                </w:tcPr>
                <w:p w14:paraId="26D5FE5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114.71 </w:t>
                  </w:r>
                </w:p>
              </w:tc>
              <w:tc>
                <w:tcPr>
                  <w:tcW w:w="602" w:type="pct"/>
                  <w:vAlign w:val="bottom"/>
                </w:tcPr>
                <w:p w14:paraId="3E9F466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1.68 </w:t>
                  </w:r>
                </w:p>
              </w:tc>
              <w:tc>
                <w:tcPr>
                  <w:tcW w:w="667" w:type="pct"/>
                  <w:vAlign w:val="bottom"/>
                </w:tcPr>
                <w:p w14:paraId="3953679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118.29 </w:t>
                  </w:r>
                </w:p>
              </w:tc>
              <w:tc>
                <w:tcPr>
                  <w:tcW w:w="602" w:type="pct"/>
                  <w:vAlign w:val="bottom"/>
                </w:tcPr>
                <w:p w14:paraId="46D4A3C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1.67 </w:t>
                  </w:r>
                </w:p>
              </w:tc>
              <w:tc>
                <w:tcPr>
                  <w:tcW w:w="755" w:type="pct"/>
                  <w:vAlign w:val="bottom"/>
                </w:tcPr>
                <w:p w14:paraId="28FB571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146.78 </w:t>
                  </w:r>
                </w:p>
              </w:tc>
              <w:tc>
                <w:tcPr>
                  <w:tcW w:w="673" w:type="pct"/>
                  <w:vAlign w:val="bottom"/>
                </w:tcPr>
                <w:p w14:paraId="2152F74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1.55 </w:t>
                  </w:r>
                </w:p>
              </w:tc>
            </w:tr>
            <w:tr w14:paraId="25DBC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2950D5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11</w:t>
                  </w:r>
                </w:p>
              </w:tc>
              <w:tc>
                <w:tcPr>
                  <w:tcW w:w="721" w:type="pct"/>
                  <w:vAlign w:val="center"/>
                </w:tcPr>
                <w:p w14:paraId="60F4AC9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-40,1.5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03B2C97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121.06 </w:t>
                  </w:r>
                </w:p>
              </w:tc>
              <w:tc>
                <w:tcPr>
                  <w:tcW w:w="602" w:type="pct"/>
                  <w:vAlign w:val="bottom"/>
                </w:tcPr>
                <w:p w14:paraId="0F7F4F2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1.77 </w:t>
                  </w:r>
                </w:p>
              </w:tc>
              <w:tc>
                <w:tcPr>
                  <w:tcW w:w="667" w:type="pct"/>
                  <w:vAlign w:val="bottom"/>
                </w:tcPr>
                <w:p w14:paraId="00AD0B9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125.05 </w:t>
                  </w:r>
                </w:p>
              </w:tc>
              <w:tc>
                <w:tcPr>
                  <w:tcW w:w="602" w:type="pct"/>
                  <w:vAlign w:val="bottom"/>
                </w:tcPr>
                <w:p w14:paraId="2FC141E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1.75 </w:t>
                  </w:r>
                </w:p>
              </w:tc>
              <w:tc>
                <w:tcPr>
                  <w:tcW w:w="755" w:type="pct"/>
                  <w:vAlign w:val="bottom"/>
                </w:tcPr>
                <w:p w14:paraId="06F5B9A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155.75 </w:t>
                  </w:r>
                </w:p>
              </w:tc>
              <w:tc>
                <w:tcPr>
                  <w:tcW w:w="673" w:type="pct"/>
                  <w:vAlign w:val="bottom"/>
                </w:tcPr>
                <w:p w14:paraId="7C5146F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1.62 </w:t>
                  </w:r>
                </w:p>
              </w:tc>
            </w:tr>
            <w:tr w14:paraId="0F5CE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72961F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12</w:t>
                  </w:r>
                </w:p>
              </w:tc>
              <w:tc>
                <w:tcPr>
                  <w:tcW w:w="721" w:type="pct"/>
                  <w:vAlign w:val="center"/>
                </w:tcPr>
                <w:p w14:paraId="2BE7EF1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（-39,1.5）</w:t>
                  </w:r>
                </w:p>
              </w:tc>
              <w:tc>
                <w:tcPr>
                  <w:tcW w:w="667" w:type="pct"/>
                  <w:vAlign w:val="bottom"/>
                </w:tcPr>
                <w:p w14:paraId="43FB52E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127.98 </w:t>
                  </w:r>
                </w:p>
              </w:tc>
              <w:tc>
                <w:tcPr>
                  <w:tcW w:w="602" w:type="pct"/>
                  <w:vAlign w:val="bottom"/>
                </w:tcPr>
                <w:p w14:paraId="5894BE6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1.86 </w:t>
                  </w:r>
                </w:p>
              </w:tc>
              <w:tc>
                <w:tcPr>
                  <w:tcW w:w="667" w:type="pct"/>
                  <w:vAlign w:val="bottom"/>
                </w:tcPr>
                <w:p w14:paraId="7F1AFC9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132.42 </w:t>
                  </w:r>
                </w:p>
              </w:tc>
              <w:tc>
                <w:tcPr>
                  <w:tcW w:w="602" w:type="pct"/>
                  <w:vAlign w:val="bottom"/>
                </w:tcPr>
                <w:p w14:paraId="1DDEAC1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1.84 </w:t>
                  </w:r>
                </w:p>
              </w:tc>
              <w:tc>
                <w:tcPr>
                  <w:tcW w:w="755" w:type="pct"/>
                  <w:vAlign w:val="bottom"/>
                </w:tcPr>
                <w:p w14:paraId="5D2DE43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165.50 </w:t>
                  </w:r>
                </w:p>
              </w:tc>
              <w:tc>
                <w:tcPr>
                  <w:tcW w:w="673" w:type="pct"/>
                  <w:vAlign w:val="bottom"/>
                </w:tcPr>
                <w:p w14:paraId="33A1FBA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1.69 </w:t>
                  </w:r>
                </w:p>
              </w:tc>
            </w:tr>
            <w:tr w14:paraId="53F1C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00947B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13</w:t>
                  </w:r>
                </w:p>
              </w:tc>
              <w:tc>
                <w:tcPr>
                  <w:tcW w:w="721" w:type="pct"/>
                  <w:vAlign w:val="center"/>
                </w:tcPr>
                <w:p w14:paraId="7C3513B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-38,1.5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162CF34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135.53 </w:t>
                  </w:r>
                </w:p>
              </w:tc>
              <w:tc>
                <w:tcPr>
                  <w:tcW w:w="602" w:type="pct"/>
                  <w:vAlign w:val="bottom"/>
                </w:tcPr>
                <w:p w14:paraId="5C279EB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1.96 </w:t>
                  </w:r>
                </w:p>
              </w:tc>
              <w:tc>
                <w:tcPr>
                  <w:tcW w:w="667" w:type="pct"/>
                  <w:vAlign w:val="bottom"/>
                </w:tcPr>
                <w:p w14:paraId="07F14FC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140.49 </w:t>
                  </w:r>
                </w:p>
              </w:tc>
              <w:tc>
                <w:tcPr>
                  <w:tcW w:w="602" w:type="pct"/>
                  <w:vAlign w:val="bottom"/>
                </w:tcPr>
                <w:p w14:paraId="2C2182F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1.94 </w:t>
                  </w:r>
                </w:p>
              </w:tc>
              <w:tc>
                <w:tcPr>
                  <w:tcW w:w="755" w:type="pct"/>
                  <w:vAlign w:val="bottom"/>
                </w:tcPr>
                <w:p w14:paraId="0659E11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176.11 </w:t>
                  </w:r>
                </w:p>
              </w:tc>
              <w:tc>
                <w:tcPr>
                  <w:tcW w:w="673" w:type="pct"/>
                  <w:vAlign w:val="bottom"/>
                </w:tcPr>
                <w:p w14:paraId="3A600CF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1.77 </w:t>
                  </w:r>
                </w:p>
              </w:tc>
            </w:tr>
            <w:tr w14:paraId="0A65A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14321C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14</w:t>
                  </w:r>
                </w:p>
              </w:tc>
              <w:tc>
                <w:tcPr>
                  <w:tcW w:w="721" w:type="pct"/>
                  <w:vAlign w:val="center"/>
                </w:tcPr>
                <w:p w14:paraId="7BBE1B4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（-37,1.5）</w:t>
                  </w:r>
                </w:p>
              </w:tc>
              <w:tc>
                <w:tcPr>
                  <w:tcW w:w="667" w:type="pct"/>
                  <w:vAlign w:val="bottom"/>
                </w:tcPr>
                <w:p w14:paraId="65BB7A5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143.80 </w:t>
                  </w:r>
                </w:p>
              </w:tc>
              <w:tc>
                <w:tcPr>
                  <w:tcW w:w="602" w:type="pct"/>
                  <w:vAlign w:val="bottom"/>
                </w:tcPr>
                <w:p w14:paraId="6CD43A9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2.06 </w:t>
                  </w:r>
                </w:p>
              </w:tc>
              <w:tc>
                <w:tcPr>
                  <w:tcW w:w="667" w:type="pct"/>
                  <w:vAlign w:val="bottom"/>
                </w:tcPr>
                <w:p w14:paraId="4DB7276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149.35 </w:t>
                  </w:r>
                </w:p>
              </w:tc>
              <w:tc>
                <w:tcPr>
                  <w:tcW w:w="602" w:type="pct"/>
                  <w:vAlign w:val="bottom"/>
                </w:tcPr>
                <w:p w14:paraId="7169A06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2.04 </w:t>
                  </w:r>
                </w:p>
              </w:tc>
              <w:tc>
                <w:tcPr>
                  <w:tcW w:w="755" w:type="pct"/>
                  <w:vAlign w:val="bottom"/>
                </w:tcPr>
                <w:p w14:paraId="48FF1E4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187.69 </w:t>
                  </w:r>
                </w:p>
              </w:tc>
              <w:tc>
                <w:tcPr>
                  <w:tcW w:w="673" w:type="pct"/>
                  <w:vAlign w:val="bottom"/>
                </w:tcPr>
                <w:p w14:paraId="1C79BAA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1.86 </w:t>
                  </w:r>
                </w:p>
              </w:tc>
            </w:tr>
            <w:tr w14:paraId="4E2E0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3DBC070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15</w:t>
                  </w:r>
                </w:p>
              </w:tc>
              <w:tc>
                <w:tcPr>
                  <w:tcW w:w="721" w:type="pct"/>
                  <w:vAlign w:val="center"/>
                </w:tcPr>
                <w:p w14:paraId="3A11778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-36,1.5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7E572C2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152.89 </w:t>
                  </w:r>
                </w:p>
              </w:tc>
              <w:tc>
                <w:tcPr>
                  <w:tcW w:w="602" w:type="pct"/>
                  <w:vAlign w:val="bottom"/>
                </w:tcPr>
                <w:p w14:paraId="1463FAF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2.18 </w:t>
                  </w:r>
                </w:p>
              </w:tc>
              <w:tc>
                <w:tcPr>
                  <w:tcW w:w="667" w:type="pct"/>
                  <w:vAlign w:val="bottom"/>
                </w:tcPr>
                <w:p w14:paraId="0F43A7B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159.10 </w:t>
                  </w:r>
                </w:p>
              </w:tc>
              <w:tc>
                <w:tcPr>
                  <w:tcW w:w="602" w:type="pct"/>
                  <w:vAlign w:val="bottom"/>
                </w:tcPr>
                <w:p w14:paraId="596F14E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2.16 </w:t>
                  </w:r>
                </w:p>
              </w:tc>
              <w:tc>
                <w:tcPr>
                  <w:tcW w:w="755" w:type="pct"/>
                  <w:vAlign w:val="bottom"/>
                </w:tcPr>
                <w:p w14:paraId="03BF3BB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200.34 </w:t>
                  </w:r>
                </w:p>
              </w:tc>
              <w:tc>
                <w:tcPr>
                  <w:tcW w:w="673" w:type="pct"/>
                  <w:vAlign w:val="bottom"/>
                </w:tcPr>
                <w:p w14:paraId="17E5E8E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1.95 </w:t>
                  </w:r>
                </w:p>
              </w:tc>
            </w:tr>
            <w:tr w14:paraId="5B14F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7566C39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16</w:t>
                  </w:r>
                </w:p>
              </w:tc>
              <w:tc>
                <w:tcPr>
                  <w:tcW w:w="721" w:type="pct"/>
                  <w:vAlign w:val="center"/>
                </w:tcPr>
                <w:p w14:paraId="7E1D033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（-35,1.5）</w:t>
                  </w:r>
                </w:p>
              </w:tc>
              <w:tc>
                <w:tcPr>
                  <w:tcW w:w="667" w:type="pct"/>
                  <w:vAlign w:val="bottom"/>
                </w:tcPr>
                <w:p w14:paraId="65F3D6B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162.90 </w:t>
                  </w:r>
                </w:p>
              </w:tc>
              <w:tc>
                <w:tcPr>
                  <w:tcW w:w="602" w:type="pct"/>
                  <w:vAlign w:val="bottom"/>
                </w:tcPr>
                <w:p w14:paraId="22E3AF1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2.30 </w:t>
                  </w:r>
                </w:p>
              </w:tc>
              <w:tc>
                <w:tcPr>
                  <w:tcW w:w="667" w:type="pct"/>
                  <w:vAlign w:val="bottom"/>
                </w:tcPr>
                <w:p w14:paraId="5872001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169.86 </w:t>
                  </w:r>
                </w:p>
              </w:tc>
              <w:tc>
                <w:tcPr>
                  <w:tcW w:w="602" w:type="pct"/>
                  <w:vAlign w:val="bottom"/>
                </w:tcPr>
                <w:p w14:paraId="1FF104D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2.28 </w:t>
                  </w:r>
                </w:p>
              </w:tc>
              <w:tc>
                <w:tcPr>
                  <w:tcW w:w="755" w:type="pct"/>
                  <w:vAlign w:val="bottom"/>
                </w:tcPr>
                <w:p w14:paraId="63C951A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214.18 </w:t>
                  </w:r>
                </w:p>
              </w:tc>
              <w:tc>
                <w:tcPr>
                  <w:tcW w:w="673" w:type="pct"/>
                  <w:vAlign w:val="bottom"/>
                </w:tcPr>
                <w:p w14:paraId="36B8ECF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2.05 </w:t>
                  </w:r>
                </w:p>
              </w:tc>
            </w:tr>
            <w:tr w14:paraId="016F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9A55D7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17</w:t>
                  </w:r>
                </w:p>
              </w:tc>
              <w:tc>
                <w:tcPr>
                  <w:tcW w:w="721" w:type="pct"/>
                  <w:vAlign w:val="center"/>
                </w:tcPr>
                <w:p w14:paraId="05106B6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-34,1.5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507AC18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173.98 </w:t>
                  </w:r>
                </w:p>
              </w:tc>
              <w:tc>
                <w:tcPr>
                  <w:tcW w:w="602" w:type="pct"/>
                  <w:vAlign w:val="bottom"/>
                </w:tcPr>
                <w:p w14:paraId="5677BB1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2.44 </w:t>
                  </w:r>
                </w:p>
              </w:tc>
              <w:tc>
                <w:tcPr>
                  <w:tcW w:w="667" w:type="pct"/>
                  <w:vAlign w:val="bottom"/>
                </w:tcPr>
                <w:p w14:paraId="14D510B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181.79 </w:t>
                  </w:r>
                </w:p>
              </w:tc>
              <w:tc>
                <w:tcPr>
                  <w:tcW w:w="602" w:type="pct"/>
                  <w:vAlign w:val="bottom"/>
                </w:tcPr>
                <w:p w14:paraId="26E4BCF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2.41 </w:t>
                  </w:r>
                </w:p>
              </w:tc>
              <w:tc>
                <w:tcPr>
                  <w:tcW w:w="755" w:type="pct"/>
                  <w:vAlign w:val="bottom"/>
                </w:tcPr>
                <w:p w14:paraId="2A9886C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229.34 </w:t>
                  </w:r>
                </w:p>
              </w:tc>
              <w:tc>
                <w:tcPr>
                  <w:tcW w:w="673" w:type="pct"/>
                  <w:vAlign w:val="bottom"/>
                </w:tcPr>
                <w:p w14:paraId="04D6B1F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2.16 </w:t>
                  </w:r>
                </w:p>
              </w:tc>
            </w:tr>
            <w:tr w14:paraId="52734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E32063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18</w:t>
                  </w:r>
                </w:p>
              </w:tc>
              <w:tc>
                <w:tcPr>
                  <w:tcW w:w="721" w:type="pct"/>
                  <w:vAlign w:val="center"/>
                </w:tcPr>
                <w:p w14:paraId="0E0785F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（-33,1.5）</w:t>
                  </w:r>
                </w:p>
              </w:tc>
              <w:tc>
                <w:tcPr>
                  <w:tcW w:w="667" w:type="pct"/>
                  <w:vAlign w:val="bottom"/>
                </w:tcPr>
                <w:p w14:paraId="3AD6901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186.28 </w:t>
                  </w:r>
                </w:p>
              </w:tc>
              <w:tc>
                <w:tcPr>
                  <w:tcW w:w="602" w:type="pct"/>
                  <w:vAlign w:val="bottom"/>
                </w:tcPr>
                <w:p w14:paraId="714F53D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2.59 </w:t>
                  </w:r>
                </w:p>
              </w:tc>
              <w:tc>
                <w:tcPr>
                  <w:tcW w:w="667" w:type="pct"/>
                  <w:vAlign w:val="bottom"/>
                </w:tcPr>
                <w:p w14:paraId="766D250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195.05 </w:t>
                  </w:r>
                </w:p>
              </w:tc>
              <w:tc>
                <w:tcPr>
                  <w:tcW w:w="602" w:type="pct"/>
                  <w:vAlign w:val="bottom"/>
                </w:tcPr>
                <w:p w14:paraId="4A72AC5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2.56 </w:t>
                  </w:r>
                </w:p>
              </w:tc>
              <w:tc>
                <w:tcPr>
                  <w:tcW w:w="755" w:type="pct"/>
                  <w:vAlign w:val="bottom"/>
                </w:tcPr>
                <w:p w14:paraId="659AC2F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245.98 </w:t>
                  </w:r>
                </w:p>
              </w:tc>
              <w:tc>
                <w:tcPr>
                  <w:tcW w:w="673" w:type="pct"/>
                  <w:vAlign w:val="bottom"/>
                </w:tcPr>
                <w:p w14:paraId="252DCB0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2.28 </w:t>
                  </w:r>
                </w:p>
              </w:tc>
            </w:tr>
            <w:tr w14:paraId="68486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DDD9BA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19</w:t>
                  </w:r>
                </w:p>
              </w:tc>
              <w:tc>
                <w:tcPr>
                  <w:tcW w:w="721" w:type="pct"/>
                  <w:vAlign w:val="center"/>
                </w:tcPr>
                <w:p w14:paraId="6FC7664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-32,1.5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6292BBC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200.00 </w:t>
                  </w:r>
                </w:p>
              </w:tc>
              <w:tc>
                <w:tcPr>
                  <w:tcW w:w="602" w:type="pct"/>
                  <w:vAlign w:val="bottom"/>
                </w:tcPr>
                <w:p w14:paraId="6A20FB7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2.75 </w:t>
                  </w:r>
                </w:p>
              </w:tc>
              <w:tc>
                <w:tcPr>
                  <w:tcW w:w="667" w:type="pct"/>
                  <w:vAlign w:val="bottom"/>
                </w:tcPr>
                <w:p w14:paraId="0764A9E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209.85 </w:t>
                  </w:r>
                </w:p>
              </w:tc>
              <w:tc>
                <w:tcPr>
                  <w:tcW w:w="602" w:type="pct"/>
                  <w:vAlign w:val="bottom"/>
                </w:tcPr>
                <w:p w14:paraId="570AA54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2.71 </w:t>
                  </w:r>
                </w:p>
              </w:tc>
              <w:tc>
                <w:tcPr>
                  <w:tcW w:w="755" w:type="pct"/>
                  <w:vAlign w:val="bottom"/>
                </w:tcPr>
                <w:p w14:paraId="33E273A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264.26 </w:t>
                  </w:r>
                </w:p>
              </w:tc>
              <w:tc>
                <w:tcPr>
                  <w:tcW w:w="673" w:type="pct"/>
                  <w:vAlign w:val="bottom"/>
                </w:tcPr>
                <w:p w14:paraId="32B6FB5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2.40 </w:t>
                  </w:r>
                </w:p>
              </w:tc>
            </w:tr>
            <w:tr w14:paraId="4CCA8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2066F6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20</w:t>
                  </w:r>
                </w:p>
              </w:tc>
              <w:tc>
                <w:tcPr>
                  <w:tcW w:w="721" w:type="pct"/>
                  <w:vAlign w:val="center"/>
                </w:tcPr>
                <w:p w14:paraId="336EA30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（-31,1.5）</w:t>
                  </w:r>
                </w:p>
              </w:tc>
              <w:tc>
                <w:tcPr>
                  <w:tcW w:w="667" w:type="pct"/>
                  <w:vAlign w:val="bottom"/>
                </w:tcPr>
                <w:p w14:paraId="0D8A166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215.35 </w:t>
                  </w:r>
                </w:p>
              </w:tc>
              <w:tc>
                <w:tcPr>
                  <w:tcW w:w="602" w:type="pct"/>
                  <w:vAlign w:val="bottom"/>
                </w:tcPr>
                <w:p w14:paraId="58253B6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2.93 </w:t>
                  </w:r>
                </w:p>
              </w:tc>
              <w:tc>
                <w:tcPr>
                  <w:tcW w:w="667" w:type="pct"/>
                  <w:vAlign w:val="bottom"/>
                </w:tcPr>
                <w:p w14:paraId="15FB95B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226.44 </w:t>
                  </w:r>
                </w:p>
              </w:tc>
              <w:tc>
                <w:tcPr>
                  <w:tcW w:w="602" w:type="pct"/>
                  <w:vAlign w:val="bottom"/>
                </w:tcPr>
                <w:p w14:paraId="2CA1ADF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2.89 </w:t>
                  </w:r>
                </w:p>
              </w:tc>
              <w:tc>
                <w:tcPr>
                  <w:tcW w:w="755" w:type="pct"/>
                  <w:vAlign w:val="bottom"/>
                </w:tcPr>
                <w:p w14:paraId="16C893B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284.37 </w:t>
                  </w:r>
                </w:p>
              </w:tc>
              <w:tc>
                <w:tcPr>
                  <w:tcW w:w="673" w:type="pct"/>
                  <w:vAlign w:val="bottom"/>
                </w:tcPr>
                <w:p w14:paraId="00C7935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2.53 </w:t>
                  </w:r>
                </w:p>
              </w:tc>
            </w:tr>
            <w:tr w14:paraId="426CF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7EB9BF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21</w:t>
                  </w:r>
                </w:p>
              </w:tc>
              <w:tc>
                <w:tcPr>
                  <w:tcW w:w="721" w:type="pct"/>
                  <w:vAlign w:val="center"/>
                </w:tcPr>
                <w:p w14:paraId="727BAE7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-30,1.5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42DC522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232.63 </w:t>
                  </w:r>
                </w:p>
              </w:tc>
              <w:tc>
                <w:tcPr>
                  <w:tcW w:w="602" w:type="pct"/>
                  <w:vAlign w:val="bottom"/>
                </w:tcPr>
                <w:p w14:paraId="0B5AC36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3.12 </w:t>
                  </w:r>
                </w:p>
              </w:tc>
              <w:tc>
                <w:tcPr>
                  <w:tcW w:w="667" w:type="pct"/>
                  <w:vAlign w:val="bottom"/>
                </w:tcPr>
                <w:p w14:paraId="0BDA6D3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245.11 </w:t>
                  </w:r>
                </w:p>
              </w:tc>
              <w:tc>
                <w:tcPr>
                  <w:tcW w:w="602" w:type="pct"/>
                  <w:vAlign w:val="bottom"/>
                </w:tcPr>
                <w:p w14:paraId="7D2C432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3.08 </w:t>
                  </w:r>
                </w:p>
              </w:tc>
              <w:tc>
                <w:tcPr>
                  <w:tcW w:w="755" w:type="pct"/>
                  <w:vAlign w:val="bottom"/>
                </w:tcPr>
                <w:p w14:paraId="4F192CC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306.53 </w:t>
                  </w:r>
                </w:p>
              </w:tc>
              <w:tc>
                <w:tcPr>
                  <w:tcW w:w="673" w:type="pct"/>
                  <w:vAlign w:val="bottom"/>
                </w:tcPr>
                <w:p w14:paraId="0E2C39B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2.68 </w:t>
                  </w:r>
                </w:p>
              </w:tc>
            </w:tr>
            <w:tr w14:paraId="0A2D7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EA5CE2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22</w:t>
                  </w:r>
                </w:p>
              </w:tc>
              <w:tc>
                <w:tcPr>
                  <w:tcW w:w="721" w:type="pct"/>
                  <w:vAlign w:val="center"/>
                </w:tcPr>
                <w:p w14:paraId="7023C8B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（-29,1.5）</w:t>
                  </w:r>
                </w:p>
              </w:tc>
              <w:tc>
                <w:tcPr>
                  <w:tcW w:w="667" w:type="pct"/>
                  <w:vAlign w:val="bottom"/>
                </w:tcPr>
                <w:p w14:paraId="4F529E0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252.15 </w:t>
                  </w:r>
                </w:p>
              </w:tc>
              <w:tc>
                <w:tcPr>
                  <w:tcW w:w="602" w:type="pct"/>
                  <w:vAlign w:val="bottom"/>
                </w:tcPr>
                <w:p w14:paraId="297354C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3.34 </w:t>
                  </w:r>
                </w:p>
              </w:tc>
              <w:tc>
                <w:tcPr>
                  <w:tcW w:w="667" w:type="pct"/>
                  <w:vAlign w:val="bottom"/>
                </w:tcPr>
                <w:p w14:paraId="43587AF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266.21 </w:t>
                  </w:r>
                </w:p>
              </w:tc>
              <w:tc>
                <w:tcPr>
                  <w:tcW w:w="602" w:type="pct"/>
                  <w:vAlign w:val="bottom"/>
                </w:tcPr>
                <w:p w14:paraId="74EAB4E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3.29 </w:t>
                  </w:r>
                </w:p>
              </w:tc>
              <w:tc>
                <w:tcPr>
                  <w:tcW w:w="755" w:type="pct"/>
                  <w:vAlign w:val="bottom"/>
                </w:tcPr>
                <w:p w14:paraId="212E92B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330.96 </w:t>
                  </w:r>
                </w:p>
              </w:tc>
              <w:tc>
                <w:tcPr>
                  <w:tcW w:w="673" w:type="pct"/>
                  <w:vAlign w:val="bottom"/>
                </w:tcPr>
                <w:p w14:paraId="5148A1D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2.84 </w:t>
                  </w:r>
                </w:p>
              </w:tc>
            </w:tr>
            <w:tr w14:paraId="2A27D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43D8ED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23</w:t>
                  </w:r>
                </w:p>
              </w:tc>
              <w:tc>
                <w:tcPr>
                  <w:tcW w:w="721" w:type="pct"/>
                  <w:vAlign w:val="center"/>
                </w:tcPr>
                <w:p w14:paraId="2F8D77E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-28,1.5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6049D7E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274.33 </w:t>
                  </w:r>
                </w:p>
              </w:tc>
              <w:tc>
                <w:tcPr>
                  <w:tcW w:w="602" w:type="pct"/>
                  <w:vAlign w:val="bottom"/>
                </w:tcPr>
                <w:p w14:paraId="49467C8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3.58 </w:t>
                  </w:r>
                </w:p>
              </w:tc>
              <w:tc>
                <w:tcPr>
                  <w:tcW w:w="667" w:type="pct"/>
                  <w:vAlign w:val="bottom"/>
                </w:tcPr>
                <w:p w14:paraId="7815FB5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290.17 </w:t>
                  </w:r>
                </w:p>
              </w:tc>
              <w:tc>
                <w:tcPr>
                  <w:tcW w:w="602" w:type="pct"/>
                  <w:vAlign w:val="bottom"/>
                </w:tcPr>
                <w:p w14:paraId="58474B8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3.52 </w:t>
                  </w:r>
                </w:p>
              </w:tc>
              <w:tc>
                <w:tcPr>
                  <w:tcW w:w="755" w:type="pct"/>
                  <w:vAlign w:val="bottom"/>
                </w:tcPr>
                <w:p w14:paraId="187453A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357.92 </w:t>
                  </w:r>
                </w:p>
              </w:tc>
              <w:tc>
                <w:tcPr>
                  <w:tcW w:w="673" w:type="pct"/>
                  <w:vAlign w:val="bottom"/>
                </w:tcPr>
                <w:p w14:paraId="5B7C5E3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3.01 </w:t>
                  </w:r>
                </w:p>
              </w:tc>
            </w:tr>
            <w:tr w14:paraId="1DEE9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FE287B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24</w:t>
                  </w:r>
                </w:p>
              </w:tc>
              <w:tc>
                <w:tcPr>
                  <w:tcW w:w="721" w:type="pct"/>
                  <w:vAlign w:val="center"/>
                </w:tcPr>
                <w:p w14:paraId="2263EC6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（-27,1.5）</w:t>
                  </w:r>
                </w:p>
              </w:tc>
              <w:tc>
                <w:tcPr>
                  <w:tcW w:w="667" w:type="pct"/>
                  <w:vAlign w:val="bottom"/>
                </w:tcPr>
                <w:p w14:paraId="0CB06AF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299.67 </w:t>
                  </w:r>
                </w:p>
              </w:tc>
              <w:tc>
                <w:tcPr>
                  <w:tcW w:w="602" w:type="pct"/>
                  <w:vAlign w:val="bottom"/>
                </w:tcPr>
                <w:p w14:paraId="202A70D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3.84 </w:t>
                  </w:r>
                </w:p>
              </w:tc>
              <w:tc>
                <w:tcPr>
                  <w:tcW w:w="667" w:type="pct"/>
                  <w:vAlign w:val="bottom"/>
                </w:tcPr>
                <w:p w14:paraId="0C04B69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317.51 </w:t>
                  </w:r>
                </w:p>
              </w:tc>
              <w:tc>
                <w:tcPr>
                  <w:tcW w:w="602" w:type="pct"/>
                  <w:vAlign w:val="bottom"/>
                </w:tcPr>
                <w:p w14:paraId="773DE4E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3.78 </w:t>
                  </w:r>
                </w:p>
              </w:tc>
              <w:tc>
                <w:tcPr>
                  <w:tcW w:w="755" w:type="pct"/>
                  <w:vAlign w:val="bottom"/>
                </w:tcPr>
                <w:p w14:paraId="7934F5B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387.69 </w:t>
                  </w:r>
                </w:p>
              </w:tc>
              <w:tc>
                <w:tcPr>
                  <w:tcW w:w="673" w:type="pct"/>
                  <w:vAlign w:val="bottom"/>
                </w:tcPr>
                <w:p w14:paraId="0B9A255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3.19 </w:t>
                  </w:r>
                </w:p>
              </w:tc>
            </w:tr>
            <w:tr w14:paraId="7E165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804F7C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25</w:t>
                  </w:r>
                </w:p>
              </w:tc>
              <w:tc>
                <w:tcPr>
                  <w:tcW w:w="721" w:type="pct"/>
                  <w:vAlign w:val="center"/>
                </w:tcPr>
                <w:p w14:paraId="49C6078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-26,1.5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58BA9AA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328.78 </w:t>
                  </w:r>
                </w:p>
              </w:tc>
              <w:tc>
                <w:tcPr>
                  <w:tcW w:w="602" w:type="pct"/>
                  <w:vAlign w:val="bottom"/>
                </w:tcPr>
                <w:p w14:paraId="0E0BC0E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4.14 </w:t>
                  </w:r>
                </w:p>
              </w:tc>
              <w:tc>
                <w:tcPr>
                  <w:tcW w:w="667" w:type="pct"/>
                  <w:vAlign w:val="bottom"/>
                </w:tcPr>
                <w:p w14:paraId="37816A0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348.85 </w:t>
                  </w:r>
                </w:p>
              </w:tc>
              <w:tc>
                <w:tcPr>
                  <w:tcW w:w="602" w:type="pct"/>
                  <w:vAlign w:val="bottom"/>
                </w:tcPr>
                <w:p w14:paraId="29D1663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4.06 </w:t>
                  </w:r>
                </w:p>
              </w:tc>
              <w:tc>
                <w:tcPr>
                  <w:tcW w:w="755" w:type="pct"/>
                  <w:vAlign w:val="bottom"/>
                </w:tcPr>
                <w:p w14:paraId="6951B8B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420.58 </w:t>
                  </w:r>
                </w:p>
              </w:tc>
              <w:tc>
                <w:tcPr>
                  <w:tcW w:w="673" w:type="pct"/>
                  <w:vAlign w:val="bottom"/>
                </w:tcPr>
                <w:p w14:paraId="026228C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3.39 </w:t>
                  </w:r>
                </w:p>
              </w:tc>
            </w:tr>
            <w:tr w14:paraId="34C63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BBCAA8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26</w:t>
                  </w:r>
                </w:p>
              </w:tc>
              <w:tc>
                <w:tcPr>
                  <w:tcW w:w="721" w:type="pct"/>
                  <w:vAlign w:val="center"/>
                </w:tcPr>
                <w:p w14:paraId="0F4414E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（-25,1.5）</w:t>
                  </w:r>
                </w:p>
              </w:tc>
              <w:tc>
                <w:tcPr>
                  <w:tcW w:w="667" w:type="pct"/>
                  <w:vAlign w:val="bottom"/>
                </w:tcPr>
                <w:p w14:paraId="183011E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362.44 </w:t>
                  </w:r>
                </w:p>
              </w:tc>
              <w:tc>
                <w:tcPr>
                  <w:tcW w:w="602" w:type="pct"/>
                  <w:vAlign w:val="bottom"/>
                </w:tcPr>
                <w:p w14:paraId="1DA0EBA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4.47 </w:t>
                  </w:r>
                </w:p>
              </w:tc>
              <w:tc>
                <w:tcPr>
                  <w:tcW w:w="667" w:type="pct"/>
                  <w:vAlign w:val="bottom"/>
                </w:tcPr>
                <w:p w14:paraId="30702A6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384.98 </w:t>
                  </w:r>
                </w:p>
              </w:tc>
              <w:tc>
                <w:tcPr>
                  <w:tcW w:w="602" w:type="pct"/>
                  <w:vAlign w:val="bottom"/>
                </w:tcPr>
                <w:p w14:paraId="5B15E76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4.38 </w:t>
                  </w:r>
                </w:p>
              </w:tc>
              <w:tc>
                <w:tcPr>
                  <w:tcW w:w="755" w:type="pct"/>
                  <w:vAlign w:val="bottom"/>
                </w:tcPr>
                <w:p w14:paraId="1611331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456.91 </w:t>
                  </w:r>
                </w:p>
              </w:tc>
              <w:tc>
                <w:tcPr>
                  <w:tcW w:w="673" w:type="pct"/>
                  <w:vAlign w:val="bottom"/>
                </w:tcPr>
                <w:p w14:paraId="5E293DD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3.61 </w:t>
                  </w:r>
                </w:p>
              </w:tc>
            </w:tr>
            <w:tr w14:paraId="03A4D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00AD73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27</w:t>
                  </w:r>
                </w:p>
              </w:tc>
              <w:tc>
                <w:tcPr>
                  <w:tcW w:w="721" w:type="pct"/>
                  <w:vAlign w:val="center"/>
                </w:tcPr>
                <w:p w14:paraId="4F11A22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-24,1.5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04BC88C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401.58 </w:t>
                  </w:r>
                </w:p>
              </w:tc>
              <w:tc>
                <w:tcPr>
                  <w:tcW w:w="602" w:type="pct"/>
                  <w:vAlign w:val="bottom"/>
                </w:tcPr>
                <w:p w14:paraId="517C323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4.85 </w:t>
                  </w:r>
                </w:p>
              </w:tc>
              <w:tc>
                <w:tcPr>
                  <w:tcW w:w="667" w:type="pct"/>
                  <w:vAlign w:val="bottom"/>
                </w:tcPr>
                <w:p w14:paraId="50FA8CC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426.83 </w:t>
                  </w:r>
                </w:p>
              </w:tc>
              <w:tc>
                <w:tcPr>
                  <w:tcW w:w="602" w:type="pct"/>
                  <w:vAlign w:val="bottom"/>
                </w:tcPr>
                <w:p w14:paraId="0582D5B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4.74 </w:t>
                  </w:r>
                </w:p>
              </w:tc>
              <w:tc>
                <w:tcPr>
                  <w:tcW w:w="755" w:type="pct"/>
                  <w:vAlign w:val="bottom"/>
                </w:tcPr>
                <w:p w14:paraId="191E375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497.02 </w:t>
                  </w:r>
                </w:p>
              </w:tc>
              <w:tc>
                <w:tcPr>
                  <w:tcW w:w="673" w:type="pct"/>
                  <w:vAlign w:val="bottom"/>
                </w:tcPr>
                <w:p w14:paraId="3625AC9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3.84 </w:t>
                  </w:r>
                </w:p>
              </w:tc>
            </w:tr>
            <w:tr w14:paraId="06E2C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BBF67C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28</w:t>
                  </w:r>
                </w:p>
              </w:tc>
              <w:tc>
                <w:tcPr>
                  <w:tcW w:w="721" w:type="pct"/>
                  <w:vAlign w:val="center"/>
                </w:tcPr>
                <w:p w14:paraId="44161F3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（-23,1.5）</w:t>
                  </w:r>
                </w:p>
              </w:tc>
              <w:tc>
                <w:tcPr>
                  <w:tcW w:w="667" w:type="pct"/>
                  <w:vAlign w:val="bottom"/>
                </w:tcPr>
                <w:p w14:paraId="3A7077D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447.42 </w:t>
                  </w:r>
                </w:p>
              </w:tc>
              <w:tc>
                <w:tcPr>
                  <w:tcW w:w="602" w:type="pct"/>
                  <w:vAlign w:val="bottom"/>
                </w:tcPr>
                <w:p w14:paraId="5F28914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5.27 </w:t>
                  </w:r>
                </w:p>
              </w:tc>
              <w:tc>
                <w:tcPr>
                  <w:tcW w:w="667" w:type="pct"/>
                  <w:vAlign w:val="bottom"/>
                </w:tcPr>
                <w:p w14:paraId="75E1651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475.58 </w:t>
                  </w:r>
                </w:p>
              </w:tc>
              <w:tc>
                <w:tcPr>
                  <w:tcW w:w="602" w:type="pct"/>
                  <w:vAlign w:val="bottom"/>
                </w:tcPr>
                <w:p w14:paraId="7DBED0C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5.14 </w:t>
                  </w:r>
                </w:p>
              </w:tc>
              <w:tc>
                <w:tcPr>
                  <w:tcW w:w="755" w:type="pct"/>
                  <w:vAlign w:val="bottom"/>
                </w:tcPr>
                <w:p w14:paraId="6A09739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541.26 </w:t>
                  </w:r>
                </w:p>
              </w:tc>
              <w:tc>
                <w:tcPr>
                  <w:tcW w:w="673" w:type="pct"/>
                  <w:vAlign w:val="bottom"/>
                </w:tcPr>
                <w:p w14:paraId="1581F8D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4.10 </w:t>
                  </w:r>
                </w:p>
              </w:tc>
            </w:tr>
            <w:tr w14:paraId="7D63B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9BD8D8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29</w:t>
                  </w:r>
                </w:p>
              </w:tc>
              <w:tc>
                <w:tcPr>
                  <w:tcW w:w="721" w:type="pct"/>
                  <w:vAlign w:val="center"/>
                </w:tcPr>
                <w:p w14:paraId="66E720D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-22,1.5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6BF5380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501.46 </w:t>
                  </w:r>
                </w:p>
              </w:tc>
              <w:tc>
                <w:tcPr>
                  <w:tcW w:w="602" w:type="pct"/>
                  <w:vAlign w:val="bottom"/>
                </w:tcPr>
                <w:p w14:paraId="016E015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5.74 </w:t>
                  </w:r>
                </w:p>
              </w:tc>
              <w:tc>
                <w:tcPr>
                  <w:tcW w:w="667" w:type="pct"/>
                  <w:vAlign w:val="bottom"/>
                </w:tcPr>
                <w:p w14:paraId="460EA2B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532.68 </w:t>
                  </w:r>
                </w:p>
              </w:tc>
              <w:tc>
                <w:tcPr>
                  <w:tcW w:w="602" w:type="pct"/>
                  <w:vAlign w:val="bottom"/>
                </w:tcPr>
                <w:p w14:paraId="76BE9E3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5.59 </w:t>
                  </w:r>
                </w:p>
              </w:tc>
              <w:tc>
                <w:tcPr>
                  <w:tcW w:w="755" w:type="pct"/>
                  <w:vAlign w:val="bottom"/>
                </w:tcPr>
                <w:p w14:paraId="334BFFB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589.95 </w:t>
                  </w:r>
                </w:p>
              </w:tc>
              <w:tc>
                <w:tcPr>
                  <w:tcW w:w="673" w:type="pct"/>
                  <w:vAlign w:val="bottom"/>
                </w:tcPr>
                <w:p w14:paraId="43C42E6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4.38 </w:t>
                  </w:r>
                </w:p>
              </w:tc>
            </w:tr>
            <w:tr w14:paraId="490CA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0C91F3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30</w:t>
                  </w:r>
                </w:p>
              </w:tc>
              <w:tc>
                <w:tcPr>
                  <w:tcW w:w="721" w:type="pct"/>
                  <w:vAlign w:val="center"/>
                </w:tcPr>
                <w:p w14:paraId="7C65601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（-21,1.5）</w:t>
                  </w:r>
                </w:p>
              </w:tc>
              <w:tc>
                <w:tcPr>
                  <w:tcW w:w="667" w:type="pct"/>
                  <w:vAlign w:val="bottom"/>
                </w:tcPr>
                <w:p w14:paraId="16AF429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565.63 </w:t>
                  </w:r>
                </w:p>
              </w:tc>
              <w:tc>
                <w:tcPr>
                  <w:tcW w:w="602" w:type="pct"/>
                  <w:vAlign w:val="bottom"/>
                </w:tcPr>
                <w:p w14:paraId="35981CB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6.29 </w:t>
                  </w:r>
                </w:p>
              </w:tc>
              <w:tc>
                <w:tcPr>
                  <w:tcW w:w="667" w:type="pct"/>
                  <w:vAlign w:val="bottom"/>
                </w:tcPr>
                <w:p w14:paraId="63C43A5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599.91 </w:t>
                  </w:r>
                </w:p>
              </w:tc>
              <w:tc>
                <w:tcPr>
                  <w:tcW w:w="602" w:type="pct"/>
                  <w:vAlign w:val="bottom"/>
                </w:tcPr>
                <w:p w14:paraId="0029E66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6.10 </w:t>
                  </w:r>
                </w:p>
              </w:tc>
              <w:tc>
                <w:tcPr>
                  <w:tcW w:w="755" w:type="pct"/>
                  <w:vAlign w:val="bottom"/>
                </w:tcPr>
                <w:p w14:paraId="5AFEC6A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643.41 </w:t>
                  </w:r>
                </w:p>
              </w:tc>
              <w:tc>
                <w:tcPr>
                  <w:tcW w:w="673" w:type="pct"/>
                  <w:vAlign w:val="bottom"/>
                </w:tcPr>
                <w:p w14:paraId="748CED7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4.69 </w:t>
                  </w:r>
                </w:p>
              </w:tc>
            </w:tr>
            <w:tr w14:paraId="4BDE9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7CEC3D1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31</w:t>
                  </w:r>
                </w:p>
              </w:tc>
              <w:tc>
                <w:tcPr>
                  <w:tcW w:w="721" w:type="pct"/>
                  <w:vAlign w:val="center"/>
                </w:tcPr>
                <w:p w14:paraId="24F8AA6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-20,1.5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573A792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642.37 </w:t>
                  </w:r>
                </w:p>
              </w:tc>
              <w:tc>
                <w:tcPr>
                  <w:tcW w:w="602" w:type="pct"/>
                  <w:vAlign w:val="bottom"/>
                </w:tcPr>
                <w:p w14:paraId="49F86A3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6.91 </w:t>
                  </w:r>
                </w:p>
              </w:tc>
              <w:tc>
                <w:tcPr>
                  <w:tcW w:w="667" w:type="pct"/>
                  <w:vAlign w:val="bottom"/>
                </w:tcPr>
                <w:p w14:paraId="33588B5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679.50 </w:t>
                  </w:r>
                </w:p>
              </w:tc>
              <w:tc>
                <w:tcPr>
                  <w:tcW w:w="602" w:type="pct"/>
                  <w:vAlign w:val="bottom"/>
                </w:tcPr>
                <w:p w14:paraId="41A4858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6.69 </w:t>
                  </w:r>
                </w:p>
              </w:tc>
              <w:tc>
                <w:tcPr>
                  <w:tcW w:w="755" w:type="pct"/>
                  <w:vAlign w:val="bottom"/>
                </w:tcPr>
                <w:p w14:paraId="4D09A09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701.86 </w:t>
                  </w:r>
                </w:p>
              </w:tc>
              <w:tc>
                <w:tcPr>
                  <w:tcW w:w="673" w:type="pct"/>
                  <w:vAlign w:val="bottom"/>
                </w:tcPr>
                <w:p w14:paraId="43A6183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5.02 </w:t>
                  </w:r>
                </w:p>
              </w:tc>
            </w:tr>
            <w:tr w14:paraId="3714F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55BCB5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32</w:t>
                  </w:r>
                </w:p>
              </w:tc>
              <w:tc>
                <w:tcPr>
                  <w:tcW w:w="721" w:type="pct"/>
                  <w:vAlign w:val="center"/>
                </w:tcPr>
                <w:p w14:paraId="3AF7551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（-19,1.5）</w:t>
                  </w:r>
                </w:p>
              </w:tc>
              <w:tc>
                <w:tcPr>
                  <w:tcW w:w="667" w:type="pct"/>
                  <w:vAlign w:val="bottom"/>
                </w:tcPr>
                <w:p w14:paraId="3003ACE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734.79 </w:t>
                  </w:r>
                </w:p>
              </w:tc>
              <w:tc>
                <w:tcPr>
                  <w:tcW w:w="602" w:type="pct"/>
                  <w:vAlign w:val="bottom"/>
                </w:tcPr>
                <w:p w14:paraId="63D400D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7.63 </w:t>
                  </w:r>
                </w:p>
              </w:tc>
              <w:tc>
                <w:tcPr>
                  <w:tcW w:w="667" w:type="pct"/>
                  <w:vAlign w:val="bottom"/>
                </w:tcPr>
                <w:p w14:paraId="785C357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774.19 </w:t>
                  </w:r>
                </w:p>
              </w:tc>
              <w:tc>
                <w:tcPr>
                  <w:tcW w:w="602" w:type="pct"/>
                  <w:vAlign w:val="bottom"/>
                </w:tcPr>
                <w:p w14:paraId="00FE50A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7.35 </w:t>
                  </w:r>
                </w:p>
              </w:tc>
              <w:tc>
                <w:tcPr>
                  <w:tcW w:w="755" w:type="pct"/>
                  <w:vAlign w:val="bottom"/>
                </w:tcPr>
                <w:p w14:paraId="30028C6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765.44 </w:t>
                  </w:r>
                </w:p>
              </w:tc>
              <w:tc>
                <w:tcPr>
                  <w:tcW w:w="673" w:type="pct"/>
                  <w:vAlign w:val="bottom"/>
                </w:tcPr>
                <w:p w14:paraId="5AB7F21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5.38 </w:t>
                  </w:r>
                </w:p>
              </w:tc>
            </w:tr>
            <w:tr w14:paraId="5BCB0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7F697B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33</w:t>
                  </w:r>
                </w:p>
              </w:tc>
              <w:tc>
                <w:tcPr>
                  <w:tcW w:w="721" w:type="pct"/>
                  <w:vAlign w:val="center"/>
                </w:tcPr>
                <w:p w14:paraId="21A3107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-18,1.5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4A556EA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846.89 </w:t>
                  </w:r>
                </w:p>
              </w:tc>
              <w:tc>
                <w:tcPr>
                  <w:tcW w:w="602" w:type="pct"/>
                  <w:vAlign w:val="bottom"/>
                </w:tcPr>
                <w:p w14:paraId="37CE8E6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8.47 </w:t>
                  </w:r>
                </w:p>
              </w:tc>
              <w:tc>
                <w:tcPr>
                  <w:tcW w:w="667" w:type="pct"/>
                  <w:vAlign w:val="bottom"/>
                </w:tcPr>
                <w:p w14:paraId="0D7D638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887.36 </w:t>
                  </w:r>
                </w:p>
              </w:tc>
              <w:tc>
                <w:tcPr>
                  <w:tcW w:w="602" w:type="pct"/>
                  <w:vAlign w:val="bottom"/>
                </w:tcPr>
                <w:p w14:paraId="114ED2A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8.12 </w:t>
                  </w:r>
                </w:p>
              </w:tc>
              <w:tc>
                <w:tcPr>
                  <w:tcW w:w="755" w:type="pct"/>
                  <w:vAlign w:val="bottom"/>
                </w:tcPr>
                <w:p w14:paraId="2D590E8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834.09 </w:t>
                  </w:r>
                </w:p>
              </w:tc>
              <w:tc>
                <w:tcPr>
                  <w:tcW w:w="673" w:type="pct"/>
                  <w:vAlign w:val="bottom"/>
                </w:tcPr>
                <w:p w14:paraId="20DA68D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5.78 </w:t>
                  </w:r>
                </w:p>
              </w:tc>
            </w:tr>
            <w:tr w14:paraId="6BBD3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ABF1F5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34</w:t>
                  </w:r>
                </w:p>
              </w:tc>
              <w:tc>
                <w:tcPr>
                  <w:tcW w:w="721" w:type="pct"/>
                  <w:vAlign w:val="center"/>
                </w:tcPr>
                <w:p w14:paraId="290A98A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（-17,1.5）</w:t>
                  </w:r>
                </w:p>
              </w:tc>
              <w:tc>
                <w:tcPr>
                  <w:tcW w:w="667" w:type="pct"/>
                  <w:vAlign w:val="bottom"/>
                </w:tcPr>
                <w:p w14:paraId="41775FB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983.76 </w:t>
                  </w:r>
                </w:p>
              </w:tc>
              <w:tc>
                <w:tcPr>
                  <w:tcW w:w="602" w:type="pct"/>
                  <w:vAlign w:val="bottom"/>
                </w:tcPr>
                <w:p w14:paraId="45643CD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9.44 </w:t>
                  </w:r>
                </w:p>
              </w:tc>
              <w:tc>
                <w:tcPr>
                  <w:tcW w:w="667" w:type="pct"/>
                  <w:vAlign w:val="bottom"/>
                </w:tcPr>
                <w:p w14:paraId="7FF8F80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1023.14 </w:t>
                  </w:r>
                </w:p>
              </w:tc>
              <w:tc>
                <w:tcPr>
                  <w:tcW w:w="602" w:type="pct"/>
                  <w:vAlign w:val="bottom"/>
                </w:tcPr>
                <w:p w14:paraId="449441D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9.02 </w:t>
                  </w:r>
                </w:p>
              </w:tc>
              <w:tc>
                <w:tcPr>
                  <w:tcW w:w="755" w:type="pct"/>
                  <w:vAlign w:val="bottom"/>
                </w:tcPr>
                <w:p w14:paraId="6535A1E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907.52 </w:t>
                  </w:r>
                </w:p>
              </w:tc>
              <w:tc>
                <w:tcPr>
                  <w:tcW w:w="673" w:type="pct"/>
                  <w:vAlign w:val="bottom"/>
                </w:tcPr>
                <w:p w14:paraId="1912B95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6.20 </w:t>
                  </w:r>
                </w:p>
              </w:tc>
            </w:tr>
            <w:tr w14:paraId="5148A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9E2320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35</w:t>
                  </w:r>
                </w:p>
              </w:tc>
              <w:tc>
                <w:tcPr>
                  <w:tcW w:w="721" w:type="pct"/>
                  <w:vAlign w:val="center"/>
                </w:tcPr>
                <w:p w14:paraId="1291237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-16,1.5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3F76639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1151.88 </w:t>
                  </w:r>
                </w:p>
              </w:tc>
              <w:tc>
                <w:tcPr>
                  <w:tcW w:w="602" w:type="pct"/>
                  <w:vAlign w:val="bottom"/>
                </w:tcPr>
                <w:p w14:paraId="0D055A4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10.59 </w:t>
                  </w:r>
                </w:p>
              </w:tc>
              <w:tc>
                <w:tcPr>
                  <w:tcW w:w="667" w:type="pct"/>
                  <w:vAlign w:val="bottom"/>
                </w:tcPr>
                <w:p w14:paraId="7314C82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1186.48 </w:t>
                  </w:r>
                </w:p>
              </w:tc>
              <w:tc>
                <w:tcPr>
                  <w:tcW w:w="602" w:type="pct"/>
                  <w:vAlign w:val="bottom"/>
                </w:tcPr>
                <w:p w14:paraId="29F7E07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10.05 </w:t>
                  </w:r>
                </w:p>
              </w:tc>
              <w:tc>
                <w:tcPr>
                  <w:tcW w:w="755" w:type="pct"/>
                  <w:vAlign w:val="bottom"/>
                </w:tcPr>
                <w:p w14:paraId="5EDE16F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985.06 </w:t>
                  </w:r>
                </w:p>
              </w:tc>
              <w:tc>
                <w:tcPr>
                  <w:tcW w:w="673" w:type="pct"/>
                  <w:vAlign w:val="bottom"/>
                </w:tcPr>
                <w:p w14:paraId="22C922D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6.67 </w:t>
                  </w:r>
                </w:p>
              </w:tc>
            </w:tr>
            <w:tr w14:paraId="23211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8C4A0A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36</w:t>
                  </w:r>
                </w:p>
              </w:tc>
              <w:tc>
                <w:tcPr>
                  <w:tcW w:w="721" w:type="pct"/>
                  <w:vAlign w:val="center"/>
                </w:tcPr>
                <w:p w14:paraId="7D6CB59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（-15,1.5）</w:t>
                  </w:r>
                </w:p>
              </w:tc>
              <w:tc>
                <w:tcPr>
                  <w:tcW w:w="667" w:type="pct"/>
                  <w:vAlign w:val="bottom"/>
                </w:tcPr>
                <w:p w14:paraId="004DE48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1359.39 </w:t>
                  </w:r>
                </w:p>
              </w:tc>
              <w:tc>
                <w:tcPr>
                  <w:tcW w:w="602" w:type="pct"/>
                  <w:vAlign w:val="bottom"/>
                </w:tcPr>
                <w:p w14:paraId="6AB7D0D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11.95 </w:t>
                  </w:r>
                </w:p>
              </w:tc>
              <w:tc>
                <w:tcPr>
                  <w:tcW w:w="667" w:type="pct"/>
                  <w:vAlign w:val="bottom"/>
                </w:tcPr>
                <w:p w14:paraId="57EA9A6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1383.14 </w:t>
                  </w:r>
                </w:p>
              </w:tc>
              <w:tc>
                <w:tcPr>
                  <w:tcW w:w="602" w:type="pct"/>
                  <w:vAlign w:val="bottom"/>
                </w:tcPr>
                <w:p w14:paraId="0C20A7C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11.26 </w:t>
                  </w:r>
                </w:p>
              </w:tc>
              <w:tc>
                <w:tcPr>
                  <w:tcW w:w="755" w:type="pct"/>
                  <w:vAlign w:val="bottom"/>
                </w:tcPr>
                <w:p w14:paraId="6F1B1A8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1065.60 </w:t>
                  </w:r>
                </w:p>
              </w:tc>
              <w:tc>
                <w:tcPr>
                  <w:tcW w:w="673" w:type="pct"/>
                  <w:vAlign w:val="bottom"/>
                </w:tcPr>
                <w:p w14:paraId="6C80B34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7.17 </w:t>
                  </w:r>
                </w:p>
              </w:tc>
            </w:tr>
            <w:tr w14:paraId="2DCB5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C212AA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37</w:t>
                  </w:r>
                </w:p>
              </w:tc>
              <w:tc>
                <w:tcPr>
                  <w:tcW w:w="721" w:type="pct"/>
                  <w:vAlign w:val="center"/>
                </w:tcPr>
                <w:p w14:paraId="4500D65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-14,1.5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0AA9D68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1616.28 </w:t>
                  </w:r>
                </w:p>
              </w:tc>
              <w:tc>
                <w:tcPr>
                  <w:tcW w:w="602" w:type="pct"/>
                  <w:vAlign w:val="bottom"/>
                </w:tcPr>
                <w:p w14:paraId="62D1B3A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13.57 </w:t>
                  </w:r>
                </w:p>
              </w:tc>
              <w:tc>
                <w:tcPr>
                  <w:tcW w:w="667" w:type="pct"/>
                  <w:vAlign w:val="bottom"/>
                </w:tcPr>
                <w:p w14:paraId="183C907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1619.57 </w:t>
                  </w:r>
                </w:p>
              </w:tc>
              <w:tc>
                <w:tcPr>
                  <w:tcW w:w="602" w:type="pct"/>
                  <w:vAlign w:val="bottom"/>
                </w:tcPr>
                <w:p w14:paraId="14C3FF7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12.68 </w:t>
                  </w:r>
                </w:p>
              </w:tc>
              <w:tc>
                <w:tcPr>
                  <w:tcW w:w="755" w:type="pct"/>
                  <w:vAlign w:val="bottom"/>
                </w:tcPr>
                <w:p w14:paraId="328B6D8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1147.40 </w:t>
                  </w:r>
                </w:p>
              </w:tc>
              <w:tc>
                <w:tcPr>
                  <w:tcW w:w="673" w:type="pct"/>
                  <w:vAlign w:val="bottom"/>
                </w:tcPr>
                <w:p w14:paraId="567084C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7.70 </w:t>
                  </w:r>
                </w:p>
              </w:tc>
            </w:tr>
            <w:tr w14:paraId="55393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40F4F3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38</w:t>
                  </w:r>
                </w:p>
              </w:tc>
              <w:tc>
                <w:tcPr>
                  <w:tcW w:w="721" w:type="pct"/>
                  <w:vAlign w:val="center"/>
                </w:tcPr>
                <w:p w14:paraId="10F6920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（-13,1.5）</w:t>
                  </w:r>
                </w:p>
              </w:tc>
              <w:tc>
                <w:tcPr>
                  <w:tcW w:w="667" w:type="pct"/>
                  <w:vAlign w:val="bottom"/>
                </w:tcPr>
                <w:p w14:paraId="1BB72C7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1934.37 </w:t>
                  </w:r>
                </w:p>
              </w:tc>
              <w:tc>
                <w:tcPr>
                  <w:tcW w:w="602" w:type="pct"/>
                  <w:vAlign w:val="bottom"/>
                </w:tcPr>
                <w:p w14:paraId="1096E64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15.51 </w:t>
                  </w:r>
                </w:p>
              </w:tc>
              <w:tc>
                <w:tcPr>
                  <w:tcW w:w="667" w:type="pct"/>
                  <w:vAlign w:val="bottom"/>
                </w:tcPr>
                <w:p w14:paraId="17ACD4E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1902.25 </w:t>
                  </w:r>
                </w:p>
              </w:tc>
              <w:tc>
                <w:tcPr>
                  <w:tcW w:w="602" w:type="pct"/>
                  <w:vAlign w:val="bottom"/>
                </w:tcPr>
                <w:p w14:paraId="2C2179D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14.34 </w:t>
                  </w:r>
                </w:p>
              </w:tc>
              <w:tc>
                <w:tcPr>
                  <w:tcW w:w="755" w:type="pct"/>
                  <w:vAlign w:val="bottom"/>
                </w:tcPr>
                <w:p w14:paraId="1B1DDF4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1227.99 </w:t>
                  </w:r>
                </w:p>
              </w:tc>
              <w:tc>
                <w:tcPr>
                  <w:tcW w:w="673" w:type="pct"/>
                  <w:vAlign w:val="bottom"/>
                </w:tcPr>
                <w:p w14:paraId="66A9E4B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8.27 </w:t>
                  </w:r>
                </w:p>
              </w:tc>
            </w:tr>
            <w:tr w14:paraId="0B1EC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716D493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39</w:t>
                  </w:r>
                </w:p>
              </w:tc>
              <w:tc>
                <w:tcPr>
                  <w:tcW w:w="721" w:type="pct"/>
                  <w:vAlign w:val="center"/>
                </w:tcPr>
                <w:p w14:paraId="65C4AC7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-12,1.5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4EF09F0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2326.47 </w:t>
                  </w:r>
                </w:p>
              </w:tc>
              <w:tc>
                <w:tcPr>
                  <w:tcW w:w="602" w:type="pct"/>
                  <w:vAlign w:val="bottom"/>
                </w:tcPr>
                <w:p w14:paraId="3C9A723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17.86 </w:t>
                  </w:r>
                </w:p>
              </w:tc>
              <w:tc>
                <w:tcPr>
                  <w:tcW w:w="667" w:type="pct"/>
                  <w:vAlign w:val="bottom"/>
                </w:tcPr>
                <w:p w14:paraId="2BA789D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2236.50 </w:t>
                  </w:r>
                </w:p>
              </w:tc>
              <w:tc>
                <w:tcPr>
                  <w:tcW w:w="602" w:type="pct"/>
                  <w:vAlign w:val="bottom"/>
                </w:tcPr>
                <w:p w14:paraId="28CEF3C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16.30 </w:t>
                  </w:r>
                </w:p>
              </w:tc>
              <w:tc>
                <w:tcPr>
                  <w:tcW w:w="755" w:type="pct"/>
                  <w:vAlign w:val="bottom"/>
                </w:tcPr>
                <w:p w14:paraId="4019491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1304.09 </w:t>
                  </w:r>
                </w:p>
              </w:tc>
              <w:tc>
                <w:tcPr>
                  <w:tcW w:w="673" w:type="pct"/>
                  <w:vAlign w:val="bottom"/>
                </w:tcPr>
                <w:p w14:paraId="0961976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8.87 </w:t>
                  </w:r>
                </w:p>
              </w:tc>
            </w:tr>
            <w:tr w14:paraId="38597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332169C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40</w:t>
                  </w:r>
                </w:p>
              </w:tc>
              <w:tc>
                <w:tcPr>
                  <w:tcW w:w="721" w:type="pct"/>
                  <w:vAlign w:val="center"/>
                </w:tcPr>
                <w:p w14:paraId="0B89A67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（-11,1.5）</w:t>
                  </w:r>
                </w:p>
              </w:tc>
              <w:tc>
                <w:tcPr>
                  <w:tcW w:w="667" w:type="pct"/>
                  <w:vAlign w:val="bottom"/>
                </w:tcPr>
                <w:p w14:paraId="173AFF1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2804.13 </w:t>
                  </w:r>
                </w:p>
              </w:tc>
              <w:tc>
                <w:tcPr>
                  <w:tcW w:w="602" w:type="pct"/>
                  <w:vAlign w:val="bottom"/>
                </w:tcPr>
                <w:p w14:paraId="2D528A0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20.69 </w:t>
                  </w:r>
                </w:p>
              </w:tc>
              <w:tc>
                <w:tcPr>
                  <w:tcW w:w="667" w:type="pct"/>
                  <w:vAlign w:val="bottom"/>
                </w:tcPr>
                <w:p w14:paraId="7AEBC00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2623.95 </w:t>
                  </w:r>
                </w:p>
              </w:tc>
              <w:tc>
                <w:tcPr>
                  <w:tcW w:w="602" w:type="pct"/>
                  <w:vAlign w:val="bottom"/>
                </w:tcPr>
                <w:p w14:paraId="203DC83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18.60 </w:t>
                  </w:r>
                </w:p>
              </w:tc>
              <w:tc>
                <w:tcPr>
                  <w:tcW w:w="755" w:type="pct"/>
                  <w:vAlign w:val="bottom"/>
                </w:tcPr>
                <w:p w14:paraId="3C678F7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1371.57 </w:t>
                  </w:r>
                </w:p>
              </w:tc>
              <w:tc>
                <w:tcPr>
                  <w:tcW w:w="673" w:type="pct"/>
                  <w:vAlign w:val="bottom"/>
                </w:tcPr>
                <w:p w14:paraId="37086F9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9.49 </w:t>
                  </w:r>
                </w:p>
              </w:tc>
            </w:tr>
            <w:tr w14:paraId="3F2C5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E15159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41</w:t>
                  </w:r>
                </w:p>
              </w:tc>
              <w:tc>
                <w:tcPr>
                  <w:tcW w:w="721" w:type="pct"/>
                  <w:vAlign w:val="center"/>
                </w:tcPr>
                <w:p w14:paraId="5C9D1F4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-10,1.5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212803E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3372.38 </w:t>
                  </w:r>
                </w:p>
              </w:tc>
              <w:tc>
                <w:tcPr>
                  <w:tcW w:w="602" w:type="pct"/>
                  <w:vAlign w:val="bottom"/>
                </w:tcPr>
                <w:p w14:paraId="04C65E1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24.11 </w:t>
                  </w:r>
                </w:p>
              </w:tc>
              <w:tc>
                <w:tcPr>
                  <w:tcW w:w="667" w:type="pct"/>
                  <w:vAlign w:val="bottom"/>
                </w:tcPr>
                <w:p w14:paraId="3B4755E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3058.24 </w:t>
                  </w:r>
                </w:p>
              </w:tc>
              <w:tc>
                <w:tcPr>
                  <w:tcW w:w="602" w:type="pct"/>
                  <w:vAlign w:val="bottom"/>
                </w:tcPr>
                <w:p w14:paraId="2307693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21.27 </w:t>
                  </w:r>
                </w:p>
              </w:tc>
              <w:tc>
                <w:tcPr>
                  <w:tcW w:w="755" w:type="pct"/>
                  <w:vAlign w:val="bottom"/>
                </w:tcPr>
                <w:p w14:paraId="34C529A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1425.56 </w:t>
                  </w:r>
                </w:p>
              </w:tc>
              <w:tc>
                <w:tcPr>
                  <w:tcW w:w="673" w:type="pct"/>
                  <w:vAlign w:val="bottom"/>
                </w:tcPr>
                <w:p w14:paraId="6716401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10.13 </w:t>
                  </w:r>
                </w:p>
              </w:tc>
            </w:tr>
            <w:tr w14:paraId="1ABC4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C1B0B1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42</w:t>
                  </w:r>
                </w:p>
              </w:tc>
              <w:tc>
                <w:tcPr>
                  <w:tcW w:w="721" w:type="pct"/>
                  <w:vAlign w:val="center"/>
                </w:tcPr>
                <w:p w14:paraId="20987C4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（-9,1.5）</w:t>
                  </w:r>
                </w:p>
              </w:tc>
              <w:tc>
                <w:tcPr>
                  <w:tcW w:w="667" w:type="pct"/>
                  <w:vAlign w:val="bottom"/>
                </w:tcPr>
                <w:p w14:paraId="2F578D7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4019.41 </w:t>
                  </w:r>
                </w:p>
              </w:tc>
              <w:tc>
                <w:tcPr>
                  <w:tcW w:w="602" w:type="pct"/>
                  <w:vAlign w:val="bottom"/>
                </w:tcPr>
                <w:p w14:paraId="6350DAE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28.17 </w:t>
                  </w:r>
                </w:p>
              </w:tc>
              <w:tc>
                <w:tcPr>
                  <w:tcW w:w="667" w:type="pct"/>
                  <w:vAlign w:val="bottom"/>
                </w:tcPr>
                <w:p w14:paraId="4585A27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3518.65 </w:t>
                  </w:r>
                </w:p>
              </w:tc>
              <w:tc>
                <w:tcPr>
                  <w:tcW w:w="602" w:type="pct"/>
                  <w:vAlign w:val="bottom"/>
                </w:tcPr>
                <w:p w14:paraId="330CBE7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24.31 </w:t>
                  </w:r>
                </w:p>
              </w:tc>
              <w:tc>
                <w:tcPr>
                  <w:tcW w:w="755" w:type="pct"/>
                  <w:vAlign w:val="bottom"/>
                </w:tcPr>
                <w:p w14:paraId="119015A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1460.73 </w:t>
                  </w:r>
                </w:p>
              </w:tc>
              <w:tc>
                <w:tcPr>
                  <w:tcW w:w="673" w:type="pct"/>
                  <w:vAlign w:val="bottom"/>
                </w:tcPr>
                <w:p w14:paraId="30FDCF0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10.77 </w:t>
                  </w:r>
                </w:p>
              </w:tc>
            </w:tr>
            <w:tr w14:paraId="0D73A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1" w:type="pct"/>
                  <w:vAlign w:val="center"/>
                </w:tcPr>
                <w:p w14:paraId="38E1618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43</w:t>
                  </w:r>
                </w:p>
              </w:tc>
              <w:tc>
                <w:tcPr>
                  <w:tcW w:w="721" w:type="pct"/>
                  <w:vAlign w:val="center"/>
                </w:tcPr>
                <w:p w14:paraId="6C82A2F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-8,1.5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50E2AB6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4699.88 </w:t>
                  </w:r>
                </w:p>
              </w:tc>
              <w:tc>
                <w:tcPr>
                  <w:tcW w:w="602" w:type="pct"/>
                  <w:vAlign w:val="bottom"/>
                </w:tcPr>
                <w:p w14:paraId="2D3BABE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32.83 </w:t>
                  </w:r>
                </w:p>
              </w:tc>
              <w:tc>
                <w:tcPr>
                  <w:tcW w:w="667" w:type="pct"/>
                  <w:vAlign w:val="bottom"/>
                </w:tcPr>
                <w:p w14:paraId="0F9DD56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3962.59 </w:t>
                  </w:r>
                </w:p>
              </w:tc>
              <w:tc>
                <w:tcPr>
                  <w:tcW w:w="602" w:type="pct"/>
                  <w:vAlign w:val="bottom"/>
                </w:tcPr>
                <w:p w14:paraId="17E07CF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27.65 </w:t>
                  </w:r>
                </w:p>
              </w:tc>
              <w:tc>
                <w:tcPr>
                  <w:tcW w:w="755" w:type="pct"/>
                  <w:vAlign w:val="bottom"/>
                </w:tcPr>
                <w:p w14:paraId="5910B50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1471.84 </w:t>
                  </w:r>
                </w:p>
              </w:tc>
              <w:tc>
                <w:tcPr>
                  <w:tcW w:w="673" w:type="pct"/>
                  <w:vAlign w:val="bottom"/>
                </w:tcPr>
                <w:p w14:paraId="50B3B7F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11.41 </w:t>
                  </w:r>
                </w:p>
              </w:tc>
            </w:tr>
            <w:tr w14:paraId="4F13B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89B6CE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44</w:t>
                  </w:r>
                </w:p>
              </w:tc>
              <w:tc>
                <w:tcPr>
                  <w:tcW w:w="721" w:type="pct"/>
                  <w:vAlign w:val="center"/>
                </w:tcPr>
                <w:p w14:paraId="0B7FC4F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（-7,1.5）</w:t>
                  </w:r>
                </w:p>
              </w:tc>
              <w:tc>
                <w:tcPr>
                  <w:tcW w:w="667" w:type="pct"/>
                  <w:vAlign w:val="bottom"/>
                </w:tcPr>
                <w:p w14:paraId="78D3F06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5316.04 </w:t>
                  </w:r>
                </w:p>
              </w:tc>
              <w:tc>
                <w:tcPr>
                  <w:tcW w:w="602" w:type="pct"/>
                  <w:vAlign w:val="bottom"/>
                </w:tcPr>
                <w:p w14:paraId="06D0EE8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37.90 </w:t>
                  </w:r>
                </w:p>
              </w:tc>
              <w:tc>
                <w:tcPr>
                  <w:tcW w:w="667" w:type="pct"/>
                  <w:vAlign w:val="bottom"/>
                </w:tcPr>
                <w:p w14:paraId="093CE20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4321.42 </w:t>
                  </w:r>
                </w:p>
              </w:tc>
              <w:tc>
                <w:tcPr>
                  <w:tcW w:w="602" w:type="pct"/>
                  <w:vAlign w:val="bottom"/>
                </w:tcPr>
                <w:p w14:paraId="33FB485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31.14 </w:t>
                  </w:r>
                </w:p>
              </w:tc>
              <w:tc>
                <w:tcPr>
                  <w:tcW w:w="755" w:type="pct"/>
                  <w:vAlign w:val="bottom"/>
                </w:tcPr>
                <w:p w14:paraId="0CC663B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1454.49 </w:t>
                  </w:r>
                </w:p>
              </w:tc>
              <w:tc>
                <w:tcPr>
                  <w:tcW w:w="673" w:type="pct"/>
                  <w:vAlign w:val="bottom"/>
                </w:tcPr>
                <w:p w14:paraId="5027F47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12.02 </w:t>
                  </w:r>
                </w:p>
              </w:tc>
            </w:tr>
            <w:tr w14:paraId="29AEA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4D172C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45</w:t>
                  </w:r>
                </w:p>
              </w:tc>
              <w:tc>
                <w:tcPr>
                  <w:tcW w:w="721" w:type="pct"/>
                  <w:vAlign w:val="center"/>
                </w:tcPr>
                <w:p w14:paraId="211B6B5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-6,1.5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797E150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5715.57 </w:t>
                  </w:r>
                </w:p>
              </w:tc>
              <w:tc>
                <w:tcPr>
                  <w:tcW w:w="602" w:type="pct"/>
                  <w:vAlign w:val="bottom"/>
                </w:tcPr>
                <w:p w14:paraId="66BFD5D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42.86 </w:t>
                  </w:r>
                </w:p>
              </w:tc>
              <w:tc>
                <w:tcPr>
                  <w:tcW w:w="667" w:type="pct"/>
                  <w:vAlign w:val="bottom"/>
                </w:tcPr>
                <w:p w14:paraId="6A4BBED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4508.26 </w:t>
                  </w:r>
                </w:p>
              </w:tc>
              <w:tc>
                <w:tcPr>
                  <w:tcW w:w="602" w:type="pct"/>
                  <w:vAlign w:val="bottom"/>
                </w:tcPr>
                <w:p w14:paraId="4728734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34.50 </w:t>
                  </w:r>
                </w:p>
              </w:tc>
              <w:tc>
                <w:tcPr>
                  <w:tcW w:w="755" w:type="pct"/>
                  <w:vAlign w:val="bottom"/>
                </w:tcPr>
                <w:p w14:paraId="1AAFE5A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1406.12 </w:t>
                  </w:r>
                </w:p>
              </w:tc>
              <w:tc>
                <w:tcPr>
                  <w:tcW w:w="673" w:type="pct"/>
                  <w:vAlign w:val="bottom"/>
                </w:tcPr>
                <w:p w14:paraId="1266E4F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12.59 </w:t>
                  </w:r>
                </w:p>
              </w:tc>
            </w:tr>
            <w:tr w14:paraId="7E8DE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336A3B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46</w:t>
                  </w:r>
                </w:p>
              </w:tc>
              <w:tc>
                <w:tcPr>
                  <w:tcW w:w="721" w:type="pct"/>
                  <w:vAlign w:val="center"/>
                </w:tcPr>
                <w:p w14:paraId="381F2DA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（-5,1.5）</w:t>
                  </w:r>
                </w:p>
              </w:tc>
              <w:tc>
                <w:tcPr>
                  <w:tcW w:w="667" w:type="pct"/>
                  <w:vAlign w:val="bottom"/>
                </w:tcPr>
                <w:p w14:paraId="3EC769B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5737.59 </w:t>
                  </w:r>
                </w:p>
              </w:tc>
              <w:tc>
                <w:tcPr>
                  <w:tcW w:w="602" w:type="pct"/>
                  <w:vAlign w:val="bottom"/>
                </w:tcPr>
                <w:p w14:paraId="47C8190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47.05 </w:t>
                  </w:r>
                </w:p>
              </w:tc>
              <w:tc>
                <w:tcPr>
                  <w:tcW w:w="667" w:type="pct"/>
                  <w:vAlign w:val="bottom"/>
                </w:tcPr>
                <w:p w14:paraId="3B8230F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4444.88 </w:t>
                  </w:r>
                </w:p>
              </w:tc>
              <w:tc>
                <w:tcPr>
                  <w:tcW w:w="602" w:type="pct"/>
                  <w:vAlign w:val="bottom"/>
                </w:tcPr>
                <w:p w14:paraId="7AA81F5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37.41 </w:t>
                  </w:r>
                </w:p>
              </w:tc>
              <w:tc>
                <w:tcPr>
                  <w:tcW w:w="755" w:type="pct"/>
                  <w:vAlign w:val="bottom"/>
                </w:tcPr>
                <w:p w14:paraId="5D07ABC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1327.19 </w:t>
                  </w:r>
                </w:p>
              </w:tc>
              <w:tc>
                <w:tcPr>
                  <w:tcW w:w="673" w:type="pct"/>
                  <w:vAlign w:val="bottom"/>
                </w:tcPr>
                <w:p w14:paraId="5E9A52F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13.11 </w:t>
                  </w:r>
                </w:p>
              </w:tc>
            </w:tr>
            <w:tr w14:paraId="13A7A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7E55ACE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47</w:t>
                  </w:r>
                </w:p>
              </w:tc>
              <w:tc>
                <w:tcPr>
                  <w:tcW w:w="721" w:type="pct"/>
                  <w:vAlign w:val="center"/>
                </w:tcPr>
                <w:p w14:paraId="5490FFD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-4,1.5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4C7A639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5306.11 </w:t>
                  </w:r>
                </w:p>
              </w:tc>
              <w:tc>
                <w:tcPr>
                  <w:tcW w:w="602" w:type="pct"/>
                  <w:vAlign w:val="bottom"/>
                </w:tcPr>
                <w:p w14:paraId="23D055A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49.90 </w:t>
                  </w:r>
                </w:p>
              </w:tc>
              <w:tc>
                <w:tcPr>
                  <w:tcW w:w="667" w:type="pct"/>
                  <w:vAlign w:val="bottom"/>
                </w:tcPr>
                <w:p w14:paraId="16BA42C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4100.02 </w:t>
                  </w:r>
                </w:p>
              </w:tc>
              <w:tc>
                <w:tcPr>
                  <w:tcW w:w="602" w:type="pct"/>
                  <w:vAlign w:val="bottom"/>
                </w:tcPr>
                <w:p w14:paraId="1D051DA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39.61 </w:t>
                  </w:r>
                </w:p>
              </w:tc>
              <w:tc>
                <w:tcPr>
                  <w:tcW w:w="755" w:type="pct"/>
                  <w:vAlign w:val="bottom"/>
                </w:tcPr>
                <w:p w14:paraId="3101598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1222.50 </w:t>
                  </w:r>
                </w:p>
              </w:tc>
              <w:tc>
                <w:tcPr>
                  <w:tcW w:w="673" w:type="pct"/>
                  <w:vAlign w:val="bottom"/>
                </w:tcPr>
                <w:p w14:paraId="75F16B9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13.55 </w:t>
                  </w:r>
                </w:p>
              </w:tc>
            </w:tr>
            <w:tr w14:paraId="2630A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3987AA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48</w:t>
                  </w:r>
                </w:p>
              </w:tc>
              <w:tc>
                <w:tcPr>
                  <w:tcW w:w="721" w:type="pct"/>
                  <w:vAlign w:val="center"/>
                </w:tcPr>
                <w:p w14:paraId="56747C3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（-3,1.5）</w:t>
                  </w:r>
                </w:p>
              </w:tc>
              <w:tc>
                <w:tcPr>
                  <w:tcW w:w="667" w:type="pct"/>
                  <w:vAlign w:val="bottom"/>
                </w:tcPr>
                <w:p w14:paraId="4315E04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4493.15 </w:t>
                  </w:r>
                </w:p>
              </w:tc>
              <w:tc>
                <w:tcPr>
                  <w:tcW w:w="602" w:type="pct"/>
                  <w:vAlign w:val="bottom"/>
                </w:tcPr>
                <w:p w14:paraId="75C7691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51.36 </w:t>
                  </w:r>
                </w:p>
              </w:tc>
              <w:tc>
                <w:tcPr>
                  <w:tcW w:w="667" w:type="pct"/>
                  <w:vAlign w:val="bottom"/>
                </w:tcPr>
                <w:p w14:paraId="29C59F5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3514.08 </w:t>
                  </w:r>
                </w:p>
              </w:tc>
              <w:tc>
                <w:tcPr>
                  <w:tcW w:w="602" w:type="pct"/>
                  <w:vAlign w:val="bottom"/>
                </w:tcPr>
                <w:p w14:paraId="28F179E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41.04 </w:t>
                  </w:r>
                </w:p>
              </w:tc>
              <w:tc>
                <w:tcPr>
                  <w:tcW w:w="755" w:type="pct"/>
                  <w:vAlign w:val="bottom"/>
                </w:tcPr>
                <w:p w14:paraId="67D4798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1102.65 </w:t>
                  </w:r>
                </w:p>
              </w:tc>
              <w:tc>
                <w:tcPr>
                  <w:tcW w:w="673" w:type="pct"/>
                  <w:vAlign w:val="bottom"/>
                </w:tcPr>
                <w:p w14:paraId="21D9D63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13.90 </w:t>
                  </w:r>
                </w:p>
              </w:tc>
            </w:tr>
            <w:tr w14:paraId="1EB96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45B559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49</w:t>
                  </w:r>
                </w:p>
              </w:tc>
              <w:tc>
                <w:tcPr>
                  <w:tcW w:w="721" w:type="pct"/>
                  <w:vAlign w:val="center"/>
                </w:tcPr>
                <w:p w14:paraId="742D246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w:t>
                  </w:r>
                  <w:r>
                    <w:rPr>
                      <w:rFonts w:hint="default" w:cs="Times New Roman"/>
                      <w:color w:val="000000" w:themeColor="text1"/>
                      <w:kern w:val="0"/>
                      <w:szCs w:val="21"/>
                      <w:lang w:eastAsia="zh-CN" w:bidi="ar"/>
                      <w14:textFill>
                        <w14:solidFill>
                          <w14:schemeClr w14:val="tx1"/>
                        </w14:solidFill>
                      </w14:textFill>
                    </w:rPr>
                    <w:t>-2,1.5</w:t>
                  </w:r>
                  <w:r>
                    <w:rPr>
                      <w:rFonts w:hint="eastAsia" w:cs="Times New Roman"/>
                      <w:color w:val="000000" w:themeColor="text1"/>
                      <w:kern w:val="0"/>
                      <w:szCs w:val="21"/>
                      <w:lang w:eastAsia="zh-CN" w:bidi="ar"/>
                      <w14:textFill>
                        <w14:solidFill>
                          <w14:schemeClr w14:val="tx1"/>
                        </w14:solidFill>
                      </w14:textFill>
                    </w:rPr>
                    <w:t>）</w:t>
                  </w:r>
                </w:p>
              </w:tc>
              <w:tc>
                <w:tcPr>
                  <w:tcW w:w="667" w:type="pct"/>
                  <w:vAlign w:val="bottom"/>
                </w:tcPr>
                <w:p w14:paraId="6419055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3490.20 </w:t>
                  </w:r>
                </w:p>
              </w:tc>
              <w:tc>
                <w:tcPr>
                  <w:tcW w:w="602" w:type="pct"/>
                  <w:vAlign w:val="bottom"/>
                </w:tcPr>
                <w:p w14:paraId="6062873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51.82 </w:t>
                  </w:r>
                </w:p>
              </w:tc>
              <w:tc>
                <w:tcPr>
                  <w:tcW w:w="667" w:type="pct"/>
                  <w:vAlign w:val="bottom"/>
                </w:tcPr>
                <w:p w14:paraId="1DD9743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2798.18 </w:t>
                  </w:r>
                </w:p>
              </w:tc>
              <w:tc>
                <w:tcPr>
                  <w:tcW w:w="602" w:type="pct"/>
                  <w:vAlign w:val="bottom"/>
                </w:tcPr>
                <w:p w14:paraId="66D1716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41.83 </w:t>
                  </w:r>
                </w:p>
              </w:tc>
              <w:tc>
                <w:tcPr>
                  <w:tcW w:w="755" w:type="pct"/>
                  <w:vAlign w:val="bottom"/>
                </w:tcPr>
                <w:p w14:paraId="520ACB1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985.59 </w:t>
                  </w:r>
                </w:p>
              </w:tc>
              <w:tc>
                <w:tcPr>
                  <w:tcW w:w="673" w:type="pct"/>
                  <w:vAlign w:val="bottom"/>
                </w:tcPr>
                <w:p w14:paraId="19633E6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14.16 </w:t>
                  </w:r>
                </w:p>
              </w:tc>
            </w:tr>
            <w:tr w14:paraId="2F95B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6F8EDF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50</w:t>
                  </w:r>
                </w:p>
              </w:tc>
              <w:tc>
                <w:tcPr>
                  <w:tcW w:w="721" w:type="pct"/>
                  <w:vAlign w:val="center"/>
                </w:tcPr>
                <w:p w14:paraId="04C4F99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（-1,1.5）</w:t>
                  </w:r>
                </w:p>
              </w:tc>
              <w:tc>
                <w:tcPr>
                  <w:tcW w:w="667" w:type="pct"/>
                  <w:vAlign w:val="bottom"/>
                </w:tcPr>
                <w:p w14:paraId="5CA8824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2571.21 </w:t>
                  </w:r>
                </w:p>
              </w:tc>
              <w:tc>
                <w:tcPr>
                  <w:tcW w:w="602" w:type="pct"/>
                  <w:vAlign w:val="bottom"/>
                </w:tcPr>
                <w:p w14:paraId="46C03E7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51.83 </w:t>
                  </w:r>
                </w:p>
              </w:tc>
              <w:tc>
                <w:tcPr>
                  <w:tcW w:w="667" w:type="pct"/>
                  <w:vAlign w:val="bottom"/>
                </w:tcPr>
                <w:p w14:paraId="6080593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2140.89 </w:t>
                  </w:r>
                </w:p>
              </w:tc>
              <w:tc>
                <w:tcPr>
                  <w:tcW w:w="602" w:type="pct"/>
                  <w:vAlign w:val="bottom"/>
                </w:tcPr>
                <w:p w14:paraId="2139F27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42.19 </w:t>
                  </w:r>
                </w:p>
              </w:tc>
              <w:tc>
                <w:tcPr>
                  <w:tcW w:w="755" w:type="pct"/>
                  <w:vAlign w:val="bottom"/>
                </w:tcPr>
                <w:p w14:paraId="49255F9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896.77 </w:t>
                  </w:r>
                </w:p>
              </w:tc>
              <w:tc>
                <w:tcPr>
                  <w:tcW w:w="673" w:type="pct"/>
                  <w:vAlign w:val="bottom"/>
                </w:tcPr>
                <w:p w14:paraId="38ACE26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14.32 </w:t>
                  </w:r>
                </w:p>
              </w:tc>
            </w:tr>
            <w:tr w14:paraId="7C463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F352ED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51</w:t>
                  </w:r>
                </w:p>
              </w:tc>
              <w:tc>
                <w:tcPr>
                  <w:tcW w:w="721" w:type="pct"/>
                  <w:vAlign w:val="center"/>
                </w:tcPr>
                <w:p w14:paraId="0188BB7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（0,1.5）</w:t>
                  </w:r>
                </w:p>
              </w:tc>
              <w:tc>
                <w:tcPr>
                  <w:tcW w:w="667" w:type="pct"/>
                  <w:vAlign w:val="bottom"/>
                </w:tcPr>
                <w:p w14:paraId="6147D71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2157.64 </w:t>
                  </w:r>
                </w:p>
              </w:tc>
              <w:tc>
                <w:tcPr>
                  <w:tcW w:w="602" w:type="pct"/>
                  <w:vAlign w:val="bottom"/>
                </w:tcPr>
                <w:p w14:paraId="4BABDF8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51.79 </w:t>
                  </w:r>
                </w:p>
              </w:tc>
              <w:tc>
                <w:tcPr>
                  <w:tcW w:w="667" w:type="pct"/>
                  <w:vAlign w:val="bottom"/>
                </w:tcPr>
                <w:p w14:paraId="59E149D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1848.35 </w:t>
                  </w:r>
                </w:p>
              </w:tc>
              <w:tc>
                <w:tcPr>
                  <w:tcW w:w="602" w:type="pct"/>
                  <w:vAlign w:val="bottom"/>
                </w:tcPr>
                <w:p w14:paraId="76D4767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42.28 </w:t>
                  </w:r>
                </w:p>
              </w:tc>
              <w:tc>
                <w:tcPr>
                  <w:tcW w:w="755" w:type="pct"/>
                  <w:vAlign w:val="bottom"/>
                </w:tcPr>
                <w:p w14:paraId="217BBAE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863.01 </w:t>
                  </w:r>
                </w:p>
              </w:tc>
              <w:tc>
                <w:tcPr>
                  <w:tcW w:w="673" w:type="pct"/>
                  <w:vAlign w:val="bottom"/>
                </w:tcPr>
                <w:p w14:paraId="58D692D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14.38 </w:t>
                  </w:r>
                </w:p>
              </w:tc>
            </w:tr>
            <w:tr w14:paraId="2E5F2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274CFA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52</w:t>
                  </w:r>
                </w:p>
              </w:tc>
              <w:tc>
                <w:tcPr>
                  <w:tcW w:w="721" w:type="pct"/>
                  <w:vAlign w:val="center"/>
                </w:tcPr>
                <w:p w14:paraId="1009898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（1,1.5）</w:t>
                  </w:r>
                </w:p>
              </w:tc>
              <w:tc>
                <w:tcPr>
                  <w:tcW w:w="667" w:type="pct"/>
                  <w:vAlign w:val="bottom"/>
                </w:tcPr>
                <w:p w14:paraId="547BD83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2571.21 </w:t>
                  </w:r>
                </w:p>
              </w:tc>
              <w:tc>
                <w:tcPr>
                  <w:tcW w:w="602" w:type="pct"/>
                  <w:vAlign w:val="bottom"/>
                </w:tcPr>
                <w:p w14:paraId="191CE76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51.83 </w:t>
                  </w:r>
                </w:p>
              </w:tc>
              <w:tc>
                <w:tcPr>
                  <w:tcW w:w="667" w:type="pct"/>
                  <w:vAlign w:val="bottom"/>
                </w:tcPr>
                <w:p w14:paraId="197E29B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2140.89 </w:t>
                  </w:r>
                </w:p>
              </w:tc>
              <w:tc>
                <w:tcPr>
                  <w:tcW w:w="602" w:type="pct"/>
                  <w:vAlign w:val="bottom"/>
                </w:tcPr>
                <w:p w14:paraId="56021AC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42.19 </w:t>
                  </w:r>
                </w:p>
              </w:tc>
              <w:tc>
                <w:tcPr>
                  <w:tcW w:w="755" w:type="pct"/>
                  <w:vAlign w:val="bottom"/>
                </w:tcPr>
                <w:p w14:paraId="3A69C69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896.77 </w:t>
                  </w:r>
                </w:p>
              </w:tc>
              <w:tc>
                <w:tcPr>
                  <w:tcW w:w="673" w:type="pct"/>
                  <w:vAlign w:val="bottom"/>
                </w:tcPr>
                <w:p w14:paraId="0746BD6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14.32 </w:t>
                  </w:r>
                </w:p>
              </w:tc>
            </w:tr>
            <w:tr w14:paraId="0F2F0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32C8135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53</w:t>
                  </w:r>
                </w:p>
              </w:tc>
              <w:tc>
                <w:tcPr>
                  <w:tcW w:w="721" w:type="pct"/>
                  <w:vAlign w:val="center"/>
                </w:tcPr>
                <w:p w14:paraId="137B6A7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（2,1.5）</w:t>
                  </w:r>
                </w:p>
              </w:tc>
              <w:tc>
                <w:tcPr>
                  <w:tcW w:w="667" w:type="pct"/>
                  <w:vAlign w:val="bottom"/>
                </w:tcPr>
                <w:p w14:paraId="516A903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3490.20 </w:t>
                  </w:r>
                </w:p>
              </w:tc>
              <w:tc>
                <w:tcPr>
                  <w:tcW w:w="602" w:type="pct"/>
                  <w:vAlign w:val="bottom"/>
                </w:tcPr>
                <w:p w14:paraId="7DE8302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51.82 </w:t>
                  </w:r>
                </w:p>
              </w:tc>
              <w:tc>
                <w:tcPr>
                  <w:tcW w:w="667" w:type="pct"/>
                  <w:vAlign w:val="bottom"/>
                </w:tcPr>
                <w:p w14:paraId="6FEEE96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2798.18 </w:t>
                  </w:r>
                </w:p>
              </w:tc>
              <w:tc>
                <w:tcPr>
                  <w:tcW w:w="602" w:type="pct"/>
                  <w:vAlign w:val="bottom"/>
                </w:tcPr>
                <w:p w14:paraId="25ADF48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41.83 </w:t>
                  </w:r>
                </w:p>
              </w:tc>
              <w:tc>
                <w:tcPr>
                  <w:tcW w:w="755" w:type="pct"/>
                  <w:vAlign w:val="bottom"/>
                </w:tcPr>
                <w:p w14:paraId="37C7CF8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985.59 </w:t>
                  </w:r>
                </w:p>
              </w:tc>
              <w:tc>
                <w:tcPr>
                  <w:tcW w:w="673" w:type="pct"/>
                  <w:vAlign w:val="bottom"/>
                </w:tcPr>
                <w:p w14:paraId="0A96803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14.16 </w:t>
                  </w:r>
                </w:p>
              </w:tc>
            </w:tr>
            <w:tr w14:paraId="73488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330B71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54</w:t>
                  </w:r>
                </w:p>
              </w:tc>
              <w:tc>
                <w:tcPr>
                  <w:tcW w:w="721" w:type="pct"/>
                  <w:vAlign w:val="center"/>
                </w:tcPr>
                <w:p w14:paraId="1D4BD1F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（3,1.5）</w:t>
                  </w:r>
                </w:p>
              </w:tc>
              <w:tc>
                <w:tcPr>
                  <w:tcW w:w="667" w:type="pct"/>
                  <w:vAlign w:val="bottom"/>
                </w:tcPr>
                <w:p w14:paraId="63166FE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4493.15 </w:t>
                  </w:r>
                </w:p>
              </w:tc>
              <w:tc>
                <w:tcPr>
                  <w:tcW w:w="602" w:type="pct"/>
                  <w:vAlign w:val="bottom"/>
                </w:tcPr>
                <w:p w14:paraId="0BE686E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51.36 </w:t>
                  </w:r>
                </w:p>
              </w:tc>
              <w:tc>
                <w:tcPr>
                  <w:tcW w:w="667" w:type="pct"/>
                  <w:vAlign w:val="bottom"/>
                </w:tcPr>
                <w:p w14:paraId="72255F4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3514.08 </w:t>
                  </w:r>
                </w:p>
              </w:tc>
              <w:tc>
                <w:tcPr>
                  <w:tcW w:w="602" w:type="pct"/>
                  <w:vAlign w:val="bottom"/>
                </w:tcPr>
                <w:p w14:paraId="59AB482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41.04 </w:t>
                  </w:r>
                </w:p>
              </w:tc>
              <w:tc>
                <w:tcPr>
                  <w:tcW w:w="755" w:type="pct"/>
                  <w:vAlign w:val="bottom"/>
                </w:tcPr>
                <w:p w14:paraId="4AA8823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1102.65 </w:t>
                  </w:r>
                </w:p>
              </w:tc>
              <w:tc>
                <w:tcPr>
                  <w:tcW w:w="673" w:type="pct"/>
                  <w:vAlign w:val="bottom"/>
                </w:tcPr>
                <w:p w14:paraId="5C858E8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13.90 </w:t>
                  </w:r>
                </w:p>
              </w:tc>
            </w:tr>
            <w:tr w14:paraId="3478D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3B38626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55</w:t>
                  </w:r>
                </w:p>
              </w:tc>
              <w:tc>
                <w:tcPr>
                  <w:tcW w:w="721" w:type="pct"/>
                  <w:vAlign w:val="center"/>
                </w:tcPr>
                <w:p w14:paraId="263B04E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（4,1.5）</w:t>
                  </w:r>
                </w:p>
              </w:tc>
              <w:tc>
                <w:tcPr>
                  <w:tcW w:w="667" w:type="pct"/>
                  <w:vAlign w:val="bottom"/>
                </w:tcPr>
                <w:p w14:paraId="33AFC56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5306.11 </w:t>
                  </w:r>
                </w:p>
              </w:tc>
              <w:tc>
                <w:tcPr>
                  <w:tcW w:w="602" w:type="pct"/>
                  <w:vAlign w:val="bottom"/>
                </w:tcPr>
                <w:p w14:paraId="5770C53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49.90 </w:t>
                  </w:r>
                </w:p>
              </w:tc>
              <w:tc>
                <w:tcPr>
                  <w:tcW w:w="667" w:type="pct"/>
                  <w:vAlign w:val="bottom"/>
                </w:tcPr>
                <w:p w14:paraId="76ADB1D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4100.01 </w:t>
                  </w:r>
                </w:p>
              </w:tc>
              <w:tc>
                <w:tcPr>
                  <w:tcW w:w="602" w:type="pct"/>
                  <w:vAlign w:val="bottom"/>
                </w:tcPr>
                <w:p w14:paraId="7856A80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39.61 </w:t>
                  </w:r>
                </w:p>
              </w:tc>
              <w:tc>
                <w:tcPr>
                  <w:tcW w:w="755" w:type="pct"/>
                  <w:vAlign w:val="bottom"/>
                </w:tcPr>
                <w:p w14:paraId="11D3C0A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1222.50 </w:t>
                  </w:r>
                </w:p>
              </w:tc>
              <w:tc>
                <w:tcPr>
                  <w:tcW w:w="673" w:type="pct"/>
                  <w:vAlign w:val="bottom"/>
                </w:tcPr>
                <w:p w14:paraId="4698032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13.55 </w:t>
                  </w:r>
                </w:p>
              </w:tc>
            </w:tr>
            <w:tr w14:paraId="33B09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7E7EF95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56</w:t>
                  </w:r>
                </w:p>
              </w:tc>
              <w:tc>
                <w:tcPr>
                  <w:tcW w:w="721" w:type="pct"/>
                  <w:vAlign w:val="center"/>
                </w:tcPr>
                <w:p w14:paraId="64BB3B2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（5,1.5）</w:t>
                  </w:r>
                </w:p>
              </w:tc>
              <w:tc>
                <w:tcPr>
                  <w:tcW w:w="667" w:type="pct"/>
                  <w:vAlign w:val="bottom"/>
                </w:tcPr>
                <w:p w14:paraId="724BA8E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5737.59 </w:t>
                  </w:r>
                </w:p>
              </w:tc>
              <w:tc>
                <w:tcPr>
                  <w:tcW w:w="602" w:type="pct"/>
                  <w:vAlign w:val="bottom"/>
                </w:tcPr>
                <w:p w14:paraId="3949D62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47.05 </w:t>
                  </w:r>
                </w:p>
              </w:tc>
              <w:tc>
                <w:tcPr>
                  <w:tcW w:w="667" w:type="pct"/>
                  <w:vAlign w:val="bottom"/>
                </w:tcPr>
                <w:p w14:paraId="25E6142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4444.88 </w:t>
                  </w:r>
                </w:p>
              </w:tc>
              <w:tc>
                <w:tcPr>
                  <w:tcW w:w="602" w:type="pct"/>
                  <w:vAlign w:val="bottom"/>
                </w:tcPr>
                <w:p w14:paraId="42C56E3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37.41 </w:t>
                  </w:r>
                </w:p>
              </w:tc>
              <w:tc>
                <w:tcPr>
                  <w:tcW w:w="755" w:type="pct"/>
                  <w:vAlign w:val="bottom"/>
                </w:tcPr>
                <w:p w14:paraId="5836D35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1327.19 </w:t>
                  </w:r>
                </w:p>
              </w:tc>
              <w:tc>
                <w:tcPr>
                  <w:tcW w:w="673" w:type="pct"/>
                  <w:vAlign w:val="bottom"/>
                </w:tcPr>
                <w:p w14:paraId="5F28145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13.11 </w:t>
                  </w:r>
                </w:p>
              </w:tc>
            </w:tr>
            <w:tr w14:paraId="22F1D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DF17A7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57</w:t>
                  </w:r>
                </w:p>
              </w:tc>
              <w:tc>
                <w:tcPr>
                  <w:tcW w:w="721" w:type="pct"/>
                  <w:vAlign w:val="center"/>
                </w:tcPr>
                <w:p w14:paraId="4537335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（6,1.5）</w:t>
                  </w:r>
                </w:p>
              </w:tc>
              <w:tc>
                <w:tcPr>
                  <w:tcW w:w="667" w:type="pct"/>
                  <w:vAlign w:val="bottom"/>
                </w:tcPr>
                <w:p w14:paraId="28B05B3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5715.57 </w:t>
                  </w:r>
                </w:p>
              </w:tc>
              <w:tc>
                <w:tcPr>
                  <w:tcW w:w="602" w:type="pct"/>
                  <w:vAlign w:val="bottom"/>
                </w:tcPr>
                <w:p w14:paraId="631DBC2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42.86 </w:t>
                  </w:r>
                </w:p>
              </w:tc>
              <w:tc>
                <w:tcPr>
                  <w:tcW w:w="667" w:type="pct"/>
                  <w:vAlign w:val="bottom"/>
                </w:tcPr>
                <w:p w14:paraId="1564631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4508.26 </w:t>
                  </w:r>
                </w:p>
              </w:tc>
              <w:tc>
                <w:tcPr>
                  <w:tcW w:w="602" w:type="pct"/>
                  <w:vAlign w:val="bottom"/>
                </w:tcPr>
                <w:p w14:paraId="02CE192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34.50 </w:t>
                  </w:r>
                </w:p>
              </w:tc>
              <w:tc>
                <w:tcPr>
                  <w:tcW w:w="755" w:type="pct"/>
                  <w:vAlign w:val="bottom"/>
                </w:tcPr>
                <w:p w14:paraId="71020E0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1406.12 </w:t>
                  </w:r>
                </w:p>
              </w:tc>
              <w:tc>
                <w:tcPr>
                  <w:tcW w:w="673" w:type="pct"/>
                  <w:vAlign w:val="bottom"/>
                </w:tcPr>
                <w:p w14:paraId="3A2559B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12.59 </w:t>
                  </w:r>
                </w:p>
              </w:tc>
            </w:tr>
            <w:tr w14:paraId="512DB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868852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58</w:t>
                  </w:r>
                </w:p>
              </w:tc>
              <w:tc>
                <w:tcPr>
                  <w:tcW w:w="721" w:type="pct"/>
                  <w:vAlign w:val="center"/>
                </w:tcPr>
                <w:p w14:paraId="72C700E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（7,1.5）</w:t>
                  </w:r>
                </w:p>
              </w:tc>
              <w:tc>
                <w:tcPr>
                  <w:tcW w:w="667" w:type="pct"/>
                  <w:vAlign w:val="bottom"/>
                </w:tcPr>
                <w:p w14:paraId="4F7C581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5316.04 </w:t>
                  </w:r>
                </w:p>
              </w:tc>
              <w:tc>
                <w:tcPr>
                  <w:tcW w:w="602" w:type="pct"/>
                  <w:vAlign w:val="bottom"/>
                </w:tcPr>
                <w:p w14:paraId="558831A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37.90 </w:t>
                  </w:r>
                </w:p>
              </w:tc>
              <w:tc>
                <w:tcPr>
                  <w:tcW w:w="667" w:type="pct"/>
                  <w:vAlign w:val="bottom"/>
                </w:tcPr>
                <w:p w14:paraId="5403BFD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4321.42 </w:t>
                  </w:r>
                </w:p>
              </w:tc>
              <w:tc>
                <w:tcPr>
                  <w:tcW w:w="602" w:type="pct"/>
                  <w:vAlign w:val="bottom"/>
                </w:tcPr>
                <w:p w14:paraId="31F366D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31.14 </w:t>
                  </w:r>
                </w:p>
              </w:tc>
              <w:tc>
                <w:tcPr>
                  <w:tcW w:w="755" w:type="pct"/>
                  <w:vAlign w:val="bottom"/>
                </w:tcPr>
                <w:p w14:paraId="4E8A6DB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1454.49 </w:t>
                  </w:r>
                </w:p>
              </w:tc>
              <w:tc>
                <w:tcPr>
                  <w:tcW w:w="673" w:type="pct"/>
                  <w:vAlign w:val="bottom"/>
                </w:tcPr>
                <w:p w14:paraId="7B06D1C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12.02 </w:t>
                  </w:r>
                </w:p>
              </w:tc>
            </w:tr>
            <w:tr w14:paraId="0B871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BC6516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59</w:t>
                  </w:r>
                </w:p>
              </w:tc>
              <w:tc>
                <w:tcPr>
                  <w:tcW w:w="721" w:type="pct"/>
                  <w:vAlign w:val="center"/>
                </w:tcPr>
                <w:p w14:paraId="388E7ED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（8,1.5）</w:t>
                  </w:r>
                </w:p>
              </w:tc>
              <w:tc>
                <w:tcPr>
                  <w:tcW w:w="667" w:type="pct"/>
                  <w:vAlign w:val="bottom"/>
                </w:tcPr>
                <w:p w14:paraId="2C6318E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4699.87 </w:t>
                  </w:r>
                </w:p>
              </w:tc>
              <w:tc>
                <w:tcPr>
                  <w:tcW w:w="602" w:type="pct"/>
                  <w:vAlign w:val="bottom"/>
                </w:tcPr>
                <w:p w14:paraId="29DFC45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32.83 </w:t>
                  </w:r>
                </w:p>
              </w:tc>
              <w:tc>
                <w:tcPr>
                  <w:tcW w:w="667" w:type="pct"/>
                  <w:vAlign w:val="bottom"/>
                </w:tcPr>
                <w:p w14:paraId="35DDCB6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3962.59 </w:t>
                  </w:r>
                </w:p>
              </w:tc>
              <w:tc>
                <w:tcPr>
                  <w:tcW w:w="602" w:type="pct"/>
                  <w:vAlign w:val="bottom"/>
                </w:tcPr>
                <w:p w14:paraId="1DEEE07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27.65 </w:t>
                  </w:r>
                </w:p>
              </w:tc>
              <w:tc>
                <w:tcPr>
                  <w:tcW w:w="755" w:type="pct"/>
                  <w:vAlign w:val="bottom"/>
                </w:tcPr>
                <w:p w14:paraId="3B57555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1471.84 </w:t>
                  </w:r>
                </w:p>
              </w:tc>
              <w:tc>
                <w:tcPr>
                  <w:tcW w:w="673" w:type="pct"/>
                  <w:vAlign w:val="bottom"/>
                </w:tcPr>
                <w:p w14:paraId="777890D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11.41 </w:t>
                  </w:r>
                </w:p>
              </w:tc>
            </w:tr>
            <w:tr w14:paraId="7E4C5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08100D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60</w:t>
                  </w:r>
                </w:p>
              </w:tc>
              <w:tc>
                <w:tcPr>
                  <w:tcW w:w="721" w:type="pct"/>
                  <w:vAlign w:val="center"/>
                </w:tcPr>
                <w:p w14:paraId="0C60062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（9,1.5）</w:t>
                  </w:r>
                </w:p>
              </w:tc>
              <w:tc>
                <w:tcPr>
                  <w:tcW w:w="667" w:type="pct"/>
                  <w:vAlign w:val="bottom"/>
                </w:tcPr>
                <w:p w14:paraId="4B99F5B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4019.41 </w:t>
                  </w:r>
                </w:p>
              </w:tc>
              <w:tc>
                <w:tcPr>
                  <w:tcW w:w="602" w:type="pct"/>
                  <w:vAlign w:val="bottom"/>
                </w:tcPr>
                <w:p w14:paraId="1AF9A00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28.17 </w:t>
                  </w:r>
                </w:p>
              </w:tc>
              <w:tc>
                <w:tcPr>
                  <w:tcW w:w="667" w:type="pct"/>
                  <w:vAlign w:val="bottom"/>
                </w:tcPr>
                <w:p w14:paraId="6E200DA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3518.65 </w:t>
                  </w:r>
                </w:p>
              </w:tc>
              <w:tc>
                <w:tcPr>
                  <w:tcW w:w="602" w:type="pct"/>
                  <w:vAlign w:val="bottom"/>
                </w:tcPr>
                <w:p w14:paraId="21CA519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24.31 </w:t>
                  </w:r>
                </w:p>
              </w:tc>
              <w:tc>
                <w:tcPr>
                  <w:tcW w:w="755" w:type="pct"/>
                  <w:vAlign w:val="bottom"/>
                </w:tcPr>
                <w:p w14:paraId="5235952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1460.73 </w:t>
                  </w:r>
                </w:p>
              </w:tc>
              <w:tc>
                <w:tcPr>
                  <w:tcW w:w="673" w:type="pct"/>
                  <w:vAlign w:val="bottom"/>
                </w:tcPr>
                <w:p w14:paraId="3198F29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10.77 </w:t>
                  </w:r>
                </w:p>
              </w:tc>
            </w:tr>
            <w:tr w14:paraId="50D86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587D39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61</w:t>
                  </w:r>
                </w:p>
              </w:tc>
              <w:tc>
                <w:tcPr>
                  <w:tcW w:w="721" w:type="pct"/>
                  <w:vAlign w:val="center"/>
                </w:tcPr>
                <w:p w14:paraId="7D15247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（10,1.5）</w:t>
                  </w:r>
                </w:p>
              </w:tc>
              <w:tc>
                <w:tcPr>
                  <w:tcW w:w="667" w:type="pct"/>
                  <w:vAlign w:val="bottom"/>
                </w:tcPr>
                <w:p w14:paraId="67F015E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3372.38 </w:t>
                  </w:r>
                </w:p>
              </w:tc>
              <w:tc>
                <w:tcPr>
                  <w:tcW w:w="602" w:type="pct"/>
                  <w:vAlign w:val="bottom"/>
                </w:tcPr>
                <w:p w14:paraId="4224070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24.11 </w:t>
                  </w:r>
                </w:p>
              </w:tc>
              <w:tc>
                <w:tcPr>
                  <w:tcW w:w="667" w:type="pct"/>
                  <w:vAlign w:val="bottom"/>
                </w:tcPr>
                <w:p w14:paraId="02A6C0B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3058.24 </w:t>
                  </w:r>
                </w:p>
              </w:tc>
              <w:tc>
                <w:tcPr>
                  <w:tcW w:w="602" w:type="pct"/>
                  <w:vAlign w:val="bottom"/>
                </w:tcPr>
                <w:p w14:paraId="0AB87A2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21.27 </w:t>
                  </w:r>
                </w:p>
              </w:tc>
              <w:tc>
                <w:tcPr>
                  <w:tcW w:w="755" w:type="pct"/>
                  <w:vAlign w:val="bottom"/>
                </w:tcPr>
                <w:p w14:paraId="014A533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1425.56 </w:t>
                  </w:r>
                </w:p>
              </w:tc>
              <w:tc>
                <w:tcPr>
                  <w:tcW w:w="673" w:type="pct"/>
                  <w:vAlign w:val="bottom"/>
                </w:tcPr>
                <w:p w14:paraId="22F5029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10.13 </w:t>
                  </w:r>
                </w:p>
              </w:tc>
            </w:tr>
            <w:tr w14:paraId="4BA27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13CB1D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62</w:t>
                  </w:r>
                </w:p>
              </w:tc>
              <w:tc>
                <w:tcPr>
                  <w:tcW w:w="721" w:type="pct"/>
                  <w:vAlign w:val="center"/>
                </w:tcPr>
                <w:p w14:paraId="45BC139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（11,1.5）</w:t>
                  </w:r>
                </w:p>
              </w:tc>
              <w:tc>
                <w:tcPr>
                  <w:tcW w:w="667" w:type="pct"/>
                  <w:vAlign w:val="bottom"/>
                </w:tcPr>
                <w:p w14:paraId="66690D7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2804.13 </w:t>
                  </w:r>
                </w:p>
              </w:tc>
              <w:tc>
                <w:tcPr>
                  <w:tcW w:w="602" w:type="pct"/>
                  <w:vAlign w:val="bottom"/>
                </w:tcPr>
                <w:p w14:paraId="3FECCD9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20.69 </w:t>
                  </w:r>
                </w:p>
              </w:tc>
              <w:tc>
                <w:tcPr>
                  <w:tcW w:w="667" w:type="pct"/>
                  <w:vAlign w:val="bottom"/>
                </w:tcPr>
                <w:p w14:paraId="12EA9D4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2623.95 </w:t>
                  </w:r>
                </w:p>
              </w:tc>
              <w:tc>
                <w:tcPr>
                  <w:tcW w:w="602" w:type="pct"/>
                  <w:vAlign w:val="bottom"/>
                </w:tcPr>
                <w:p w14:paraId="4D9A638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18.60 </w:t>
                  </w:r>
                </w:p>
              </w:tc>
              <w:tc>
                <w:tcPr>
                  <w:tcW w:w="755" w:type="pct"/>
                  <w:vAlign w:val="bottom"/>
                </w:tcPr>
                <w:p w14:paraId="1E71B66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1371.57 </w:t>
                  </w:r>
                </w:p>
              </w:tc>
              <w:tc>
                <w:tcPr>
                  <w:tcW w:w="673" w:type="pct"/>
                  <w:vAlign w:val="bottom"/>
                </w:tcPr>
                <w:p w14:paraId="790008B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9.49 </w:t>
                  </w:r>
                </w:p>
              </w:tc>
            </w:tr>
            <w:tr w14:paraId="49624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DADAA1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63</w:t>
                  </w:r>
                </w:p>
              </w:tc>
              <w:tc>
                <w:tcPr>
                  <w:tcW w:w="721" w:type="pct"/>
                  <w:vAlign w:val="center"/>
                </w:tcPr>
                <w:p w14:paraId="318F7DE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（12,1.5）</w:t>
                  </w:r>
                </w:p>
              </w:tc>
              <w:tc>
                <w:tcPr>
                  <w:tcW w:w="667" w:type="pct"/>
                  <w:vAlign w:val="bottom"/>
                </w:tcPr>
                <w:p w14:paraId="077726C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2326.47 </w:t>
                  </w:r>
                </w:p>
              </w:tc>
              <w:tc>
                <w:tcPr>
                  <w:tcW w:w="602" w:type="pct"/>
                  <w:vAlign w:val="bottom"/>
                </w:tcPr>
                <w:p w14:paraId="13B4452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17.86 </w:t>
                  </w:r>
                </w:p>
              </w:tc>
              <w:tc>
                <w:tcPr>
                  <w:tcW w:w="667" w:type="pct"/>
                  <w:vAlign w:val="bottom"/>
                </w:tcPr>
                <w:p w14:paraId="137E411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2236.50 </w:t>
                  </w:r>
                </w:p>
              </w:tc>
              <w:tc>
                <w:tcPr>
                  <w:tcW w:w="602" w:type="pct"/>
                  <w:vAlign w:val="bottom"/>
                </w:tcPr>
                <w:p w14:paraId="3FE061A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16.30 </w:t>
                  </w:r>
                </w:p>
              </w:tc>
              <w:tc>
                <w:tcPr>
                  <w:tcW w:w="755" w:type="pct"/>
                  <w:vAlign w:val="bottom"/>
                </w:tcPr>
                <w:p w14:paraId="033FF54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1304.09 </w:t>
                  </w:r>
                </w:p>
              </w:tc>
              <w:tc>
                <w:tcPr>
                  <w:tcW w:w="673" w:type="pct"/>
                  <w:vAlign w:val="bottom"/>
                </w:tcPr>
                <w:p w14:paraId="491F66F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8.87 </w:t>
                  </w:r>
                </w:p>
              </w:tc>
            </w:tr>
            <w:tr w14:paraId="077D7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F8FF6F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64</w:t>
                  </w:r>
                </w:p>
              </w:tc>
              <w:tc>
                <w:tcPr>
                  <w:tcW w:w="721" w:type="pct"/>
                  <w:vAlign w:val="center"/>
                </w:tcPr>
                <w:p w14:paraId="03F4AE7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（13,1.5）</w:t>
                  </w:r>
                </w:p>
              </w:tc>
              <w:tc>
                <w:tcPr>
                  <w:tcW w:w="667" w:type="pct"/>
                  <w:vAlign w:val="bottom"/>
                </w:tcPr>
                <w:p w14:paraId="3527B6A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1934.37 </w:t>
                  </w:r>
                </w:p>
              </w:tc>
              <w:tc>
                <w:tcPr>
                  <w:tcW w:w="602" w:type="pct"/>
                  <w:vAlign w:val="bottom"/>
                </w:tcPr>
                <w:p w14:paraId="2136A52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15.51 </w:t>
                  </w:r>
                </w:p>
              </w:tc>
              <w:tc>
                <w:tcPr>
                  <w:tcW w:w="667" w:type="pct"/>
                  <w:vAlign w:val="bottom"/>
                </w:tcPr>
                <w:p w14:paraId="1FFB58E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1902.25 </w:t>
                  </w:r>
                </w:p>
              </w:tc>
              <w:tc>
                <w:tcPr>
                  <w:tcW w:w="602" w:type="pct"/>
                  <w:vAlign w:val="bottom"/>
                </w:tcPr>
                <w:p w14:paraId="2A07D10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14.34 </w:t>
                  </w:r>
                </w:p>
              </w:tc>
              <w:tc>
                <w:tcPr>
                  <w:tcW w:w="755" w:type="pct"/>
                  <w:vAlign w:val="bottom"/>
                </w:tcPr>
                <w:p w14:paraId="0A53D8C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1227.99 </w:t>
                  </w:r>
                </w:p>
              </w:tc>
              <w:tc>
                <w:tcPr>
                  <w:tcW w:w="673" w:type="pct"/>
                  <w:vAlign w:val="bottom"/>
                </w:tcPr>
                <w:p w14:paraId="6FAAC99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8.27 </w:t>
                  </w:r>
                </w:p>
              </w:tc>
            </w:tr>
            <w:tr w14:paraId="72752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8F2029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65</w:t>
                  </w:r>
                </w:p>
              </w:tc>
              <w:tc>
                <w:tcPr>
                  <w:tcW w:w="721" w:type="pct"/>
                  <w:vAlign w:val="center"/>
                </w:tcPr>
                <w:p w14:paraId="3B58F87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（14,1.5）</w:t>
                  </w:r>
                </w:p>
              </w:tc>
              <w:tc>
                <w:tcPr>
                  <w:tcW w:w="667" w:type="pct"/>
                  <w:vAlign w:val="bottom"/>
                </w:tcPr>
                <w:p w14:paraId="784D1D3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1616.28 </w:t>
                  </w:r>
                </w:p>
              </w:tc>
              <w:tc>
                <w:tcPr>
                  <w:tcW w:w="602" w:type="pct"/>
                  <w:vAlign w:val="bottom"/>
                </w:tcPr>
                <w:p w14:paraId="5C0F278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13.57 </w:t>
                  </w:r>
                </w:p>
              </w:tc>
              <w:tc>
                <w:tcPr>
                  <w:tcW w:w="667" w:type="pct"/>
                  <w:vAlign w:val="bottom"/>
                </w:tcPr>
                <w:p w14:paraId="5595429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1619.57 </w:t>
                  </w:r>
                </w:p>
              </w:tc>
              <w:tc>
                <w:tcPr>
                  <w:tcW w:w="602" w:type="pct"/>
                  <w:vAlign w:val="bottom"/>
                </w:tcPr>
                <w:p w14:paraId="36DCC8A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12.68 </w:t>
                  </w:r>
                </w:p>
              </w:tc>
              <w:tc>
                <w:tcPr>
                  <w:tcW w:w="755" w:type="pct"/>
                  <w:vAlign w:val="bottom"/>
                </w:tcPr>
                <w:p w14:paraId="623834B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1147.40 </w:t>
                  </w:r>
                </w:p>
              </w:tc>
              <w:tc>
                <w:tcPr>
                  <w:tcW w:w="673" w:type="pct"/>
                  <w:vAlign w:val="bottom"/>
                </w:tcPr>
                <w:p w14:paraId="46BA83C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7.70 </w:t>
                  </w:r>
                </w:p>
              </w:tc>
            </w:tr>
            <w:tr w14:paraId="4C0D7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ACC836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66</w:t>
                  </w:r>
                </w:p>
              </w:tc>
              <w:tc>
                <w:tcPr>
                  <w:tcW w:w="721" w:type="pct"/>
                  <w:vAlign w:val="center"/>
                </w:tcPr>
                <w:p w14:paraId="6B5AEE2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（15,1.5）</w:t>
                  </w:r>
                </w:p>
              </w:tc>
              <w:tc>
                <w:tcPr>
                  <w:tcW w:w="667" w:type="pct"/>
                  <w:vAlign w:val="bottom"/>
                </w:tcPr>
                <w:p w14:paraId="24FF3D3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1359.39 </w:t>
                  </w:r>
                </w:p>
              </w:tc>
              <w:tc>
                <w:tcPr>
                  <w:tcW w:w="602" w:type="pct"/>
                  <w:vAlign w:val="bottom"/>
                </w:tcPr>
                <w:p w14:paraId="29653E9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11.95 </w:t>
                  </w:r>
                </w:p>
              </w:tc>
              <w:tc>
                <w:tcPr>
                  <w:tcW w:w="667" w:type="pct"/>
                  <w:vAlign w:val="bottom"/>
                </w:tcPr>
                <w:p w14:paraId="48EF1C9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1383.14 </w:t>
                  </w:r>
                </w:p>
              </w:tc>
              <w:tc>
                <w:tcPr>
                  <w:tcW w:w="602" w:type="pct"/>
                  <w:vAlign w:val="bottom"/>
                </w:tcPr>
                <w:p w14:paraId="286D7B3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11.26 </w:t>
                  </w:r>
                </w:p>
              </w:tc>
              <w:tc>
                <w:tcPr>
                  <w:tcW w:w="755" w:type="pct"/>
                  <w:vAlign w:val="bottom"/>
                </w:tcPr>
                <w:p w14:paraId="63458A2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1065.60 </w:t>
                  </w:r>
                </w:p>
              </w:tc>
              <w:tc>
                <w:tcPr>
                  <w:tcW w:w="673" w:type="pct"/>
                  <w:vAlign w:val="bottom"/>
                </w:tcPr>
                <w:p w14:paraId="26A87EB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7.17 </w:t>
                  </w:r>
                </w:p>
              </w:tc>
            </w:tr>
            <w:tr w14:paraId="27942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8F028A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67</w:t>
                  </w:r>
                </w:p>
              </w:tc>
              <w:tc>
                <w:tcPr>
                  <w:tcW w:w="721" w:type="pct"/>
                  <w:vAlign w:val="center"/>
                </w:tcPr>
                <w:p w14:paraId="5FFFC00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（16,1.5）</w:t>
                  </w:r>
                </w:p>
              </w:tc>
              <w:tc>
                <w:tcPr>
                  <w:tcW w:w="667" w:type="pct"/>
                  <w:vAlign w:val="bottom"/>
                </w:tcPr>
                <w:p w14:paraId="41AC6D3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1151.88 </w:t>
                  </w:r>
                </w:p>
              </w:tc>
              <w:tc>
                <w:tcPr>
                  <w:tcW w:w="602" w:type="pct"/>
                  <w:vAlign w:val="bottom"/>
                </w:tcPr>
                <w:p w14:paraId="13FD66C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10.59 </w:t>
                  </w:r>
                </w:p>
              </w:tc>
              <w:tc>
                <w:tcPr>
                  <w:tcW w:w="667" w:type="pct"/>
                  <w:vAlign w:val="bottom"/>
                </w:tcPr>
                <w:p w14:paraId="0F5CA26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1186.48 </w:t>
                  </w:r>
                </w:p>
              </w:tc>
              <w:tc>
                <w:tcPr>
                  <w:tcW w:w="602" w:type="pct"/>
                  <w:vAlign w:val="bottom"/>
                </w:tcPr>
                <w:p w14:paraId="46B3DAA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10.05 </w:t>
                  </w:r>
                </w:p>
              </w:tc>
              <w:tc>
                <w:tcPr>
                  <w:tcW w:w="755" w:type="pct"/>
                  <w:vAlign w:val="bottom"/>
                </w:tcPr>
                <w:p w14:paraId="4F09AFC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985.06 </w:t>
                  </w:r>
                </w:p>
              </w:tc>
              <w:tc>
                <w:tcPr>
                  <w:tcW w:w="673" w:type="pct"/>
                  <w:vAlign w:val="bottom"/>
                </w:tcPr>
                <w:p w14:paraId="40B4237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6.67 </w:t>
                  </w:r>
                </w:p>
              </w:tc>
            </w:tr>
            <w:tr w14:paraId="7FCFA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85722D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68</w:t>
                  </w:r>
                </w:p>
              </w:tc>
              <w:tc>
                <w:tcPr>
                  <w:tcW w:w="721" w:type="pct"/>
                  <w:vAlign w:val="center"/>
                </w:tcPr>
                <w:p w14:paraId="069C07B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（17,1.5）</w:t>
                  </w:r>
                </w:p>
              </w:tc>
              <w:tc>
                <w:tcPr>
                  <w:tcW w:w="667" w:type="pct"/>
                  <w:vAlign w:val="bottom"/>
                </w:tcPr>
                <w:p w14:paraId="6AE5798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983.76 </w:t>
                  </w:r>
                </w:p>
              </w:tc>
              <w:tc>
                <w:tcPr>
                  <w:tcW w:w="602" w:type="pct"/>
                  <w:vAlign w:val="bottom"/>
                </w:tcPr>
                <w:p w14:paraId="603059C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9.44 </w:t>
                  </w:r>
                </w:p>
              </w:tc>
              <w:tc>
                <w:tcPr>
                  <w:tcW w:w="667" w:type="pct"/>
                  <w:vAlign w:val="bottom"/>
                </w:tcPr>
                <w:p w14:paraId="5329520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1023.14 </w:t>
                  </w:r>
                </w:p>
              </w:tc>
              <w:tc>
                <w:tcPr>
                  <w:tcW w:w="602" w:type="pct"/>
                  <w:vAlign w:val="bottom"/>
                </w:tcPr>
                <w:p w14:paraId="071AB33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9.02 </w:t>
                  </w:r>
                </w:p>
              </w:tc>
              <w:tc>
                <w:tcPr>
                  <w:tcW w:w="755" w:type="pct"/>
                  <w:vAlign w:val="bottom"/>
                </w:tcPr>
                <w:p w14:paraId="5202D90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907.52 </w:t>
                  </w:r>
                </w:p>
              </w:tc>
              <w:tc>
                <w:tcPr>
                  <w:tcW w:w="673" w:type="pct"/>
                  <w:vAlign w:val="bottom"/>
                </w:tcPr>
                <w:p w14:paraId="3C0BFC7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6.20 </w:t>
                  </w:r>
                </w:p>
              </w:tc>
            </w:tr>
            <w:tr w14:paraId="4C8D9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B41C3A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69</w:t>
                  </w:r>
                </w:p>
              </w:tc>
              <w:tc>
                <w:tcPr>
                  <w:tcW w:w="721" w:type="pct"/>
                  <w:vAlign w:val="center"/>
                </w:tcPr>
                <w:p w14:paraId="6825413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（18,1.5）</w:t>
                  </w:r>
                </w:p>
              </w:tc>
              <w:tc>
                <w:tcPr>
                  <w:tcW w:w="667" w:type="pct"/>
                  <w:vAlign w:val="bottom"/>
                </w:tcPr>
                <w:p w14:paraId="7D73C37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846.89 </w:t>
                  </w:r>
                </w:p>
              </w:tc>
              <w:tc>
                <w:tcPr>
                  <w:tcW w:w="602" w:type="pct"/>
                  <w:vAlign w:val="bottom"/>
                </w:tcPr>
                <w:p w14:paraId="5DAFAD2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8.47 </w:t>
                  </w:r>
                </w:p>
              </w:tc>
              <w:tc>
                <w:tcPr>
                  <w:tcW w:w="667" w:type="pct"/>
                  <w:vAlign w:val="bottom"/>
                </w:tcPr>
                <w:p w14:paraId="3135CCF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887.36 </w:t>
                  </w:r>
                </w:p>
              </w:tc>
              <w:tc>
                <w:tcPr>
                  <w:tcW w:w="602" w:type="pct"/>
                  <w:vAlign w:val="bottom"/>
                </w:tcPr>
                <w:p w14:paraId="2D4BBEA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8.12 </w:t>
                  </w:r>
                </w:p>
              </w:tc>
              <w:tc>
                <w:tcPr>
                  <w:tcW w:w="755" w:type="pct"/>
                  <w:vAlign w:val="bottom"/>
                </w:tcPr>
                <w:p w14:paraId="22959D8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834.09 </w:t>
                  </w:r>
                </w:p>
              </w:tc>
              <w:tc>
                <w:tcPr>
                  <w:tcW w:w="673" w:type="pct"/>
                  <w:vAlign w:val="bottom"/>
                </w:tcPr>
                <w:p w14:paraId="15C7437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5.78 </w:t>
                  </w:r>
                </w:p>
              </w:tc>
            </w:tr>
            <w:tr w14:paraId="3270E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C6CBE0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70</w:t>
                  </w:r>
                </w:p>
              </w:tc>
              <w:tc>
                <w:tcPr>
                  <w:tcW w:w="721" w:type="pct"/>
                  <w:vAlign w:val="center"/>
                </w:tcPr>
                <w:p w14:paraId="7EECEB4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（19,1.5）</w:t>
                  </w:r>
                </w:p>
              </w:tc>
              <w:tc>
                <w:tcPr>
                  <w:tcW w:w="667" w:type="pct"/>
                  <w:vAlign w:val="bottom"/>
                </w:tcPr>
                <w:p w14:paraId="47F5EA9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734.79 </w:t>
                  </w:r>
                </w:p>
              </w:tc>
              <w:tc>
                <w:tcPr>
                  <w:tcW w:w="602" w:type="pct"/>
                  <w:vAlign w:val="bottom"/>
                </w:tcPr>
                <w:p w14:paraId="2F4541B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7.63 </w:t>
                  </w:r>
                </w:p>
              </w:tc>
              <w:tc>
                <w:tcPr>
                  <w:tcW w:w="667" w:type="pct"/>
                  <w:vAlign w:val="bottom"/>
                </w:tcPr>
                <w:p w14:paraId="512234C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774.19 </w:t>
                  </w:r>
                </w:p>
              </w:tc>
              <w:tc>
                <w:tcPr>
                  <w:tcW w:w="602" w:type="pct"/>
                  <w:vAlign w:val="bottom"/>
                </w:tcPr>
                <w:p w14:paraId="124CE3A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7.35 </w:t>
                  </w:r>
                </w:p>
              </w:tc>
              <w:tc>
                <w:tcPr>
                  <w:tcW w:w="755" w:type="pct"/>
                  <w:vAlign w:val="bottom"/>
                </w:tcPr>
                <w:p w14:paraId="74A3C7A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765.44 </w:t>
                  </w:r>
                </w:p>
              </w:tc>
              <w:tc>
                <w:tcPr>
                  <w:tcW w:w="673" w:type="pct"/>
                  <w:vAlign w:val="bottom"/>
                </w:tcPr>
                <w:p w14:paraId="6753872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5.38 </w:t>
                  </w:r>
                </w:p>
              </w:tc>
            </w:tr>
            <w:tr w14:paraId="1388C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238FBA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71</w:t>
                  </w:r>
                </w:p>
              </w:tc>
              <w:tc>
                <w:tcPr>
                  <w:tcW w:w="721" w:type="pct"/>
                  <w:vAlign w:val="center"/>
                </w:tcPr>
                <w:p w14:paraId="365DEFD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（20,1.5）</w:t>
                  </w:r>
                </w:p>
              </w:tc>
              <w:tc>
                <w:tcPr>
                  <w:tcW w:w="667" w:type="pct"/>
                  <w:vAlign w:val="bottom"/>
                </w:tcPr>
                <w:p w14:paraId="4BB430B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642.37 </w:t>
                  </w:r>
                </w:p>
              </w:tc>
              <w:tc>
                <w:tcPr>
                  <w:tcW w:w="602" w:type="pct"/>
                  <w:vAlign w:val="bottom"/>
                </w:tcPr>
                <w:p w14:paraId="23B5571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6.91 </w:t>
                  </w:r>
                </w:p>
              </w:tc>
              <w:tc>
                <w:tcPr>
                  <w:tcW w:w="667" w:type="pct"/>
                  <w:vAlign w:val="bottom"/>
                </w:tcPr>
                <w:p w14:paraId="3244032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679.50 </w:t>
                  </w:r>
                </w:p>
              </w:tc>
              <w:tc>
                <w:tcPr>
                  <w:tcW w:w="602" w:type="pct"/>
                  <w:vAlign w:val="bottom"/>
                </w:tcPr>
                <w:p w14:paraId="2CA80DC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6.69 </w:t>
                  </w:r>
                </w:p>
              </w:tc>
              <w:tc>
                <w:tcPr>
                  <w:tcW w:w="755" w:type="pct"/>
                  <w:vAlign w:val="bottom"/>
                </w:tcPr>
                <w:p w14:paraId="61E4050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701.86 </w:t>
                  </w:r>
                </w:p>
              </w:tc>
              <w:tc>
                <w:tcPr>
                  <w:tcW w:w="673" w:type="pct"/>
                  <w:vAlign w:val="bottom"/>
                </w:tcPr>
                <w:p w14:paraId="6F043E5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5.02 </w:t>
                  </w:r>
                </w:p>
              </w:tc>
            </w:tr>
            <w:tr w14:paraId="34D2B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AF227D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72</w:t>
                  </w:r>
                </w:p>
              </w:tc>
              <w:tc>
                <w:tcPr>
                  <w:tcW w:w="721" w:type="pct"/>
                  <w:vAlign w:val="center"/>
                </w:tcPr>
                <w:p w14:paraId="6A934A5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（21,1.5）</w:t>
                  </w:r>
                </w:p>
              </w:tc>
              <w:tc>
                <w:tcPr>
                  <w:tcW w:w="667" w:type="pct"/>
                  <w:vAlign w:val="bottom"/>
                </w:tcPr>
                <w:p w14:paraId="3C6B82E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565.63 </w:t>
                  </w:r>
                </w:p>
              </w:tc>
              <w:tc>
                <w:tcPr>
                  <w:tcW w:w="602" w:type="pct"/>
                  <w:vAlign w:val="bottom"/>
                </w:tcPr>
                <w:p w14:paraId="7F88B6C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6.29 </w:t>
                  </w:r>
                </w:p>
              </w:tc>
              <w:tc>
                <w:tcPr>
                  <w:tcW w:w="667" w:type="pct"/>
                  <w:vAlign w:val="bottom"/>
                </w:tcPr>
                <w:p w14:paraId="28AC5A3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599.91 </w:t>
                  </w:r>
                </w:p>
              </w:tc>
              <w:tc>
                <w:tcPr>
                  <w:tcW w:w="602" w:type="pct"/>
                  <w:vAlign w:val="bottom"/>
                </w:tcPr>
                <w:p w14:paraId="62DD639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6.10 </w:t>
                  </w:r>
                </w:p>
              </w:tc>
              <w:tc>
                <w:tcPr>
                  <w:tcW w:w="755" w:type="pct"/>
                  <w:vAlign w:val="bottom"/>
                </w:tcPr>
                <w:p w14:paraId="1378B00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643.41 </w:t>
                  </w:r>
                </w:p>
              </w:tc>
              <w:tc>
                <w:tcPr>
                  <w:tcW w:w="673" w:type="pct"/>
                  <w:vAlign w:val="bottom"/>
                </w:tcPr>
                <w:p w14:paraId="61B5228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4.69 </w:t>
                  </w:r>
                </w:p>
              </w:tc>
            </w:tr>
            <w:tr w14:paraId="43473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3BDACE9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73</w:t>
                  </w:r>
                </w:p>
              </w:tc>
              <w:tc>
                <w:tcPr>
                  <w:tcW w:w="721" w:type="pct"/>
                  <w:vAlign w:val="center"/>
                </w:tcPr>
                <w:p w14:paraId="34649FA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（22,1.5）</w:t>
                  </w:r>
                </w:p>
              </w:tc>
              <w:tc>
                <w:tcPr>
                  <w:tcW w:w="667" w:type="pct"/>
                  <w:vAlign w:val="bottom"/>
                </w:tcPr>
                <w:p w14:paraId="0BB9674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501.46 </w:t>
                  </w:r>
                </w:p>
              </w:tc>
              <w:tc>
                <w:tcPr>
                  <w:tcW w:w="602" w:type="pct"/>
                  <w:vAlign w:val="bottom"/>
                </w:tcPr>
                <w:p w14:paraId="39E7630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5.74 </w:t>
                  </w:r>
                </w:p>
              </w:tc>
              <w:tc>
                <w:tcPr>
                  <w:tcW w:w="667" w:type="pct"/>
                  <w:vAlign w:val="bottom"/>
                </w:tcPr>
                <w:p w14:paraId="4B3F306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532.68 </w:t>
                  </w:r>
                </w:p>
              </w:tc>
              <w:tc>
                <w:tcPr>
                  <w:tcW w:w="602" w:type="pct"/>
                  <w:vAlign w:val="bottom"/>
                </w:tcPr>
                <w:p w14:paraId="1D4C3F5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5.59 </w:t>
                  </w:r>
                </w:p>
              </w:tc>
              <w:tc>
                <w:tcPr>
                  <w:tcW w:w="755" w:type="pct"/>
                  <w:vAlign w:val="bottom"/>
                </w:tcPr>
                <w:p w14:paraId="0038CA1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589.95 </w:t>
                  </w:r>
                </w:p>
              </w:tc>
              <w:tc>
                <w:tcPr>
                  <w:tcW w:w="673" w:type="pct"/>
                  <w:vAlign w:val="bottom"/>
                </w:tcPr>
                <w:p w14:paraId="42428DB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4.38 </w:t>
                  </w:r>
                </w:p>
              </w:tc>
            </w:tr>
            <w:tr w14:paraId="6DA4E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531856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74</w:t>
                  </w:r>
                </w:p>
              </w:tc>
              <w:tc>
                <w:tcPr>
                  <w:tcW w:w="721" w:type="pct"/>
                  <w:vAlign w:val="center"/>
                </w:tcPr>
                <w:p w14:paraId="37507E3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（23,1.5）</w:t>
                  </w:r>
                </w:p>
              </w:tc>
              <w:tc>
                <w:tcPr>
                  <w:tcW w:w="667" w:type="pct"/>
                  <w:vAlign w:val="bottom"/>
                </w:tcPr>
                <w:p w14:paraId="62E2313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447.42 </w:t>
                  </w:r>
                </w:p>
              </w:tc>
              <w:tc>
                <w:tcPr>
                  <w:tcW w:w="602" w:type="pct"/>
                  <w:vAlign w:val="bottom"/>
                </w:tcPr>
                <w:p w14:paraId="4AC09A6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5.27 </w:t>
                  </w:r>
                </w:p>
              </w:tc>
              <w:tc>
                <w:tcPr>
                  <w:tcW w:w="667" w:type="pct"/>
                  <w:vAlign w:val="bottom"/>
                </w:tcPr>
                <w:p w14:paraId="0770025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475.58 </w:t>
                  </w:r>
                </w:p>
              </w:tc>
              <w:tc>
                <w:tcPr>
                  <w:tcW w:w="602" w:type="pct"/>
                  <w:vAlign w:val="bottom"/>
                </w:tcPr>
                <w:p w14:paraId="3C6932A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5.14 </w:t>
                  </w:r>
                </w:p>
              </w:tc>
              <w:tc>
                <w:tcPr>
                  <w:tcW w:w="755" w:type="pct"/>
                  <w:vAlign w:val="bottom"/>
                </w:tcPr>
                <w:p w14:paraId="2BAD48F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541.26 </w:t>
                  </w:r>
                </w:p>
              </w:tc>
              <w:tc>
                <w:tcPr>
                  <w:tcW w:w="673" w:type="pct"/>
                  <w:vAlign w:val="bottom"/>
                </w:tcPr>
                <w:p w14:paraId="14F0EE8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4.10 </w:t>
                  </w:r>
                </w:p>
              </w:tc>
            </w:tr>
            <w:tr w14:paraId="308E8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3A8B58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75</w:t>
                  </w:r>
                </w:p>
              </w:tc>
              <w:tc>
                <w:tcPr>
                  <w:tcW w:w="721" w:type="pct"/>
                  <w:vAlign w:val="center"/>
                </w:tcPr>
                <w:p w14:paraId="61A8B0E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（24,1.5）</w:t>
                  </w:r>
                </w:p>
              </w:tc>
              <w:tc>
                <w:tcPr>
                  <w:tcW w:w="667" w:type="pct"/>
                  <w:vAlign w:val="bottom"/>
                </w:tcPr>
                <w:p w14:paraId="22A2BCF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401.58 </w:t>
                  </w:r>
                </w:p>
              </w:tc>
              <w:tc>
                <w:tcPr>
                  <w:tcW w:w="602" w:type="pct"/>
                  <w:vAlign w:val="bottom"/>
                </w:tcPr>
                <w:p w14:paraId="1577818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4.85 </w:t>
                  </w:r>
                </w:p>
              </w:tc>
              <w:tc>
                <w:tcPr>
                  <w:tcW w:w="667" w:type="pct"/>
                  <w:vAlign w:val="bottom"/>
                </w:tcPr>
                <w:p w14:paraId="7B3A6C4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426.83 </w:t>
                  </w:r>
                </w:p>
              </w:tc>
              <w:tc>
                <w:tcPr>
                  <w:tcW w:w="602" w:type="pct"/>
                  <w:vAlign w:val="bottom"/>
                </w:tcPr>
                <w:p w14:paraId="406E2F7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4.74 </w:t>
                  </w:r>
                </w:p>
              </w:tc>
              <w:tc>
                <w:tcPr>
                  <w:tcW w:w="755" w:type="pct"/>
                  <w:vAlign w:val="bottom"/>
                </w:tcPr>
                <w:p w14:paraId="0E5FA97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497.02 </w:t>
                  </w:r>
                </w:p>
              </w:tc>
              <w:tc>
                <w:tcPr>
                  <w:tcW w:w="673" w:type="pct"/>
                  <w:vAlign w:val="bottom"/>
                </w:tcPr>
                <w:p w14:paraId="2AE71B3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3.84 </w:t>
                  </w:r>
                </w:p>
              </w:tc>
            </w:tr>
            <w:tr w14:paraId="50697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F125CD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76</w:t>
                  </w:r>
                </w:p>
              </w:tc>
              <w:tc>
                <w:tcPr>
                  <w:tcW w:w="721" w:type="pct"/>
                  <w:vAlign w:val="center"/>
                </w:tcPr>
                <w:p w14:paraId="34F14B1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（25,1.5）</w:t>
                  </w:r>
                </w:p>
              </w:tc>
              <w:tc>
                <w:tcPr>
                  <w:tcW w:w="667" w:type="pct"/>
                  <w:vAlign w:val="bottom"/>
                </w:tcPr>
                <w:p w14:paraId="02F299E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362.44 </w:t>
                  </w:r>
                </w:p>
              </w:tc>
              <w:tc>
                <w:tcPr>
                  <w:tcW w:w="602" w:type="pct"/>
                  <w:vAlign w:val="bottom"/>
                </w:tcPr>
                <w:p w14:paraId="58E5815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4.47 </w:t>
                  </w:r>
                </w:p>
              </w:tc>
              <w:tc>
                <w:tcPr>
                  <w:tcW w:w="667" w:type="pct"/>
                  <w:vAlign w:val="bottom"/>
                </w:tcPr>
                <w:p w14:paraId="6B09453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384.98 </w:t>
                  </w:r>
                </w:p>
              </w:tc>
              <w:tc>
                <w:tcPr>
                  <w:tcW w:w="602" w:type="pct"/>
                  <w:vAlign w:val="bottom"/>
                </w:tcPr>
                <w:p w14:paraId="791062C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4.38 </w:t>
                  </w:r>
                </w:p>
              </w:tc>
              <w:tc>
                <w:tcPr>
                  <w:tcW w:w="755" w:type="pct"/>
                  <w:vAlign w:val="bottom"/>
                </w:tcPr>
                <w:p w14:paraId="55ABE93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456.91 </w:t>
                  </w:r>
                </w:p>
              </w:tc>
              <w:tc>
                <w:tcPr>
                  <w:tcW w:w="673" w:type="pct"/>
                  <w:vAlign w:val="bottom"/>
                </w:tcPr>
                <w:p w14:paraId="20EAE0E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3.61 </w:t>
                  </w:r>
                </w:p>
              </w:tc>
            </w:tr>
            <w:tr w14:paraId="014AC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B6D596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77</w:t>
                  </w:r>
                </w:p>
              </w:tc>
              <w:tc>
                <w:tcPr>
                  <w:tcW w:w="721" w:type="pct"/>
                  <w:vAlign w:val="center"/>
                </w:tcPr>
                <w:p w14:paraId="479E37B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（26,1.5）</w:t>
                  </w:r>
                </w:p>
              </w:tc>
              <w:tc>
                <w:tcPr>
                  <w:tcW w:w="667" w:type="pct"/>
                  <w:vAlign w:val="bottom"/>
                </w:tcPr>
                <w:p w14:paraId="081D45D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328.78 </w:t>
                  </w:r>
                </w:p>
              </w:tc>
              <w:tc>
                <w:tcPr>
                  <w:tcW w:w="602" w:type="pct"/>
                  <w:vAlign w:val="bottom"/>
                </w:tcPr>
                <w:p w14:paraId="6F3972A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4.14 </w:t>
                  </w:r>
                </w:p>
              </w:tc>
              <w:tc>
                <w:tcPr>
                  <w:tcW w:w="667" w:type="pct"/>
                  <w:vAlign w:val="bottom"/>
                </w:tcPr>
                <w:p w14:paraId="1225BCF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348.85 </w:t>
                  </w:r>
                </w:p>
              </w:tc>
              <w:tc>
                <w:tcPr>
                  <w:tcW w:w="602" w:type="pct"/>
                  <w:vAlign w:val="bottom"/>
                </w:tcPr>
                <w:p w14:paraId="5F853CE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4.06 </w:t>
                  </w:r>
                </w:p>
              </w:tc>
              <w:tc>
                <w:tcPr>
                  <w:tcW w:w="755" w:type="pct"/>
                  <w:vAlign w:val="bottom"/>
                </w:tcPr>
                <w:p w14:paraId="1E88F1C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420.58 </w:t>
                  </w:r>
                </w:p>
              </w:tc>
              <w:tc>
                <w:tcPr>
                  <w:tcW w:w="673" w:type="pct"/>
                  <w:vAlign w:val="bottom"/>
                </w:tcPr>
                <w:p w14:paraId="055ECE8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3.39 </w:t>
                  </w:r>
                </w:p>
              </w:tc>
            </w:tr>
            <w:tr w14:paraId="56823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730A9B9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78</w:t>
                  </w:r>
                </w:p>
              </w:tc>
              <w:tc>
                <w:tcPr>
                  <w:tcW w:w="721" w:type="pct"/>
                  <w:vAlign w:val="center"/>
                </w:tcPr>
                <w:p w14:paraId="232F750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（27,1.5）</w:t>
                  </w:r>
                </w:p>
              </w:tc>
              <w:tc>
                <w:tcPr>
                  <w:tcW w:w="667" w:type="pct"/>
                  <w:vAlign w:val="bottom"/>
                </w:tcPr>
                <w:p w14:paraId="744FEB9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299.67 </w:t>
                  </w:r>
                </w:p>
              </w:tc>
              <w:tc>
                <w:tcPr>
                  <w:tcW w:w="602" w:type="pct"/>
                  <w:vAlign w:val="bottom"/>
                </w:tcPr>
                <w:p w14:paraId="1ED6211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3.84 </w:t>
                  </w:r>
                </w:p>
              </w:tc>
              <w:tc>
                <w:tcPr>
                  <w:tcW w:w="667" w:type="pct"/>
                  <w:vAlign w:val="bottom"/>
                </w:tcPr>
                <w:p w14:paraId="69AA4D3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317.51 </w:t>
                  </w:r>
                </w:p>
              </w:tc>
              <w:tc>
                <w:tcPr>
                  <w:tcW w:w="602" w:type="pct"/>
                  <w:vAlign w:val="bottom"/>
                </w:tcPr>
                <w:p w14:paraId="4892419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3.78 </w:t>
                  </w:r>
                </w:p>
              </w:tc>
              <w:tc>
                <w:tcPr>
                  <w:tcW w:w="755" w:type="pct"/>
                  <w:vAlign w:val="bottom"/>
                </w:tcPr>
                <w:p w14:paraId="52F4178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387.69 </w:t>
                  </w:r>
                </w:p>
              </w:tc>
              <w:tc>
                <w:tcPr>
                  <w:tcW w:w="673" w:type="pct"/>
                  <w:vAlign w:val="bottom"/>
                </w:tcPr>
                <w:p w14:paraId="6A7C3D7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3.19 </w:t>
                  </w:r>
                </w:p>
              </w:tc>
            </w:tr>
            <w:tr w14:paraId="7C957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D570CB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79</w:t>
                  </w:r>
                </w:p>
              </w:tc>
              <w:tc>
                <w:tcPr>
                  <w:tcW w:w="721" w:type="pct"/>
                  <w:vAlign w:val="center"/>
                </w:tcPr>
                <w:p w14:paraId="2703E2B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（28,1.5）</w:t>
                  </w:r>
                </w:p>
              </w:tc>
              <w:tc>
                <w:tcPr>
                  <w:tcW w:w="667" w:type="pct"/>
                  <w:vAlign w:val="bottom"/>
                </w:tcPr>
                <w:p w14:paraId="1C72D2F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274.33 </w:t>
                  </w:r>
                </w:p>
              </w:tc>
              <w:tc>
                <w:tcPr>
                  <w:tcW w:w="602" w:type="pct"/>
                  <w:vAlign w:val="bottom"/>
                </w:tcPr>
                <w:p w14:paraId="43F4560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3.58 </w:t>
                  </w:r>
                </w:p>
              </w:tc>
              <w:tc>
                <w:tcPr>
                  <w:tcW w:w="667" w:type="pct"/>
                  <w:vAlign w:val="bottom"/>
                </w:tcPr>
                <w:p w14:paraId="657FFBD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290.17 </w:t>
                  </w:r>
                </w:p>
              </w:tc>
              <w:tc>
                <w:tcPr>
                  <w:tcW w:w="602" w:type="pct"/>
                  <w:vAlign w:val="bottom"/>
                </w:tcPr>
                <w:p w14:paraId="5EC9EAB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3.52 </w:t>
                  </w:r>
                </w:p>
              </w:tc>
              <w:tc>
                <w:tcPr>
                  <w:tcW w:w="755" w:type="pct"/>
                  <w:vAlign w:val="bottom"/>
                </w:tcPr>
                <w:p w14:paraId="0F1A993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357.92 </w:t>
                  </w:r>
                </w:p>
              </w:tc>
              <w:tc>
                <w:tcPr>
                  <w:tcW w:w="673" w:type="pct"/>
                  <w:vAlign w:val="bottom"/>
                </w:tcPr>
                <w:p w14:paraId="71F312A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3.01 </w:t>
                  </w:r>
                </w:p>
              </w:tc>
            </w:tr>
            <w:tr w14:paraId="39494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73975D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80</w:t>
                  </w:r>
                </w:p>
              </w:tc>
              <w:tc>
                <w:tcPr>
                  <w:tcW w:w="721" w:type="pct"/>
                  <w:vAlign w:val="center"/>
                </w:tcPr>
                <w:p w14:paraId="107548D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（29,1.5）</w:t>
                  </w:r>
                </w:p>
              </w:tc>
              <w:tc>
                <w:tcPr>
                  <w:tcW w:w="667" w:type="pct"/>
                  <w:vAlign w:val="bottom"/>
                </w:tcPr>
                <w:p w14:paraId="2655274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252.15 </w:t>
                  </w:r>
                </w:p>
              </w:tc>
              <w:tc>
                <w:tcPr>
                  <w:tcW w:w="602" w:type="pct"/>
                  <w:vAlign w:val="bottom"/>
                </w:tcPr>
                <w:p w14:paraId="2800601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3.34 </w:t>
                  </w:r>
                </w:p>
              </w:tc>
              <w:tc>
                <w:tcPr>
                  <w:tcW w:w="667" w:type="pct"/>
                  <w:vAlign w:val="bottom"/>
                </w:tcPr>
                <w:p w14:paraId="29A1F16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266.21 </w:t>
                  </w:r>
                </w:p>
              </w:tc>
              <w:tc>
                <w:tcPr>
                  <w:tcW w:w="602" w:type="pct"/>
                  <w:vAlign w:val="bottom"/>
                </w:tcPr>
                <w:p w14:paraId="7C26703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3.29 </w:t>
                  </w:r>
                </w:p>
              </w:tc>
              <w:tc>
                <w:tcPr>
                  <w:tcW w:w="755" w:type="pct"/>
                  <w:vAlign w:val="bottom"/>
                </w:tcPr>
                <w:p w14:paraId="42071EB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330.96 </w:t>
                  </w:r>
                </w:p>
              </w:tc>
              <w:tc>
                <w:tcPr>
                  <w:tcW w:w="673" w:type="pct"/>
                  <w:vAlign w:val="bottom"/>
                </w:tcPr>
                <w:p w14:paraId="1482ABE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2.84 </w:t>
                  </w:r>
                </w:p>
              </w:tc>
            </w:tr>
            <w:tr w14:paraId="29FB2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BF7FB0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81</w:t>
                  </w:r>
                </w:p>
              </w:tc>
              <w:tc>
                <w:tcPr>
                  <w:tcW w:w="721" w:type="pct"/>
                  <w:vAlign w:val="center"/>
                </w:tcPr>
                <w:p w14:paraId="4213244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（30,1.5）</w:t>
                  </w:r>
                </w:p>
              </w:tc>
              <w:tc>
                <w:tcPr>
                  <w:tcW w:w="667" w:type="pct"/>
                  <w:vAlign w:val="bottom"/>
                </w:tcPr>
                <w:p w14:paraId="0B2339D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232.63 </w:t>
                  </w:r>
                </w:p>
              </w:tc>
              <w:tc>
                <w:tcPr>
                  <w:tcW w:w="602" w:type="pct"/>
                  <w:vAlign w:val="bottom"/>
                </w:tcPr>
                <w:p w14:paraId="06EBCF7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3.12 </w:t>
                  </w:r>
                </w:p>
              </w:tc>
              <w:tc>
                <w:tcPr>
                  <w:tcW w:w="667" w:type="pct"/>
                  <w:vAlign w:val="bottom"/>
                </w:tcPr>
                <w:p w14:paraId="699D7C74">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245.11 </w:t>
                  </w:r>
                </w:p>
              </w:tc>
              <w:tc>
                <w:tcPr>
                  <w:tcW w:w="602" w:type="pct"/>
                  <w:vAlign w:val="bottom"/>
                </w:tcPr>
                <w:p w14:paraId="1DE7CA5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3.08 </w:t>
                  </w:r>
                </w:p>
              </w:tc>
              <w:tc>
                <w:tcPr>
                  <w:tcW w:w="755" w:type="pct"/>
                  <w:vAlign w:val="bottom"/>
                </w:tcPr>
                <w:p w14:paraId="4777A89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306.53 </w:t>
                  </w:r>
                </w:p>
              </w:tc>
              <w:tc>
                <w:tcPr>
                  <w:tcW w:w="673" w:type="pct"/>
                  <w:vAlign w:val="bottom"/>
                </w:tcPr>
                <w:p w14:paraId="029340F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2.68 </w:t>
                  </w:r>
                </w:p>
              </w:tc>
            </w:tr>
            <w:tr w14:paraId="1A4BE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787B89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82</w:t>
                  </w:r>
                </w:p>
              </w:tc>
              <w:tc>
                <w:tcPr>
                  <w:tcW w:w="721" w:type="pct"/>
                  <w:vAlign w:val="center"/>
                </w:tcPr>
                <w:p w14:paraId="2B21E3B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（31,1.5）</w:t>
                  </w:r>
                </w:p>
              </w:tc>
              <w:tc>
                <w:tcPr>
                  <w:tcW w:w="667" w:type="pct"/>
                  <w:vAlign w:val="bottom"/>
                </w:tcPr>
                <w:p w14:paraId="60578C4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215.35 </w:t>
                  </w:r>
                </w:p>
              </w:tc>
              <w:tc>
                <w:tcPr>
                  <w:tcW w:w="602" w:type="pct"/>
                  <w:vAlign w:val="bottom"/>
                </w:tcPr>
                <w:p w14:paraId="731CC2A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2.93 </w:t>
                  </w:r>
                </w:p>
              </w:tc>
              <w:tc>
                <w:tcPr>
                  <w:tcW w:w="667" w:type="pct"/>
                  <w:vAlign w:val="bottom"/>
                </w:tcPr>
                <w:p w14:paraId="10B58D3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226.44 </w:t>
                  </w:r>
                </w:p>
              </w:tc>
              <w:tc>
                <w:tcPr>
                  <w:tcW w:w="602" w:type="pct"/>
                  <w:vAlign w:val="bottom"/>
                </w:tcPr>
                <w:p w14:paraId="37A8DA3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2.89 </w:t>
                  </w:r>
                </w:p>
              </w:tc>
              <w:tc>
                <w:tcPr>
                  <w:tcW w:w="755" w:type="pct"/>
                  <w:vAlign w:val="bottom"/>
                </w:tcPr>
                <w:p w14:paraId="3F05DB9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284.37 </w:t>
                  </w:r>
                </w:p>
              </w:tc>
              <w:tc>
                <w:tcPr>
                  <w:tcW w:w="673" w:type="pct"/>
                  <w:vAlign w:val="bottom"/>
                </w:tcPr>
                <w:p w14:paraId="7D6BE44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2.53 </w:t>
                  </w:r>
                </w:p>
              </w:tc>
            </w:tr>
            <w:tr w14:paraId="1D3AC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DB7008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83</w:t>
                  </w:r>
                </w:p>
              </w:tc>
              <w:tc>
                <w:tcPr>
                  <w:tcW w:w="721" w:type="pct"/>
                  <w:vAlign w:val="center"/>
                </w:tcPr>
                <w:p w14:paraId="14D3C5A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（32,1.5）</w:t>
                  </w:r>
                </w:p>
              </w:tc>
              <w:tc>
                <w:tcPr>
                  <w:tcW w:w="667" w:type="pct"/>
                  <w:vAlign w:val="bottom"/>
                </w:tcPr>
                <w:p w14:paraId="0D04CF3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200.00 </w:t>
                  </w:r>
                </w:p>
              </w:tc>
              <w:tc>
                <w:tcPr>
                  <w:tcW w:w="602" w:type="pct"/>
                  <w:vAlign w:val="bottom"/>
                </w:tcPr>
                <w:p w14:paraId="5090B8A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2.75 </w:t>
                  </w:r>
                </w:p>
              </w:tc>
              <w:tc>
                <w:tcPr>
                  <w:tcW w:w="667" w:type="pct"/>
                  <w:vAlign w:val="bottom"/>
                </w:tcPr>
                <w:p w14:paraId="2DB5D35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209.85 </w:t>
                  </w:r>
                </w:p>
              </w:tc>
              <w:tc>
                <w:tcPr>
                  <w:tcW w:w="602" w:type="pct"/>
                  <w:vAlign w:val="bottom"/>
                </w:tcPr>
                <w:p w14:paraId="267AD6F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2.71 </w:t>
                  </w:r>
                </w:p>
              </w:tc>
              <w:tc>
                <w:tcPr>
                  <w:tcW w:w="755" w:type="pct"/>
                  <w:vAlign w:val="bottom"/>
                </w:tcPr>
                <w:p w14:paraId="5D3E325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264.26 </w:t>
                  </w:r>
                </w:p>
              </w:tc>
              <w:tc>
                <w:tcPr>
                  <w:tcW w:w="673" w:type="pct"/>
                  <w:vAlign w:val="bottom"/>
                </w:tcPr>
                <w:p w14:paraId="1700E4B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2.40 </w:t>
                  </w:r>
                </w:p>
              </w:tc>
            </w:tr>
            <w:tr w14:paraId="18CD2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C0F4B4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84</w:t>
                  </w:r>
                </w:p>
              </w:tc>
              <w:tc>
                <w:tcPr>
                  <w:tcW w:w="721" w:type="pct"/>
                  <w:vAlign w:val="center"/>
                </w:tcPr>
                <w:p w14:paraId="608AB15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（33,1.5）</w:t>
                  </w:r>
                </w:p>
              </w:tc>
              <w:tc>
                <w:tcPr>
                  <w:tcW w:w="667" w:type="pct"/>
                  <w:vAlign w:val="bottom"/>
                </w:tcPr>
                <w:p w14:paraId="423D929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186.28 </w:t>
                  </w:r>
                </w:p>
              </w:tc>
              <w:tc>
                <w:tcPr>
                  <w:tcW w:w="602" w:type="pct"/>
                  <w:vAlign w:val="bottom"/>
                </w:tcPr>
                <w:p w14:paraId="211EC8C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2.59 </w:t>
                  </w:r>
                </w:p>
              </w:tc>
              <w:tc>
                <w:tcPr>
                  <w:tcW w:w="667" w:type="pct"/>
                  <w:vAlign w:val="bottom"/>
                </w:tcPr>
                <w:p w14:paraId="2927632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195.05 </w:t>
                  </w:r>
                </w:p>
              </w:tc>
              <w:tc>
                <w:tcPr>
                  <w:tcW w:w="602" w:type="pct"/>
                  <w:vAlign w:val="bottom"/>
                </w:tcPr>
                <w:p w14:paraId="2BB8B1D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2.56 </w:t>
                  </w:r>
                </w:p>
              </w:tc>
              <w:tc>
                <w:tcPr>
                  <w:tcW w:w="755" w:type="pct"/>
                  <w:vAlign w:val="bottom"/>
                </w:tcPr>
                <w:p w14:paraId="2E1AD0E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245.98 </w:t>
                  </w:r>
                </w:p>
              </w:tc>
              <w:tc>
                <w:tcPr>
                  <w:tcW w:w="673" w:type="pct"/>
                  <w:vAlign w:val="bottom"/>
                </w:tcPr>
                <w:p w14:paraId="43B580B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2.28 </w:t>
                  </w:r>
                </w:p>
              </w:tc>
            </w:tr>
            <w:tr w14:paraId="61A03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D644A3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85</w:t>
                  </w:r>
                </w:p>
              </w:tc>
              <w:tc>
                <w:tcPr>
                  <w:tcW w:w="721" w:type="pct"/>
                  <w:vAlign w:val="center"/>
                </w:tcPr>
                <w:p w14:paraId="4C5FDCF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（34,1.5）</w:t>
                  </w:r>
                </w:p>
              </w:tc>
              <w:tc>
                <w:tcPr>
                  <w:tcW w:w="667" w:type="pct"/>
                  <w:vAlign w:val="bottom"/>
                </w:tcPr>
                <w:p w14:paraId="11E8C6E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173.98 </w:t>
                  </w:r>
                </w:p>
              </w:tc>
              <w:tc>
                <w:tcPr>
                  <w:tcW w:w="602" w:type="pct"/>
                  <w:vAlign w:val="bottom"/>
                </w:tcPr>
                <w:p w14:paraId="0652C38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2.44 </w:t>
                  </w:r>
                </w:p>
              </w:tc>
              <w:tc>
                <w:tcPr>
                  <w:tcW w:w="667" w:type="pct"/>
                  <w:vAlign w:val="bottom"/>
                </w:tcPr>
                <w:p w14:paraId="59AC680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181.79 </w:t>
                  </w:r>
                </w:p>
              </w:tc>
              <w:tc>
                <w:tcPr>
                  <w:tcW w:w="602" w:type="pct"/>
                  <w:vAlign w:val="bottom"/>
                </w:tcPr>
                <w:p w14:paraId="1FAF5FA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2.41 </w:t>
                  </w:r>
                </w:p>
              </w:tc>
              <w:tc>
                <w:tcPr>
                  <w:tcW w:w="755" w:type="pct"/>
                  <w:vAlign w:val="bottom"/>
                </w:tcPr>
                <w:p w14:paraId="0E5B93F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229.34 </w:t>
                  </w:r>
                </w:p>
              </w:tc>
              <w:tc>
                <w:tcPr>
                  <w:tcW w:w="673" w:type="pct"/>
                  <w:vAlign w:val="bottom"/>
                </w:tcPr>
                <w:p w14:paraId="12A61C9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2.16 </w:t>
                  </w:r>
                </w:p>
              </w:tc>
            </w:tr>
            <w:tr w14:paraId="0D0F5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47B19A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86</w:t>
                  </w:r>
                </w:p>
              </w:tc>
              <w:tc>
                <w:tcPr>
                  <w:tcW w:w="721" w:type="pct"/>
                  <w:vAlign w:val="center"/>
                </w:tcPr>
                <w:p w14:paraId="5280D3D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（35,1.5）</w:t>
                  </w:r>
                </w:p>
              </w:tc>
              <w:tc>
                <w:tcPr>
                  <w:tcW w:w="667" w:type="pct"/>
                  <w:vAlign w:val="bottom"/>
                </w:tcPr>
                <w:p w14:paraId="4362EF3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162.90 </w:t>
                  </w:r>
                </w:p>
              </w:tc>
              <w:tc>
                <w:tcPr>
                  <w:tcW w:w="602" w:type="pct"/>
                  <w:vAlign w:val="bottom"/>
                </w:tcPr>
                <w:p w14:paraId="656572C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2.30 </w:t>
                  </w:r>
                </w:p>
              </w:tc>
              <w:tc>
                <w:tcPr>
                  <w:tcW w:w="667" w:type="pct"/>
                  <w:vAlign w:val="bottom"/>
                </w:tcPr>
                <w:p w14:paraId="46FB15E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169.86 </w:t>
                  </w:r>
                </w:p>
              </w:tc>
              <w:tc>
                <w:tcPr>
                  <w:tcW w:w="602" w:type="pct"/>
                  <w:vAlign w:val="bottom"/>
                </w:tcPr>
                <w:p w14:paraId="2452180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2.28 </w:t>
                  </w:r>
                </w:p>
              </w:tc>
              <w:tc>
                <w:tcPr>
                  <w:tcW w:w="755" w:type="pct"/>
                  <w:vAlign w:val="bottom"/>
                </w:tcPr>
                <w:p w14:paraId="3D73816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214.18 </w:t>
                  </w:r>
                </w:p>
              </w:tc>
              <w:tc>
                <w:tcPr>
                  <w:tcW w:w="673" w:type="pct"/>
                  <w:vAlign w:val="bottom"/>
                </w:tcPr>
                <w:p w14:paraId="3C88BB1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2.05 </w:t>
                  </w:r>
                </w:p>
              </w:tc>
            </w:tr>
            <w:tr w14:paraId="0A4B4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46822E9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87</w:t>
                  </w:r>
                </w:p>
              </w:tc>
              <w:tc>
                <w:tcPr>
                  <w:tcW w:w="721" w:type="pct"/>
                  <w:vAlign w:val="center"/>
                </w:tcPr>
                <w:p w14:paraId="1AC61FD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（36,1.5）</w:t>
                  </w:r>
                </w:p>
              </w:tc>
              <w:tc>
                <w:tcPr>
                  <w:tcW w:w="667" w:type="pct"/>
                  <w:vAlign w:val="bottom"/>
                </w:tcPr>
                <w:p w14:paraId="605C635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152.89 </w:t>
                  </w:r>
                </w:p>
              </w:tc>
              <w:tc>
                <w:tcPr>
                  <w:tcW w:w="602" w:type="pct"/>
                  <w:vAlign w:val="bottom"/>
                </w:tcPr>
                <w:p w14:paraId="52A9648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2.18 </w:t>
                  </w:r>
                </w:p>
              </w:tc>
              <w:tc>
                <w:tcPr>
                  <w:tcW w:w="667" w:type="pct"/>
                  <w:vAlign w:val="bottom"/>
                </w:tcPr>
                <w:p w14:paraId="0965BB8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159.10 </w:t>
                  </w:r>
                </w:p>
              </w:tc>
              <w:tc>
                <w:tcPr>
                  <w:tcW w:w="602" w:type="pct"/>
                  <w:vAlign w:val="bottom"/>
                </w:tcPr>
                <w:p w14:paraId="514790A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2.16 </w:t>
                  </w:r>
                </w:p>
              </w:tc>
              <w:tc>
                <w:tcPr>
                  <w:tcW w:w="755" w:type="pct"/>
                  <w:vAlign w:val="bottom"/>
                </w:tcPr>
                <w:p w14:paraId="53C9C45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200.34 </w:t>
                  </w:r>
                </w:p>
              </w:tc>
              <w:tc>
                <w:tcPr>
                  <w:tcW w:w="673" w:type="pct"/>
                  <w:vAlign w:val="bottom"/>
                </w:tcPr>
                <w:p w14:paraId="5AAE9B6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1.95 </w:t>
                  </w:r>
                </w:p>
              </w:tc>
            </w:tr>
            <w:tr w14:paraId="2D4BD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413B80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88</w:t>
                  </w:r>
                </w:p>
              </w:tc>
              <w:tc>
                <w:tcPr>
                  <w:tcW w:w="721" w:type="pct"/>
                  <w:vAlign w:val="center"/>
                </w:tcPr>
                <w:p w14:paraId="7F6DE71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（37,1.5）</w:t>
                  </w:r>
                </w:p>
              </w:tc>
              <w:tc>
                <w:tcPr>
                  <w:tcW w:w="667" w:type="pct"/>
                  <w:vAlign w:val="bottom"/>
                </w:tcPr>
                <w:p w14:paraId="1E5CF4E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143.80 </w:t>
                  </w:r>
                </w:p>
              </w:tc>
              <w:tc>
                <w:tcPr>
                  <w:tcW w:w="602" w:type="pct"/>
                  <w:vAlign w:val="bottom"/>
                </w:tcPr>
                <w:p w14:paraId="27CC630B">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2.06 </w:t>
                  </w:r>
                </w:p>
              </w:tc>
              <w:tc>
                <w:tcPr>
                  <w:tcW w:w="667" w:type="pct"/>
                  <w:vAlign w:val="bottom"/>
                </w:tcPr>
                <w:p w14:paraId="7D43600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149.35 </w:t>
                  </w:r>
                </w:p>
              </w:tc>
              <w:tc>
                <w:tcPr>
                  <w:tcW w:w="602" w:type="pct"/>
                  <w:vAlign w:val="bottom"/>
                </w:tcPr>
                <w:p w14:paraId="597322E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2.04 </w:t>
                  </w:r>
                </w:p>
              </w:tc>
              <w:tc>
                <w:tcPr>
                  <w:tcW w:w="755" w:type="pct"/>
                  <w:vAlign w:val="bottom"/>
                </w:tcPr>
                <w:p w14:paraId="333BA73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187.69 </w:t>
                  </w:r>
                </w:p>
              </w:tc>
              <w:tc>
                <w:tcPr>
                  <w:tcW w:w="673" w:type="pct"/>
                  <w:vAlign w:val="bottom"/>
                </w:tcPr>
                <w:p w14:paraId="53C7F54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1.86 </w:t>
                  </w:r>
                </w:p>
              </w:tc>
            </w:tr>
            <w:tr w14:paraId="104FC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D8C982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89</w:t>
                  </w:r>
                </w:p>
              </w:tc>
              <w:tc>
                <w:tcPr>
                  <w:tcW w:w="721" w:type="pct"/>
                  <w:vAlign w:val="center"/>
                </w:tcPr>
                <w:p w14:paraId="0AA5C23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（38,1.5）</w:t>
                  </w:r>
                </w:p>
              </w:tc>
              <w:tc>
                <w:tcPr>
                  <w:tcW w:w="667" w:type="pct"/>
                  <w:vAlign w:val="bottom"/>
                </w:tcPr>
                <w:p w14:paraId="2FFC564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135.53 </w:t>
                  </w:r>
                </w:p>
              </w:tc>
              <w:tc>
                <w:tcPr>
                  <w:tcW w:w="602" w:type="pct"/>
                  <w:vAlign w:val="bottom"/>
                </w:tcPr>
                <w:p w14:paraId="54FDAB7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1.96 </w:t>
                  </w:r>
                </w:p>
              </w:tc>
              <w:tc>
                <w:tcPr>
                  <w:tcW w:w="667" w:type="pct"/>
                  <w:vAlign w:val="bottom"/>
                </w:tcPr>
                <w:p w14:paraId="23AE2C7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140.49 </w:t>
                  </w:r>
                </w:p>
              </w:tc>
              <w:tc>
                <w:tcPr>
                  <w:tcW w:w="602" w:type="pct"/>
                  <w:vAlign w:val="bottom"/>
                </w:tcPr>
                <w:p w14:paraId="50A80A3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1.94 </w:t>
                  </w:r>
                </w:p>
              </w:tc>
              <w:tc>
                <w:tcPr>
                  <w:tcW w:w="755" w:type="pct"/>
                  <w:vAlign w:val="bottom"/>
                </w:tcPr>
                <w:p w14:paraId="48C53B9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176.11 </w:t>
                  </w:r>
                </w:p>
              </w:tc>
              <w:tc>
                <w:tcPr>
                  <w:tcW w:w="673" w:type="pct"/>
                  <w:vAlign w:val="bottom"/>
                </w:tcPr>
                <w:p w14:paraId="2CFDFD5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1.77 </w:t>
                  </w:r>
                </w:p>
              </w:tc>
            </w:tr>
            <w:tr w14:paraId="4DF50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404B98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90</w:t>
                  </w:r>
                </w:p>
              </w:tc>
              <w:tc>
                <w:tcPr>
                  <w:tcW w:w="721" w:type="pct"/>
                  <w:vAlign w:val="center"/>
                </w:tcPr>
                <w:p w14:paraId="6663728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（39,1.5）</w:t>
                  </w:r>
                </w:p>
              </w:tc>
              <w:tc>
                <w:tcPr>
                  <w:tcW w:w="667" w:type="pct"/>
                  <w:vAlign w:val="bottom"/>
                </w:tcPr>
                <w:p w14:paraId="5F5DD8A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127.98 </w:t>
                  </w:r>
                </w:p>
              </w:tc>
              <w:tc>
                <w:tcPr>
                  <w:tcW w:w="602" w:type="pct"/>
                  <w:vAlign w:val="bottom"/>
                </w:tcPr>
                <w:p w14:paraId="5DDF319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1.86 </w:t>
                  </w:r>
                </w:p>
              </w:tc>
              <w:tc>
                <w:tcPr>
                  <w:tcW w:w="667" w:type="pct"/>
                  <w:vAlign w:val="bottom"/>
                </w:tcPr>
                <w:p w14:paraId="614C164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132.42 </w:t>
                  </w:r>
                </w:p>
              </w:tc>
              <w:tc>
                <w:tcPr>
                  <w:tcW w:w="602" w:type="pct"/>
                  <w:vAlign w:val="bottom"/>
                </w:tcPr>
                <w:p w14:paraId="6FA28786">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1.84 </w:t>
                  </w:r>
                </w:p>
              </w:tc>
              <w:tc>
                <w:tcPr>
                  <w:tcW w:w="755" w:type="pct"/>
                  <w:vAlign w:val="bottom"/>
                </w:tcPr>
                <w:p w14:paraId="67E820A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165.50 </w:t>
                  </w:r>
                </w:p>
              </w:tc>
              <w:tc>
                <w:tcPr>
                  <w:tcW w:w="673" w:type="pct"/>
                  <w:vAlign w:val="bottom"/>
                </w:tcPr>
                <w:p w14:paraId="76B4F63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1.69 </w:t>
                  </w:r>
                </w:p>
              </w:tc>
            </w:tr>
            <w:tr w14:paraId="091BE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8486D6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91</w:t>
                  </w:r>
                </w:p>
              </w:tc>
              <w:tc>
                <w:tcPr>
                  <w:tcW w:w="721" w:type="pct"/>
                  <w:vAlign w:val="center"/>
                </w:tcPr>
                <w:p w14:paraId="0E8C2C46">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（40,1.5）</w:t>
                  </w:r>
                </w:p>
              </w:tc>
              <w:tc>
                <w:tcPr>
                  <w:tcW w:w="667" w:type="pct"/>
                  <w:vAlign w:val="bottom"/>
                </w:tcPr>
                <w:p w14:paraId="7A755C3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121.06 </w:t>
                  </w:r>
                </w:p>
              </w:tc>
              <w:tc>
                <w:tcPr>
                  <w:tcW w:w="602" w:type="pct"/>
                  <w:vAlign w:val="bottom"/>
                </w:tcPr>
                <w:p w14:paraId="7358A96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1.77 </w:t>
                  </w:r>
                </w:p>
              </w:tc>
              <w:tc>
                <w:tcPr>
                  <w:tcW w:w="667" w:type="pct"/>
                  <w:vAlign w:val="bottom"/>
                </w:tcPr>
                <w:p w14:paraId="4AEE050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125.05 </w:t>
                  </w:r>
                </w:p>
              </w:tc>
              <w:tc>
                <w:tcPr>
                  <w:tcW w:w="602" w:type="pct"/>
                  <w:vAlign w:val="bottom"/>
                </w:tcPr>
                <w:p w14:paraId="57DC6B3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1.75 </w:t>
                  </w:r>
                </w:p>
              </w:tc>
              <w:tc>
                <w:tcPr>
                  <w:tcW w:w="755" w:type="pct"/>
                  <w:vAlign w:val="bottom"/>
                </w:tcPr>
                <w:p w14:paraId="50FF73C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155.75 </w:t>
                  </w:r>
                </w:p>
              </w:tc>
              <w:tc>
                <w:tcPr>
                  <w:tcW w:w="673" w:type="pct"/>
                  <w:vAlign w:val="bottom"/>
                </w:tcPr>
                <w:p w14:paraId="3301C29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1.62 </w:t>
                  </w:r>
                </w:p>
              </w:tc>
            </w:tr>
            <w:tr w14:paraId="3AA9E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5BE29D2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92</w:t>
                  </w:r>
                </w:p>
              </w:tc>
              <w:tc>
                <w:tcPr>
                  <w:tcW w:w="721" w:type="pct"/>
                  <w:vAlign w:val="center"/>
                </w:tcPr>
                <w:p w14:paraId="1B8F2F4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（41,1.5）</w:t>
                  </w:r>
                </w:p>
              </w:tc>
              <w:tc>
                <w:tcPr>
                  <w:tcW w:w="667" w:type="pct"/>
                  <w:vAlign w:val="bottom"/>
                </w:tcPr>
                <w:p w14:paraId="219456E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114.71 </w:t>
                  </w:r>
                </w:p>
              </w:tc>
              <w:tc>
                <w:tcPr>
                  <w:tcW w:w="602" w:type="pct"/>
                  <w:vAlign w:val="bottom"/>
                </w:tcPr>
                <w:p w14:paraId="525D4D5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1.68 </w:t>
                  </w:r>
                </w:p>
              </w:tc>
              <w:tc>
                <w:tcPr>
                  <w:tcW w:w="667" w:type="pct"/>
                  <w:vAlign w:val="bottom"/>
                </w:tcPr>
                <w:p w14:paraId="5293DE30">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118.29 </w:t>
                  </w:r>
                </w:p>
              </w:tc>
              <w:tc>
                <w:tcPr>
                  <w:tcW w:w="602" w:type="pct"/>
                  <w:vAlign w:val="bottom"/>
                </w:tcPr>
                <w:p w14:paraId="63782A6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1.67 </w:t>
                  </w:r>
                </w:p>
              </w:tc>
              <w:tc>
                <w:tcPr>
                  <w:tcW w:w="755" w:type="pct"/>
                  <w:vAlign w:val="bottom"/>
                </w:tcPr>
                <w:p w14:paraId="47DC657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146.78 </w:t>
                  </w:r>
                </w:p>
              </w:tc>
              <w:tc>
                <w:tcPr>
                  <w:tcW w:w="673" w:type="pct"/>
                  <w:vAlign w:val="bottom"/>
                </w:tcPr>
                <w:p w14:paraId="4CC688A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1.55 </w:t>
                  </w:r>
                </w:p>
              </w:tc>
            </w:tr>
            <w:tr w14:paraId="66AD9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184AD6E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93</w:t>
                  </w:r>
                </w:p>
              </w:tc>
              <w:tc>
                <w:tcPr>
                  <w:tcW w:w="721" w:type="pct"/>
                  <w:vAlign w:val="center"/>
                </w:tcPr>
                <w:p w14:paraId="63CD2A7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（42,1.5）</w:t>
                  </w:r>
                </w:p>
              </w:tc>
              <w:tc>
                <w:tcPr>
                  <w:tcW w:w="667" w:type="pct"/>
                  <w:vAlign w:val="bottom"/>
                </w:tcPr>
                <w:p w14:paraId="48E7221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108.86 </w:t>
                  </w:r>
                </w:p>
              </w:tc>
              <w:tc>
                <w:tcPr>
                  <w:tcW w:w="602" w:type="pct"/>
                  <w:vAlign w:val="bottom"/>
                </w:tcPr>
                <w:p w14:paraId="4FC519D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1.60 </w:t>
                  </w:r>
                </w:p>
              </w:tc>
              <w:tc>
                <w:tcPr>
                  <w:tcW w:w="667" w:type="pct"/>
                  <w:vAlign w:val="bottom"/>
                </w:tcPr>
                <w:p w14:paraId="51FE9F9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112.08 </w:t>
                  </w:r>
                </w:p>
              </w:tc>
              <w:tc>
                <w:tcPr>
                  <w:tcW w:w="602" w:type="pct"/>
                  <w:vAlign w:val="bottom"/>
                </w:tcPr>
                <w:p w14:paraId="0461C4E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1.59 </w:t>
                  </w:r>
                </w:p>
              </w:tc>
              <w:tc>
                <w:tcPr>
                  <w:tcW w:w="755" w:type="pct"/>
                  <w:vAlign w:val="bottom"/>
                </w:tcPr>
                <w:p w14:paraId="1DFBEB4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138.52 </w:t>
                  </w:r>
                </w:p>
              </w:tc>
              <w:tc>
                <w:tcPr>
                  <w:tcW w:w="673" w:type="pct"/>
                  <w:vAlign w:val="bottom"/>
                </w:tcPr>
                <w:p w14:paraId="767E4F0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1.48 </w:t>
                  </w:r>
                </w:p>
              </w:tc>
            </w:tr>
            <w:tr w14:paraId="606DB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65393B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94</w:t>
                  </w:r>
                </w:p>
              </w:tc>
              <w:tc>
                <w:tcPr>
                  <w:tcW w:w="721" w:type="pct"/>
                  <w:vAlign w:val="center"/>
                </w:tcPr>
                <w:p w14:paraId="530783E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（43,1.5）</w:t>
                  </w:r>
                </w:p>
              </w:tc>
              <w:tc>
                <w:tcPr>
                  <w:tcW w:w="667" w:type="pct"/>
                  <w:vAlign w:val="bottom"/>
                </w:tcPr>
                <w:p w14:paraId="0BBE7D8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103.47 </w:t>
                  </w:r>
                </w:p>
              </w:tc>
              <w:tc>
                <w:tcPr>
                  <w:tcW w:w="602" w:type="pct"/>
                  <w:vAlign w:val="bottom"/>
                </w:tcPr>
                <w:p w14:paraId="7B39D6C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1.53 </w:t>
                  </w:r>
                </w:p>
              </w:tc>
              <w:tc>
                <w:tcPr>
                  <w:tcW w:w="667" w:type="pct"/>
                  <w:vAlign w:val="bottom"/>
                </w:tcPr>
                <w:p w14:paraId="434F15A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106.36 </w:t>
                  </w:r>
                </w:p>
              </w:tc>
              <w:tc>
                <w:tcPr>
                  <w:tcW w:w="602" w:type="pct"/>
                  <w:vAlign w:val="bottom"/>
                </w:tcPr>
                <w:p w14:paraId="45EBCF2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1.52 </w:t>
                  </w:r>
                </w:p>
              </w:tc>
              <w:tc>
                <w:tcPr>
                  <w:tcW w:w="755" w:type="pct"/>
                  <w:vAlign w:val="bottom"/>
                </w:tcPr>
                <w:p w14:paraId="3D91AB3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130.90 </w:t>
                  </w:r>
                </w:p>
              </w:tc>
              <w:tc>
                <w:tcPr>
                  <w:tcW w:w="673" w:type="pct"/>
                  <w:vAlign w:val="bottom"/>
                </w:tcPr>
                <w:p w14:paraId="29EB43C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1.42 </w:t>
                  </w:r>
                </w:p>
              </w:tc>
            </w:tr>
            <w:tr w14:paraId="2B577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7BE8FE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95</w:t>
                  </w:r>
                </w:p>
              </w:tc>
              <w:tc>
                <w:tcPr>
                  <w:tcW w:w="721" w:type="pct"/>
                  <w:vAlign w:val="center"/>
                </w:tcPr>
                <w:p w14:paraId="7225D63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（44,1.5）</w:t>
                  </w:r>
                </w:p>
              </w:tc>
              <w:tc>
                <w:tcPr>
                  <w:tcW w:w="667" w:type="pct"/>
                  <w:vAlign w:val="bottom"/>
                </w:tcPr>
                <w:p w14:paraId="455F4394">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98.48 </w:t>
                  </w:r>
                </w:p>
              </w:tc>
              <w:tc>
                <w:tcPr>
                  <w:tcW w:w="602" w:type="pct"/>
                  <w:vAlign w:val="bottom"/>
                </w:tcPr>
                <w:p w14:paraId="045F69C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1.46 </w:t>
                  </w:r>
                </w:p>
              </w:tc>
              <w:tc>
                <w:tcPr>
                  <w:tcW w:w="667" w:type="pct"/>
                  <w:vAlign w:val="bottom"/>
                </w:tcPr>
                <w:p w14:paraId="33EDBCD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101.08 </w:t>
                  </w:r>
                </w:p>
              </w:tc>
              <w:tc>
                <w:tcPr>
                  <w:tcW w:w="602" w:type="pct"/>
                  <w:vAlign w:val="bottom"/>
                </w:tcPr>
                <w:p w14:paraId="76B3D861">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1.45 </w:t>
                  </w:r>
                </w:p>
              </w:tc>
              <w:tc>
                <w:tcPr>
                  <w:tcW w:w="755" w:type="pct"/>
                  <w:vAlign w:val="bottom"/>
                </w:tcPr>
                <w:p w14:paraId="4C2D54D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123.86 </w:t>
                  </w:r>
                </w:p>
              </w:tc>
              <w:tc>
                <w:tcPr>
                  <w:tcW w:w="673" w:type="pct"/>
                  <w:vAlign w:val="bottom"/>
                </w:tcPr>
                <w:p w14:paraId="5AC78AA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1.36 </w:t>
                  </w:r>
                </w:p>
              </w:tc>
            </w:tr>
            <w:tr w14:paraId="5060B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2BD3296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96</w:t>
                  </w:r>
                </w:p>
              </w:tc>
              <w:tc>
                <w:tcPr>
                  <w:tcW w:w="721" w:type="pct"/>
                  <w:vAlign w:val="center"/>
                </w:tcPr>
                <w:p w14:paraId="05ECC11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（45,1.5）</w:t>
                  </w:r>
                </w:p>
              </w:tc>
              <w:tc>
                <w:tcPr>
                  <w:tcW w:w="667" w:type="pct"/>
                  <w:vAlign w:val="bottom"/>
                </w:tcPr>
                <w:p w14:paraId="07800F1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93.85 </w:t>
                  </w:r>
                </w:p>
              </w:tc>
              <w:tc>
                <w:tcPr>
                  <w:tcW w:w="602" w:type="pct"/>
                  <w:vAlign w:val="bottom"/>
                </w:tcPr>
                <w:p w14:paraId="107F2EE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1.40 </w:t>
                  </w:r>
                </w:p>
              </w:tc>
              <w:tc>
                <w:tcPr>
                  <w:tcW w:w="667" w:type="pct"/>
                  <w:vAlign w:val="bottom"/>
                </w:tcPr>
                <w:p w14:paraId="36A16CB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96.19 </w:t>
                  </w:r>
                </w:p>
              </w:tc>
              <w:tc>
                <w:tcPr>
                  <w:tcW w:w="602" w:type="pct"/>
                  <w:vAlign w:val="bottom"/>
                </w:tcPr>
                <w:p w14:paraId="2306B3D3">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1.39 </w:t>
                  </w:r>
                </w:p>
              </w:tc>
              <w:tc>
                <w:tcPr>
                  <w:tcW w:w="755" w:type="pct"/>
                  <w:vAlign w:val="bottom"/>
                </w:tcPr>
                <w:p w14:paraId="437E26F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117.34 </w:t>
                  </w:r>
                </w:p>
              </w:tc>
              <w:tc>
                <w:tcPr>
                  <w:tcW w:w="673" w:type="pct"/>
                  <w:vAlign w:val="bottom"/>
                </w:tcPr>
                <w:p w14:paraId="254C9F8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1.30 </w:t>
                  </w:r>
                </w:p>
              </w:tc>
            </w:tr>
            <w:tr w14:paraId="242BB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6A1DCDB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97</w:t>
                  </w:r>
                </w:p>
              </w:tc>
              <w:tc>
                <w:tcPr>
                  <w:tcW w:w="721" w:type="pct"/>
                  <w:vAlign w:val="center"/>
                </w:tcPr>
                <w:p w14:paraId="275E737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（46,1.5）</w:t>
                  </w:r>
                </w:p>
              </w:tc>
              <w:tc>
                <w:tcPr>
                  <w:tcW w:w="667" w:type="pct"/>
                  <w:vAlign w:val="bottom"/>
                </w:tcPr>
                <w:p w14:paraId="15468B2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89.55 </w:t>
                  </w:r>
                </w:p>
              </w:tc>
              <w:tc>
                <w:tcPr>
                  <w:tcW w:w="602" w:type="pct"/>
                  <w:vAlign w:val="bottom"/>
                </w:tcPr>
                <w:p w14:paraId="11CBD788">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1.34 </w:t>
                  </w:r>
                </w:p>
              </w:tc>
              <w:tc>
                <w:tcPr>
                  <w:tcW w:w="667" w:type="pct"/>
                  <w:vAlign w:val="bottom"/>
                </w:tcPr>
                <w:p w14:paraId="267431E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91.66 </w:t>
                  </w:r>
                </w:p>
              </w:tc>
              <w:tc>
                <w:tcPr>
                  <w:tcW w:w="602" w:type="pct"/>
                  <w:vAlign w:val="bottom"/>
                </w:tcPr>
                <w:p w14:paraId="62B72EA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1.33 </w:t>
                  </w:r>
                </w:p>
              </w:tc>
              <w:tc>
                <w:tcPr>
                  <w:tcW w:w="755" w:type="pct"/>
                  <w:vAlign w:val="bottom"/>
                </w:tcPr>
                <w:p w14:paraId="3988123C">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111.31 </w:t>
                  </w:r>
                </w:p>
              </w:tc>
              <w:tc>
                <w:tcPr>
                  <w:tcW w:w="673" w:type="pct"/>
                  <w:vAlign w:val="bottom"/>
                </w:tcPr>
                <w:p w14:paraId="1F8D74BA">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1.25 </w:t>
                  </w:r>
                </w:p>
              </w:tc>
            </w:tr>
            <w:tr w14:paraId="02339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7D94E787">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98</w:t>
                  </w:r>
                </w:p>
              </w:tc>
              <w:tc>
                <w:tcPr>
                  <w:tcW w:w="721" w:type="pct"/>
                  <w:vAlign w:val="center"/>
                </w:tcPr>
                <w:p w14:paraId="7FBCF8B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（47,1.5）</w:t>
                  </w:r>
                </w:p>
              </w:tc>
              <w:tc>
                <w:tcPr>
                  <w:tcW w:w="667" w:type="pct"/>
                  <w:vAlign w:val="bottom"/>
                </w:tcPr>
                <w:p w14:paraId="18B51C6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85.54 </w:t>
                  </w:r>
                </w:p>
              </w:tc>
              <w:tc>
                <w:tcPr>
                  <w:tcW w:w="602" w:type="pct"/>
                  <w:vAlign w:val="bottom"/>
                </w:tcPr>
                <w:p w14:paraId="0A2530C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1.28 </w:t>
                  </w:r>
                </w:p>
              </w:tc>
              <w:tc>
                <w:tcPr>
                  <w:tcW w:w="667" w:type="pct"/>
                  <w:vAlign w:val="bottom"/>
                </w:tcPr>
                <w:p w14:paraId="66EA261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87.45 </w:t>
                  </w:r>
                </w:p>
              </w:tc>
              <w:tc>
                <w:tcPr>
                  <w:tcW w:w="602" w:type="pct"/>
                  <w:vAlign w:val="bottom"/>
                </w:tcPr>
                <w:p w14:paraId="0F6391B9">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1.27 </w:t>
                  </w:r>
                </w:p>
              </w:tc>
              <w:tc>
                <w:tcPr>
                  <w:tcW w:w="755" w:type="pct"/>
                  <w:vAlign w:val="bottom"/>
                </w:tcPr>
                <w:p w14:paraId="687D93A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105.71 </w:t>
                  </w:r>
                </w:p>
              </w:tc>
              <w:tc>
                <w:tcPr>
                  <w:tcW w:w="673" w:type="pct"/>
                  <w:vAlign w:val="bottom"/>
                </w:tcPr>
                <w:p w14:paraId="4FA411D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1.20 </w:t>
                  </w:r>
                </w:p>
              </w:tc>
            </w:tr>
            <w:tr w14:paraId="7B684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2F40485">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99</w:t>
                  </w:r>
                </w:p>
              </w:tc>
              <w:tc>
                <w:tcPr>
                  <w:tcW w:w="721" w:type="pct"/>
                  <w:vAlign w:val="center"/>
                </w:tcPr>
                <w:p w14:paraId="0DD4052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（48,1.5）</w:t>
                  </w:r>
                </w:p>
              </w:tc>
              <w:tc>
                <w:tcPr>
                  <w:tcW w:w="667" w:type="pct"/>
                  <w:vAlign w:val="bottom"/>
                </w:tcPr>
                <w:p w14:paraId="756EA152">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81.81 </w:t>
                  </w:r>
                </w:p>
              </w:tc>
              <w:tc>
                <w:tcPr>
                  <w:tcW w:w="602" w:type="pct"/>
                  <w:vAlign w:val="bottom"/>
                </w:tcPr>
                <w:p w14:paraId="5557D14F">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1.23 </w:t>
                  </w:r>
                </w:p>
              </w:tc>
              <w:tc>
                <w:tcPr>
                  <w:tcW w:w="667" w:type="pct"/>
                  <w:vAlign w:val="bottom"/>
                </w:tcPr>
                <w:p w14:paraId="58C39AF7">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83.53 </w:t>
                  </w:r>
                </w:p>
              </w:tc>
              <w:tc>
                <w:tcPr>
                  <w:tcW w:w="602" w:type="pct"/>
                  <w:vAlign w:val="bottom"/>
                </w:tcPr>
                <w:p w14:paraId="39F5E03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1.22 </w:t>
                  </w:r>
                </w:p>
              </w:tc>
              <w:tc>
                <w:tcPr>
                  <w:tcW w:w="755" w:type="pct"/>
                  <w:vAlign w:val="bottom"/>
                </w:tcPr>
                <w:p w14:paraId="0C7CE71F">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100.50 </w:t>
                  </w:r>
                </w:p>
              </w:tc>
              <w:tc>
                <w:tcPr>
                  <w:tcW w:w="673" w:type="pct"/>
                  <w:vAlign w:val="bottom"/>
                </w:tcPr>
                <w:p w14:paraId="1740CEAE">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1.15 </w:t>
                  </w:r>
                </w:p>
              </w:tc>
            </w:tr>
            <w:tr w14:paraId="1D542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1" w:type="pct"/>
                  <w:vAlign w:val="center"/>
                </w:tcPr>
                <w:p w14:paraId="1876BFB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100</w:t>
                  </w:r>
                </w:p>
              </w:tc>
              <w:tc>
                <w:tcPr>
                  <w:tcW w:w="721" w:type="pct"/>
                  <w:vAlign w:val="center"/>
                </w:tcPr>
                <w:p w14:paraId="1807D70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（49,1.5）</w:t>
                  </w:r>
                </w:p>
              </w:tc>
              <w:tc>
                <w:tcPr>
                  <w:tcW w:w="667" w:type="pct"/>
                  <w:vAlign w:val="bottom"/>
                </w:tcPr>
                <w:p w14:paraId="6C7C2BB8">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78.32 </w:t>
                  </w:r>
                </w:p>
              </w:tc>
              <w:tc>
                <w:tcPr>
                  <w:tcW w:w="602" w:type="pct"/>
                  <w:vAlign w:val="bottom"/>
                </w:tcPr>
                <w:p w14:paraId="5026272C">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1.18 </w:t>
                  </w:r>
                </w:p>
              </w:tc>
              <w:tc>
                <w:tcPr>
                  <w:tcW w:w="667" w:type="pct"/>
                  <w:vAlign w:val="bottom"/>
                </w:tcPr>
                <w:p w14:paraId="40EC1B32">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79.88 </w:t>
                  </w:r>
                </w:p>
              </w:tc>
              <w:tc>
                <w:tcPr>
                  <w:tcW w:w="602" w:type="pct"/>
                  <w:vAlign w:val="bottom"/>
                </w:tcPr>
                <w:p w14:paraId="517E218E">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1.17 </w:t>
                  </w:r>
                </w:p>
              </w:tc>
              <w:tc>
                <w:tcPr>
                  <w:tcW w:w="755" w:type="pct"/>
                  <w:vAlign w:val="bottom"/>
                </w:tcPr>
                <w:p w14:paraId="5482AA70">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95.66 </w:t>
                  </w:r>
                </w:p>
              </w:tc>
              <w:tc>
                <w:tcPr>
                  <w:tcW w:w="673" w:type="pct"/>
                  <w:vAlign w:val="bottom"/>
                </w:tcPr>
                <w:p w14:paraId="594FBCB3">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1.11 </w:t>
                  </w:r>
                </w:p>
              </w:tc>
            </w:tr>
            <w:tr w14:paraId="4CF55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 w:type="pct"/>
                  <w:vAlign w:val="center"/>
                </w:tcPr>
                <w:p w14:paraId="0E84BCE9">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101</w:t>
                  </w:r>
                </w:p>
              </w:tc>
              <w:tc>
                <w:tcPr>
                  <w:tcW w:w="721" w:type="pct"/>
                  <w:vAlign w:val="center"/>
                </w:tcPr>
                <w:p w14:paraId="75A9C2A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eastAsia="zh-CN" w:bidi="ar"/>
                      <w14:textFill>
                        <w14:solidFill>
                          <w14:schemeClr w14:val="tx1"/>
                        </w14:solidFill>
                      </w14:textFill>
                    </w:rPr>
                  </w:pPr>
                  <w:r>
                    <w:rPr>
                      <w:rFonts w:hint="eastAsia" w:cs="Times New Roman"/>
                      <w:color w:val="000000" w:themeColor="text1"/>
                      <w:kern w:val="0"/>
                      <w:szCs w:val="21"/>
                      <w:lang w:eastAsia="zh-CN" w:bidi="ar"/>
                      <w14:textFill>
                        <w14:solidFill>
                          <w14:schemeClr w14:val="tx1"/>
                        </w14:solidFill>
                      </w14:textFill>
                    </w:rPr>
                    <w:t>（50,1.5）</w:t>
                  </w:r>
                </w:p>
              </w:tc>
              <w:tc>
                <w:tcPr>
                  <w:tcW w:w="667" w:type="pct"/>
                  <w:vAlign w:val="bottom"/>
                </w:tcPr>
                <w:p w14:paraId="4B022DBD">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75.06 </w:t>
                  </w:r>
                </w:p>
              </w:tc>
              <w:tc>
                <w:tcPr>
                  <w:tcW w:w="602" w:type="pct"/>
                  <w:vAlign w:val="bottom"/>
                </w:tcPr>
                <w:p w14:paraId="09D98915">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1.13 </w:t>
                  </w:r>
                </w:p>
              </w:tc>
              <w:tc>
                <w:tcPr>
                  <w:tcW w:w="667" w:type="pct"/>
                  <w:vAlign w:val="bottom"/>
                </w:tcPr>
                <w:p w14:paraId="71932DEA">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76.46 </w:t>
                  </w:r>
                </w:p>
              </w:tc>
              <w:tc>
                <w:tcPr>
                  <w:tcW w:w="602" w:type="pct"/>
                  <w:vAlign w:val="bottom"/>
                </w:tcPr>
                <w:p w14:paraId="2F77F31D">
                  <w:pPr>
                    <w:keepNext w:val="0"/>
                    <w:keepLines w:val="0"/>
                    <w:widowControl/>
                    <w:suppressLineNumbers w:val="0"/>
                    <w:spacing w:before="0" w:beforeAutospacing="0" w:after="0" w:afterAutospacing="0"/>
                    <w:ind w:left="0" w:right="0"/>
                    <w:jc w:val="center"/>
                    <w:textAlignment w:val="bottom"/>
                    <w:rPr>
                      <w:rFonts w:hint="eastAsia"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1.13 </w:t>
                  </w:r>
                </w:p>
              </w:tc>
              <w:tc>
                <w:tcPr>
                  <w:tcW w:w="755" w:type="pct"/>
                  <w:vAlign w:val="bottom"/>
                </w:tcPr>
                <w:p w14:paraId="57A039B1">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91.14 </w:t>
                  </w:r>
                </w:p>
              </w:tc>
              <w:tc>
                <w:tcPr>
                  <w:tcW w:w="673" w:type="pct"/>
                  <w:vAlign w:val="bottom"/>
                </w:tcPr>
                <w:p w14:paraId="22F89D8B">
                  <w:pPr>
                    <w:keepNext w:val="0"/>
                    <w:keepLines w:val="0"/>
                    <w:widowControl/>
                    <w:suppressLineNumbers w:val="0"/>
                    <w:spacing w:before="0" w:beforeAutospacing="0" w:after="0" w:afterAutospacing="0"/>
                    <w:ind w:left="0" w:right="0"/>
                    <w:jc w:val="center"/>
                    <w:textAlignment w:val="bottom"/>
                    <w:rPr>
                      <w:rFonts w:hint="default" w:cs="Times New Roman"/>
                      <w:color w:val="000000" w:themeColor="text1"/>
                      <w:kern w:val="0"/>
                      <w:szCs w:val="21"/>
                      <w:lang w:val="en-US" w:eastAsia="zh-CN" w:bidi="ar"/>
                      <w14:textFill>
                        <w14:solidFill>
                          <w14:schemeClr w14:val="tx1"/>
                        </w14:solidFill>
                      </w14:textFill>
                    </w:rPr>
                  </w:pPr>
                  <w:r>
                    <w:rPr>
                      <w:rFonts w:hint="default" w:cs="Times New Roman"/>
                      <w:color w:val="000000" w:themeColor="text1"/>
                      <w:kern w:val="0"/>
                      <w:szCs w:val="21"/>
                      <w:lang w:val="en-US" w:eastAsia="zh-CN" w:bidi="ar"/>
                      <w14:textFill>
                        <w14:solidFill>
                          <w14:schemeClr w14:val="tx1"/>
                        </w14:solidFill>
                      </w14:textFill>
                    </w:rPr>
                    <w:t xml:space="preserve">1.07 </w:t>
                  </w:r>
                </w:p>
              </w:tc>
            </w:tr>
          </w:tbl>
          <w:tbl>
            <w:tblPr>
              <w:tblStyle w:val="31"/>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5"/>
              <w:gridCol w:w="4141"/>
            </w:tblGrid>
            <w:tr w14:paraId="4EF06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3" w:type="dxa"/>
                </w:tcPr>
                <w:p w14:paraId="196EB5AE">
                  <w:pPr>
                    <w:keepNext w:val="0"/>
                    <w:keepLines w:val="0"/>
                    <w:suppressLineNumbers w:val="0"/>
                    <w:spacing w:before="0" w:beforeAutospacing="0" w:after="0" w:afterAutospacing="0"/>
                    <w:ind w:left="0" w:right="0"/>
                    <w:jc w:val="center"/>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499995" cy="1555115"/>
                        <wp:effectExtent l="0" t="0" r="14605" b="6985"/>
                        <wp:docPr id="5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pic:cNvPicPr>
                                  <a:picLocks noChangeAspect="1"/>
                                </pic:cNvPicPr>
                              </pic:nvPicPr>
                              <pic:blipFill>
                                <a:blip r:embed="rId47"/>
                                <a:stretch>
                                  <a:fillRect/>
                                </a:stretch>
                              </pic:blipFill>
                              <pic:spPr>
                                <a:xfrm>
                                  <a:off x="0" y="0"/>
                                  <a:ext cx="2499995" cy="1555115"/>
                                </a:xfrm>
                                <a:prstGeom prst="rect">
                                  <a:avLst/>
                                </a:prstGeom>
                                <a:noFill/>
                                <a:ln>
                                  <a:noFill/>
                                </a:ln>
                              </pic:spPr>
                            </pic:pic>
                          </a:graphicData>
                        </a:graphic>
                      </wp:inline>
                    </w:drawing>
                  </w:r>
                </w:p>
              </w:tc>
              <w:tc>
                <w:tcPr>
                  <w:tcW w:w="4133" w:type="dxa"/>
                </w:tcPr>
                <w:p w14:paraId="30BD9AAA">
                  <w:pPr>
                    <w:keepNext w:val="0"/>
                    <w:keepLines w:val="0"/>
                    <w:suppressLineNumbers w:val="0"/>
                    <w:spacing w:before="0" w:beforeAutospacing="0" w:after="0" w:afterAutospacing="0"/>
                    <w:ind w:left="0" w:right="0"/>
                    <w:jc w:val="center"/>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491740" cy="1550670"/>
                        <wp:effectExtent l="0" t="0" r="3810" b="11430"/>
                        <wp:docPr id="5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4"/>
                                <pic:cNvPicPr>
                                  <a:picLocks noChangeAspect="1"/>
                                </pic:cNvPicPr>
                              </pic:nvPicPr>
                              <pic:blipFill>
                                <a:blip r:embed="rId48"/>
                                <a:stretch>
                                  <a:fillRect/>
                                </a:stretch>
                              </pic:blipFill>
                              <pic:spPr>
                                <a:xfrm>
                                  <a:off x="0" y="0"/>
                                  <a:ext cx="2491740" cy="1550670"/>
                                </a:xfrm>
                                <a:prstGeom prst="rect">
                                  <a:avLst/>
                                </a:prstGeom>
                                <a:noFill/>
                                <a:ln>
                                  <a:noFill/>
                                </a:ln>
                              </pic:spPr>
                            </pic:pic>
                          </a:graphicData>
                        </a:graphic>
                      </wp:inline>
                    </w:drawing>
                  </w:r>
                </w:p>
              </w:tc>
            </w:tr>
            <w:tr w14:paraId="3E3C1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3" w:type="dxa"/>
                </w:tcPr>
                <w:p w14:paraId="4362819B">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工频电场强度</w:t>
                  </w:r>
                </w:p>
              </w:tc>
              <w:tc>
                <w:tcPr>
                  <w:tcW w:w="4133" w:type="dxa"/>
                </w:tcPr>
                <w:p w14:paraId="0D51EF56">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磁感应强度</w:t>
                  </w:r>
                </w:p>
              </w:tc>
            </w:tr>
            <w:tr w14:paraId="3C857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14:paraId="55696A55">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（非居民区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6.5m</w:t>
                  </w:r>
                  <w:r>
                    <w:rPr>
                      <w:rFonts w:hint="eastAsia"/>
                      <w:color w:val="000000" w:themeColor="text1"/>
                      <w:szCs w:val="21"/>
                      <w14:textFill>
                        <w14:solidFill>
                          <w14:schemeClr w14:val="tx1"/>
                        </w14:solidFill>
                      </w14:textFill>
                    </w:rPr>
                    <w:t>）</w:t>
                  </w:r>
                </w:p>
              </w:tc>
            </w:tr>
            <w:tr w14:paraId="0F445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3" w:type="dxa"/>
                </w:tcPr>
                <w:p w14:paraId="4907E587">
                  <w:pPr>
                    <w:keepNext w:val="0"/>
                    <w:keepLines w:val="0"/>
                    <w:suppressLineNumbers w:val="0"/>
                    <w:spacing w:before="0" w:beforeAutospacing="0" w:after="0" w:afterAutospacing="0"/>
                    <w:ind w:left="0" w:right="0"/>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500630" cy="1516380"/>
                        <wp:effectExtent l="0" t="0" r="13970" b="7620"/>
                        <wp:docPr id="6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5"/>
                                <pic:cNvPicPr>
                                  <a:picLocks noChangeAspect="1"/>
                                </pic:cNvPicPr>
                              </pic:nvPicPr>
                              <pic:blipFill>
                                <a:blip r:embed="rId49"/>
                                <a:stretch>
                                  <a:fillRect/>
                                </a:stretch>
                              </pic:blipFill>
                              <pic:spPr>
                                <a:xfrm>
                                  <a:off x="0" y="0"/>
                                  <a:ext cx="2500630" cy="1516380"/>
                                </a:xfrm>
                                <a:prstGeom prst="rect">
                                  <a:avLst/>
                                </a:prstGeom>
                                <a:noFill/>
                                <a:ln>
                                  <a:noFill/>
                                </a:ln>
                              </pic:spPr>
                            </pic:pic>
                          </a:graphicData>
                        </a:graphic>
                      </wp:inline>
                    </w:drawing>
                  </w:r>
                </w:p>
              </w:tc>
              <w:tc>
                <w:tcPr>
                  <w:tcW w:w="4133" w:type="dxa"/>
                </w:tcPr>
                <w:p w14:paraId="715047DB">
                  <w:pPr>
                    <w:keepNext w:val="0"/>
                    <w:keepLines w:val="0"/>
                    <w:suppressLineNumbers w:val="0"/>
                    <w:spacing w:before="0" w:beforeAutospacing="0" w:after="0" w:afterAutospacing="0"/>
                    <w:ind w:left="0" w:right="0"/>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490470" cy="1516380"/>
                        <wp:effectExtent l="0" t="0" r="5080" b="7620"/>
                        <wp:docPr id="6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6"/>
                                <pic:cNvPicPr>
                                  <a:picLocks noChangeAspect="1"/>
                                </pic:cNvPicPr>
                              </pic:nvPicPr>
                              <pic:blipFill>
                                <a:blip r:embed="rId50"/>
                                <a:stretch>
                                  <a:fillRect/>
                                </a:stretch>
                              </pic:blipFill>
                              <pic:spPr>
                                <a:xfrm>
                                  <a:off x="0" y="0"/>
                                  <a:ext cx="2490470" cy="1516380"/>
                                </a:xfrm>
                                <a:prstGeom prst="rect">
                                  <a:avLst/>
                                </a:prstGeom>
                                <a:noFill/>
                                <a:ln>
                                  <a:noFill/>
                                </a:ln>
                              </pic:spPr>
                            </pic:pic>
                          </a:graphicData>
                        </a:graphic>
                      </wp:inline>
                    </w:drawing>
                  </w:r>
                </w:p>
              </w:tc>
            </w:tr>
            <w:tr w14:paraId="07296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3" w:type="dxa"/>
                </w:tcPr>
                <w:p w14:paraId="17F3E542">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工频电场强度</w:t>
                  </w:r>
                </w:p>
              </w:tc>
              <w:tc>
                <w:tcPr>
                  <w:tcW w:w="4133" w:type="dxa"/>
                </w:tcPr>
                <w:p w14:paraId="51A5C942">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磁感应强度</w:t>
                  </w:r>
                </w:p>
              </w:tc>
            </w:tr>
            <w:tr w14:paraId="7DC65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14:paraId="6530D2BC">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（居民区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7.5m</w:t>
                  </w:r>
                  <w:r>
                    <w:rPr>
                      <w:rFonts w:hint="eastAsia"/>
                      <w:color w:val="000000" w:themeColor="text1"/>
                      <w:szCs w:val="21"/>
                      <w14:textFill>
                        <w14:solidFill>
                          <w14:schemeClr w14:val="tx1"/>
                        </w14:solidFill>
                      </w14:textFill>
                    </w:rPr>
                    <w:t>）</w:t>
                  </w:r>
                </w:p>
              </w:tc>
            </w:tr>
            <w:tr w14:paraId="139D7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14:paraId="1384100D">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default"/>
                    </w:rPr>
                    <w:drawing>
                      <wp:inline distT="0" distB="0" distL="114300" distR="114300">
                        <wp:extent cx="2498725" cy="1556385"/>
                        <wp:effectExtent l="0" t="0" r="15875" b="5715"/>
                        <wp:docPr id="6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7"/>
                                <pic:cNvPicPr>
                                  <a:picLocks noChangeAspect="1"/>
                                </pic:cNvPicPr>
                              </pic:nvPicPr>
                              <pic:blipFill>
                                <a:blip r:embed="rId51"/>
                                <a:stretch>
                                  <a:fillRect/>
                                </a:stretch>
                              </pic:blipFill>
                              <pic:spPr>
                                <a:xfrm>
                                  <a:off x="0" y="0"/>
                                  <a:ext cx="2498725" cy="1556385"/>
                                </a:xfrm>
                                <a:prstGeom prst="rect">
                                  <a:avLst/>
                                </a:prstGeom>
                                <a:noFill/>
                                <a:ln>
                                  <a:noFill/>
                                </a:ln>
                              </pic:spPr>
                            </pic:pic>
                          </a:graphicData>
                        </a:graphic>
                      </wp:inline>
                    </w:drawing>
                  </w:r>
                </w:p>
              </w:tc>
              <w:tc>
                <w:tcPr>
                  <w:tcW w:w="4148" w:type="dxa"/>
                </w:tcPr>
                <w:p w14:paraId="7F5FD2E7">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default"/>
                    </w:rPr>
                    <w:drawing>
                      <wp:inline distT="0" distB="0" distL="114300" distR="114300">
                        <wp:extent cx="2491105" cy="1545590"/>
                        <wp:effectExtent l="0" t="0" r="4445" b="16510"/>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52"/>
                                <a:stretch>
                                  <a:fillRect/>
                                </a:stretch>
                              </pic:blipFill>
                              <pic:spPr>
                                <a:xfrm>
                                  <a:off x="0" y="0"/>
                                  <a:ext cx="2491105" cy="1545590"/>
                                </a:xfrm>
                                <a:prstGeom prst="rect">
                                  <a:avLst/>
                                </a:prstGeom>
                                <a:noFill/>
                                <a:ln>
                                  <a:noFill/>
                                </a:ln>
                              </pic:spPr>
                            </pic:pic>
                          </a:graphicData>
                        </a:graphic>
                      </wp:inline>
                    </w:drawing>
                  </w:r>
                </w:p>
              </w:tc>
            </w:tr>
            <w:tr w14:paraId="39087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top"/>
                </w:tcPr>
                <w:p w14:paraId="56379D7B">
                  <w:pPr>
                    <w:keepNext w:val="0"/>
                    <w:keepLines w:val="0"/>
                    <w:suppressLineNumbers w:val="0"/>
                    <w:spacing w:before="0" w:beforeAutospacing="0" w:after="0" w:afterAutospacing="0"/>
                    <w:ind w:left="0" w:leftChars="0" w:right="0" w:rightChars="0"/>
                    <w:jc w:val="center"/>
                    <w:rPr>
                      <w:rFonts w:hint="eastAsia"/>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工频电场强度</w:t>
                  </w:r>
                </w:p>
              </w:tc>
              <w:tc>
                <w:tcPr>
                  <w:tcW w:w="4148" w:type="dxa"/>
                  <w:vAlign w:val="top"/>
                </w:tcPr>
                <w:p w14:paraId="5A3189DF">
                  <w:pPr>
                    <w:keepNext w:val="0"/>
                    <w:keepLines w:val="0"/>
                    <w:suppressLineNumbers w:val="0"/>
                    <w:spacing w:before="0" w:beforeAutospacing="0" w:after="0" w:afterAutospacing="0"/>
                    <w:ind w:left="0" w:leftChars="0" w:right="0" w:rightChars="0"/>
                    <w:jc w:val="center"/>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磁感应强度</w:t>
                  </w:r>
                </w:p>
              </w:tc>
            </w:tr>
            <w:tr w14:paraId="68825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14:paraId="58629823">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实际距离</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14.0m</w:t>
                  </w:r>
                  <w:r>
                    <w:rPr>
                      <w:rFonts w:hint="eastAsia"/>
                      <w:color w:val="000000" w:themeColor="text1"/>
                      <w:szCs w:val="21"/>
                      <w14:textFill>
                        <w14:solidFill>
                          <w14:schemeClr w14:val="tx1"/>
                        </w14:solidFill>
                      </w14:textFill>
                    </w:rPr>
                    <w:t>）</w:t>
                  </w:r>
                </w:p>
              </w:tc>
            </w:tr>
          </w:tbl>
          <w:p w14:paraId="608E5673">
            <w:pPr>
              <w:pStyle w:val="74"/>
              <w:keepNext w:val="0"/>
              <w:keepLines w:val="0"/>
              <w:suppressLineNumbers w:val="0"/>
              <w:spacing w:before="0" w:beforeAutospacing="0" w:after="0" w:afterAutospacing="0" w:line="240" w:lineRule="auto"/>
              <w:ind w:left="0" w:right="0" w:firstLine="42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图 </w:t>
            </w:r>
            <w:r>
              <w:rPr>
                <w:rFonts w:hint="eastAsia" w:cs="Times New Roman"/>
                <w:b/>
                <w:bCs/>
                <w:color w:val="000000" w:themeColor="text1"/>
                <w:kern w:val="2"/>
                <w:sz w:val="24"/>
                <w:szCs w:val="24"/>
                <w:lang w:val="en-US" w:eastAsia="zh-CN" w:bidi="ar-SA"/>
                <w14:textFill>
                  <w14:solidFill>
                    <w14:schemeClr w14:val="tx1"/>
                  </w14:solidFill>
                </w14:textFill>
              </w:rPr>
              <w:t>5</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22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0kV输电线路（ZB</w:t>
            </w:r>
            <w:r>
              <w:rPr>
                <w:rFonts w:hint="eastAsia" w:cs="Times New Roman"/>
                <w:b/>
                <w:bCs/>
                <w:color w:val="000000" w:themeColor="text1"/>
                <w:kern w:val="2"/>
                <w:sz w:val="24"/>
                <w:szCs w:val="24"/>
                <w:lang w:val="en-US" w:eastAsia="zh-CN" w:bidi="ar-SA"/>
                <w14:textFill>
                  <w14:solidFill>
                    <w14:schemeClr w14:val="tx1"/>
                  </w14:solidFill>
                </w14:textFill>
              </w:rPr>
              <w:t>1</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）磁感应强度分布趋势图</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9"/>
              <w:gridCol w:w="4177"/>
            </w:tblGrid>
            <w:tr w14:paraId="7C0C0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82" w:type="pct"/>
                </w:tcPr>
                <w:p w14:paraId="3ED0299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2"/>
                      <w:sz w:val="24"/>
                      <w:szCs w:val="24"/>
                      <w:vertAlign w:val="baseline"/>
                      <w:lang w:val="en-US" w:eastAsia="zh-CN" w:bidi="ar-SA"/>
                      <w14:textFill>
                        <w14:solidFill>
                          <w14:schemeClr w14:val="tx1"/>
                        </w14:solidFill>
                      </w14:textFill>
                    </w:rPr>
                  </w:pPr>
                  <w:r>
                    <w:rPr>
                      <w:rFonts w:hint="default"/>
                    </w:rPr>
                    <w:drawing>
                      <wp:inline distT="0" distB="0" distL="114300" distR="114300">
                        <wp:extent cx="2513965" cy="1264920"/>
                        <wp:effectExtent l="0" t="0" r="635" b="11430"/>
                        <wp:docPr id="9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5"/>
                                <pic:cNvPicPr>
                                  <a:picLocks noChangeAspect="1"/>
                                </pic:cNvPicPr>
                              </pic:nvPicPr>
                              <pic:blipFill>
                                <a:blip r:embed="rId53"/>
                                <a:stretch>
                                  <a:fillRect/>
                                </a:stretch>
                              </pic:blipFill>
                              <pic:spPr>
                                <a:xfrm>
                                  <a:off x="0" y="0"/>
                                  <a:ext cx="2513965" cy="1264920"/>
                                </a:xfrm>
                                <a:prstGeom prst="rect">
                                  <a:avLst/>
                                </a:prstGeom>
                                <a:noFill/>
                                <a:ln>
                                  <a:noFill/>
                                </a:ln>
                              </pic:spPr>
                            </pic:pic>
                          </a:graphicData>
                        </a:graphic>
                      </wp:inline>
                    </w:drawing>
                  </w:r>
                </w:p>
              </w:tc>
              <w:tc>
                <w:tcPr>
                  <w:tcW w:w="2517" w:type="pct"/>
                </w:tcPr>
                <w:p w14:paraId="70ED3DD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2"/>
                      <w:sz w:val="24"/>
                      <w:szCs w:val="24"/>
                      <w:vertAlign w:val="baseline"/>
                      <w:lang w:val="en-US" w:eastAsia="zh-CN" w:bidi="ar-SA"/>
                      <w14:textFill>
                        <w14:solidFill>
                          <w14:schemeClr w14:val="tx1"/>
                        </w14:solidFill>
                      </w14:textFill>
                    </w:rPr>
                  </w:pPr>
                  <w:r>
                    <w:rPr>
                      <w:rFonts w:hint="default"/>
                    </w:rPr>
                    <w:drawing>
                      <wp:inline distT="0" distB="0" distL="114300" distR="114300">
                        <wp:extent cx="2540000" cy="1279525"/>
                        <wp:effectExtent l="0" t="0" r="12700" b="15875"/>
                        <wp:docPr id="9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6"/>
                                <pic:cNvPicPr>
                                  <a:picLocks noChangeAspect="1"/>
                                </pic:cNvPicPr>
                              </pic:nvPicPr>
                              <pic:blipFill>
                                <a:blip r:embed="rId54"/>
                                <a:stretch>
                                  <a:fillRect/>
                                </a:stretch>
                              </pic:blipFill>
                              <pic:spPr>
                                <a:xfrm>
                                  <a:off x="0" y="0"/>
                                  <a:ext cx="2540000" cy="1279525"/>
                                </a:xfrm>
                                <a:prstGeom prst="rect">
                                  <a:avLst/>
                                </a:prstGeom>
                                <a:noFill/>
                                <a:ln>
                                  <a:noFill/>
                                </a:ln>
                              </pic:spPr>
                            </pic:pic>
                          </a:graphicData>
                        </a:graphic>
                      </wp:inline>
                    </w:drawing>
                  </w:r>
                </w:p>
              </w:tc>
            </w:tr>
            <w:tr w14:paraId="2A7F6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1839BE7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6.5m</w:t>
                  </w:r>
                </w:p>
              </w:tc>
              <w:tc>
                <w:tcPr>
                  <w:tcW w:w="2517" w:type="pct"/>
                  <w:vAlign w:val="top"/>
                </w:tcPr>
                <w:p w14:paraId="598A5D0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6.5</w:t>
                  </w:r>
                  <w:r>
                    <w:rPr>
                      <w:rFonts w:hint="default" w:ascii="Times New Roman" w:hAnsi="Times New Roman" w:eastAsia="宋体" w:cs="Times New Roman"/>
                      <w:color w:val="000000" w:themeColor="text1"/>
                      <w:lang w:val="en-US" w:eastAsia="zh-CN"/>
                      <w14:textFill>
                        <w14:solidFill>
                          <w14:schemeClr w14:val="tx1"/>
                        </w14:solidFill>
                      </w14:textFill>
                    </w:rPr>
                    <w:t>m</w:t>
                  </w:r>
                </w:p>
              </w:tc>
            </w:tr>
            <w:tr w14:paraId="58A26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2AC014EC">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rPr>
                    <w:drawing>
                      <wp:inline distT="0" distB="0" distL="114300" distR="114300">
                        <wp:extent cx="2515235" cy="1259840"/>
                        <wp:effectExtent l="0" t="0" r="18415" b="16510"/>
                        <wp:docPr id="10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2"/>
                                <pic:cNvPicPr>
                                  <a:picLocks noChangeAspect="1"/>
                                </pic:cNvPicPr>
                              </pic:nvPicPr>
                              <pic:blipFill>
                                <a:blip r:embed="rId55"/>
                                <a:stretch>
                                  <a:fillRect/>
                                </a:stretch>
                              </pic:blipFill>
                              <pic:spPr>
                                <a:xfrm>
                                  <a:off x="0" y="0"/>
                                  <a:ext cx="2515235" cy="1259840"/>
                                </a:xfrm>
                                <a:prstGeom prst="rect">
                                  <a:avLst/>
                                </a:prstGeom>
                                <a:noFill/>
                                <a:ln>
                                  <a:noFill/>
                                </a:ln>
                              </pic:spPr>
                            </pic:pic>
                          </a:graphicData>
                        </a:graphic>
                      </wp:inline>
                    </w:drawing>
                  </w:r>
                </w:p>
              </w:tc>
              <w:tc>
                <w:tcPr>
                  <w:tcW w:w="2517" w:type="pct"/>
                  <w:vAlign w:val="top"/>
                </w:tcPr>
                <w:p w14:paraId="29566DC9">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rPr>
                    <w:drawing>
                      <wp:inline distT="0" distB="0" distL="114300" distR="114300">
                        <wp:extent cx="2554605" cy="1268095"/>
                        <wp:effectExtent l="0" t="0" r="17145" b="8255"/>
                        <wp:docPr id="1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3"/>
                                <pic:cNvPicPr>
                                  <a:picLocks noChangeAspect="1"/>
                                </pic:cNvPicPr>
                              </pic:nvPicPr>
                              <pic:blipFill>
                                <a:blip r:embed="rId56"/>
                                <a:stretch>
                                  <a:fillRect/>
                                </a:stretch>
                              </pic:blipFill>
                              <pic:spPr>
                                <a:xfrm>
                                  <a:off x="0" y="0"/>
                                  <a:ext cx="2554605" cy="1268095"/>
                                </a:xfrm>
                                <a:prstGeom prst="rect">
                                  <a:avLst/>
                                </a:prstGeom>
                                <a:noFill/>
                                <a:ln>
                                  <a:noFill/>
                                </a:ln>
                              </pic:spPr>
                            </pic:pic>
                          </a:graphicData>
                        </a:graphic>
                      </wp:inline>
                    </w:drawing>
                  </w:r>
                </w:p>
              </w:tc>
            </w:tr>
            <w:tr w14:paraId="45EF1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6EEC40C6">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7.5m</w:t>
                  </w:r>
                </w:p>
              </w:tc>
              <w:tc>
                <w:tcPr>
                  <w:tcW w:w="2517" w:type="pct"/>
                  <w:vAlign w:val="top"/>
                </w:tcPr>
                <w:p w14:paraId="255DE735">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7.5</w:t>
                  </w:r>
                  <w:r>
                    <w:rPr>
                      <w:rFonts w:hint="default" w:ascii="Times New Roman" w:hAnsi="Times New Roman" w:eastAsia="宋体" w:cs="Times New Roman"/>
                      <w:color w:val="000000" w:themeColor="text1"/>
                      <w:lang w:val="en-US" w:eastAsia="zh-CN"/>
                      <w14:textFill>
                        <w14:solidFill>
                          <w14:schemeClr w14:val="tx1"/>
                        </w14:solidFill>
                      </w14:textFill>
                    </w:rPr>
                    <w:t>m</w:t>
                  </w:r>
                </w:p>
              </w:tc>
            </w:tr>
            <w:tr w14:paraId="66A10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383C226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rPr>
                    <w:drawing>
                      <wp:inline distT="0" distB="0" distL="114300" distR="114300">
                        <wp:extent cx="2524760" cy="1264285"/>
                        <wp:effectExtent l="0" t="0" r="8890" b="12065"/>
                        <wp:docPr id="10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0"/>
                                <pic:cNvPicPr>
                                  <a:picLocks noChangeAspect="1"/>
                                </pic:cNvPicPr>
                              </pic:nvPicPr>
                              <pic:blipFill>
                                <a:blip r:embed="rId57"/>
                                <a:stretch>
                                  <a:fillRect/>
                                </a:stretch>
                              </pic:blipFill>
                              <pic:spPr>
                                <a:xfrm>
                                  <a:off x="0" y="0"/>
                                  <a:ext cx="2524760" cy="1264285"/>
                                </a:xfrm>
                                <a:prstGeom prst="rect">
                                  <a:avLst/>
                                </a:prstGeom>
                                <a:noFill/>
                                <a:ln>
                                  <a:noFill/>
                                </a:ln>
                              </pic:spPr>
                            </pic:pic>
                          </a:graphicData>
                        </a:graphic>
                      </wp:inline>
                    </w:drawing>
                  </w:r>
                </w:p>
              </w:tc>
              <w:tc>
                <w:tcPr>
                  <w:tcW w:w="2517" w:type="pct"/>
                  <w:vAlign w:val="top"/>
                </w:tcPr>
                <w:p w14:paraId="7D2F741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rPr>
                    <w:drawing>
                      <wp:inline distT="0" distB="0" distL="114300" distR="114300">
                        <wp:extent cx="2515235" cy="1274445"/>
                        <wp:effectExtent l="0" t="0" r="18415" b="1905"/>
                        <wp:docPr id="10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1"/>
                                <pic:cNvPicPr>
                                  <a:picLocks noChangeAspect="1"/>
                                </pic:cNvPicPr>
                              </pic:nvPicPr>
                              <pic:blipFill>
                                <a:blip r:embed="rId58"/>
                                <a:stretch>
                                  <a:fillRect/>
                                </a:stretch>
                              </pic:blipFill>
                              <pic:spPr>
                                <a:xfrm>
                                  <a:off x="0" y="0"/>
                                  <a:ext cx="2515235" cy="1274445"/>
                                </a:xfrm>
                                <a:prstGeom prst="rect">
                                  <a:avLst/>
                                </a:prstGeom>
                                <a:noFill/>
                                <a:ln>
                                  <a:noFill/>
                                </a:ln>
                              </pic:spPr>
                            </pic:pic>
                          </a:graphicData>
                        </a:graphic>
                      </wp:inline>
                    </w:drawing>
                  </w:r>
                </w:p>
              </w:tc>
            </w:tr>
            <w:tr w14:paraId="0C72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3B2BECA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14.0m</w:t>
                  </w:r>
                </w:p>
              </w:tc>
              <w:tc>
                <w:tcPr>
                  <w:tcW w:w="2517" w:type="pct"/>
                  <w:vAlign w:val="top"/>
                </w:tcPr>
                <w:p w14:paraId="6B8AEF3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14.0</w:t>
                  </w:r>
                  <w:r>
                    <w:rPr>
                      <w:rFonts w:hint="default" w:ascii="Times New Roman" w:hAnsi="Times New Roman" w:eastAsia="宋体" w:cs="Times New Roman"/>
                      <w:color w:val="000000" w:themeColor="text1"/>
                      <w:lang w:val="en-US" w:eastAsia="zh-CN"/>
                      <w14:textFill>
                        <w14:solidFill>
                          <w14:schemeClr w14:val="tx1"/>
                        </w14:solidFill>
                      </w14:textFill>
                    </w:rPr>
                    <w:t>m</w:t>
                  </w:r>
                </w:p>
              </w:tc>
            </w:tr>
          </w:tbl>
          <w:p w14:paraId="77FB06AE">
            <w:pPr>
              <w:pStyle w:val="74"/>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图 </w:t>
            </w:r>
            <w:r>
              <w:rPr>
                <w:rFonts w:hint="eastAsia" w:cs="Times New Roman"/>
                <w:b/>
                <w:bCs/>
                <w:color w:val="000000" w:themeColor="text1"/>
                <w:kern w:val="2"/>
                <w:sz w:val="24"/>
                <w:szCs w:val="24"/>
                <w:lang w:val="en-US" w:eastAsia="zh-CN" w:bidi="ar-SA"/>
                <w14:textFill>
                  <w14:solidFill>
                    <w14:schemeClr w14:val="tx1"/>
                  </w14:solidFill>
                </w14:textFill>
              </w:rPr>
              <w:t>6</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22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0kV输电线路（ZB</w:t>
            </w:r>
            <w:r>
              <w:rPr>
                <w:rFonts w:hint="eastAsia" w:cs="Times New Roman"/>
                <w:b/>
                <w:bCs/>
                <w:color w:val="000000" w:themeColor="text1"/>
                <w:kern w:val="2"/>
                <w:sz w:val="24"/>
                <w:szCs w:val="24"/>
                <w:lang w:val="en-US" w:eastAsia="zh-CN" w:bidi="ar-SA"/>
                <w14:textFill>
                  <w14:solidFill>
                    <w14:schemeClr w14:val="tx1"/>
                  </w14:solidFill>
                </w14:textFill>
              </w:rPr>
              <w:t>1</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）电磁等值线图</w:t>
            </w:r>
          </w:p>
          <w:p w14:paraId="526E3639">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bookmarkStart w:id="36" w:name="_Toc22557"/>
            <w:bookmarkStart w:id="37" w:name="_Toc6074"/>
            <w:bookmarkStart w:id="38" w:name="_Toc31154"/>
            <w:bookmarkStart w:id="39" w:name="_Toc254"/>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根据</w:t>
            </w:r>
            <w:r>
              <w:rPr>
                <w:rFonts w:hint="eastAsia" w:cs="Times New Roman"/>
                <w:b w:val="0"/>
                <w:bCs w:val="0"/>
                <w:color w:val="000000" w:themeColor="text1"/>
                <w:kern w:val="2"/>
                <w:sz w:val="24"/>
                <w:szCs w:val="24"/>
                <w:lang w:val="en-US" w:eastAsia="zh-CN" w:bidi="ar-SA"/>
                <w14:textFill>
                  <w14:solidFill>
                    <w14:schemeClr w14:val="tx1"/>
                  </w14:solidFill>
                </w14:textFill>
              </w:rPr>
              <w:t>理论计算结果</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可知</w:t>
            </w:r>
            <w:r>
              <w:rPr>
                <w:rFonts w:hint="eastAsia" w:cs="Times New Roman"/>
                <w:b w:val="0"/>
                <w:bCs w:val="0"/>
                <w:color w:val="000000" w:themeColor="text1"/>
                <w:kern w:val="2"/>
                <w:sz w:val="24"/>
                <w:szCs w:val="24"/>
                <w:lang w:val="en-US" w:eastAsia="zh-CN" w:bidi="ar-SA"/>
                <w14:textFill>
                  <w14:solidFill>
                    <w14:schemeClr w14:val="tx1"/>
                  </w14:solidFill>
                </w14:textFill>
              </w:rPr>
              <w:t>：</w:t>
            </w:r>
          </w:p>
          <w:p w14:paraId="666700EB">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cs="Times New Roman"/>
                <w:b w:val="0"/>
                <w:bCs w:val="0"/>
                <w:color w:val="000000" w:themeColor="text1"/>
                <w:sz w:val="24"/>
                <w:szCs w:val="24"/>
                <w:lang w:val="en-US" w:eastAsia="zh-CN"/>
                <w14:textFill>
                  <w14:solidFill>
                    <w14:schemeClr w14:val="tx1"/>
                  </w14:solidFill>
                </w14:textFill>
              </w:rPr>
              <w:t>ZB1：在</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预测高度为6.</w:t>
            </w:r>
            <w:r>
              <w:rPr>
                <w:rFonts w:hint="eastAsia" w:cs="Times New Roman"/>
                <w:b w:val="0"/>
                <w:bCs w:val="0"/>
                <w:color w:val="000000" w:themeColor="text1"/>
                <w:sz w:val="24"/>
                <w:szCs w:val="24"/>
                <w:lang w:val="en-US" w:eastAsia="zh-CN"/>
                <w14:textFill>
                  <w14:solidFill>
                    <w14:schemeClr w14:val="tx1"/>
                  </w14:solidFill>
                </w14:textFill>
              </w:rPr>
              <w:t>5</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m的情况下，</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本工程</w:t>
            </w:r>
            <w:r>
              <w:rPr>
                <w:rFonts w:hint="eastAsia" w:cs="Times New Roman"/>
                <w:b w:val="0"/>
                <w:bCs w:val="0"/>
                <w:color w:val="000000" w:themeColor="text1"/>
                <w:kern w:val="2"/>
                <w:sz w:val="24"/>
                <w:szCs w:val="24"/>
                <w:lang w:val="en-US" w:eastAsia="zh-CN" w:bidi="ar-SA"/>
                <w14:textFill>
                  <w14:solidFill>
                    <w14:schemeClr w14:val="tx1"/>
                  </w14:solidFill>
                </w14:textFill>
              </w:rPr>
              <w:t>220kV单回路</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架空</w:t>
            </w:r>
            <w:r>
              <w:rPr>
                <w:rFonts w:hint="eastAsia" w:cs="Times New Roman"/>
                <w:b w:val="0"/>
                <w:bCs w:val="0"/>
                <w:color w:val="000000" w:themeColor="text1"/>
                <w:kern w:val="2"/>
                <w:sz w:val="24"/>
                <w:szCs w:val="24"/>
                <w:lang w:val="en-US" w:eastAsia="zh-CN" w:bidi="ar-SA"/>
                <w14:textFill>
                  <w14:solidFill>
                    <w14:schemeClr w14:val="tx1"/>
                  </w14:solidFill>
                </w14:textFill>
              </w:rPr>
              <w:t>新建</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线路对地1.5m高度预测产生的电场强度最大为</w:t>
            </w:r>
            <w:r>
              <w:rPr>
                <w:rFonts w:hint="eastAsia" w:cs="Times New Roman"/>
                <w:b w:val="0"/>
                <w:bCs w:val="0"/>
                <w:color w:val="000000" w:themeColor="text1"/>
                <w:kern w:val="2"/>
                <w:sz w:val="24"/>
                <w:szCs w:val="24"/>
                <w:lang w:val="en-US" w:eastAsia="zh-CN" w:bidi="ar-SA"/>
                <w14:textFill>
                  <w14:solidFill>
                    <w14:schemeClr w14:val="tx1"/>
                  </w14:solidFill>
                </w14:textFill>
              </w:rPr>
              <w:t>5737.59</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V/m，磁感应强度最大为51.83</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μT</w:t>
            </w:r>
            <w:r>
              <w:rPr>
                <w:rFonts w:hint="eastAsia" w:cs="Times New Roman"/>
                <w:b w:val="0"/>
                <w:bCs w:val="0"/>
                <w:color w:val="000000" w:themeColor="text1"/>
                <w:kern w:val="2"/>
                <w:sz w:val="24"/>
                <w:szCs w:val="24"/>
                <w:lang w:val="en-US" w:eastAsia="zh-CN" w:bidi="ar-SA"/>
                <w14:textFill>
                  <w14:solidFill>
                    <w14:schemeClr w14:val="tx1"/>
                  </w14:solidFill>
                </w14:textFill>
              </w:rPr>
              <w:t>，满足《电磁环境控制限值》（GB 8702-2014）中耕地、园地、牧草地、畜禽饲养地、养殖水面、道路等非居民区场所工频电场强度10kV/m、磁感应强度100µT的限值要求。</w:t>
            </w:r>
            <w:r>
              <w:rPr>
                <w:rFonts w:hint="eastAsia" w:cs="Times New Roman"/>
                <w:b w:val="0"/>
                <w:bCs w:val="0"/>
                <w:color w:val="000000" w:themeColor="text1"/>
                <w:sz w:val="24"/>
                <w:szCs w:val="24"/>
                <w:lang w:val="en-US" w:eastAsia="zh-CN"/>
                <w14:textFill>
                  <w14:solidFill>
                    <w14:schemeClr w14:val="tx1"/>
                  </w14:solidFill>
                </w14:textFill>
              </w:rPr>
              <w:t>在</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预测高度为</w:t>
            </w:r>
            <w:r>
              <w:rPr>
                <w:rFonts w:hint="eastAsia" w:cs="Times New Roman"/>
                <w:b w:val="0"/>
                <w:bCs w:val="0"/>
                <w:color w:val="000000" w:themeColor="text1"/>
                <w:sz w:val="24"/>
                <w:szCs w:val="24"/>
                <w:lang w:val="en-US" w:eastAsia="zh-CN"/>
                <w14:textFill>
                  <w14:solidFill>
                    <w14:schemeClr w14:val="tx1"/>
                  </w14:solidFill>
                </w14:textFill>
              </w:rPr>
              <w:t>7.5</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m的情况下，</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本工程</w:t>
            </w:r>
            <w:r>
              <w:rPr>
                <w:rFonts w:hint="eastAsia" w:cs="Times New Roman"/>
                <w:b w:val="0"/>
                <w:bCs w:val="0"/>
                <w:color w:val="000000" w:themeColor="text1"/>
                <w:kern w:val="2"/>
                <w:sz w:val="24"/>
                <w:szCs w:val="24"/>
                <w:lang w:val="en-US" w:eastAsia="zh-CN" w:bidi="ar-SA"/>
                <w14:textFill>
                  <w14:solidFill>
                    <w14:schemeClr w14:val="tx1"/>
                  </w14:solidFill>
                </w14:textFill>
              </w:rPr>
              <w:t>220单回路</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架空</w:t>
            </w:r>
            <w:r>
              <w:rPr>
                <w:rFonts w:hint="eastAsia" w:cs="Times New Roman"/>
                <w:b w:val="0"/>
                <w:bCs w:val="0"/>
                <w:color w:val="000000" w:themeColor="text1"/>
                <w:kern w:val="2"/>
                <w:sz w:val="24"/>
                <w:szCs w:val="24"/>
                <w:lang w:val="en-US" w:eastAsia="zh-CN" w:bidi="ar-SA"/>
                <w14:textFill>
                  <w14:solidFill>
                    <w14:schemeClr w14:val="tx1"/>
                  </w14:solidFill>
                </w14:textFill>
              </w:rPr>
              <w:t>新建</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线路对地1.5m高度预测产生的电场强度最大为4508.26V/m，磁感应强度最大为41.83</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μT</w:t>
            </w:r>
            <w:r>
              <w:rPr>
                <w:rFonts w:hint="eastAsia" w:cs="Times New Roman"/>
                <w:b w:val="0"/>
                <w:bCs w:val="0"/>
                <w:color w:val="000000" w:themeColor="text1"/>
                <w:kern w:val="2"/>
                <w:sz w:val="24"/>
                <w:szCs w:val="24"/>
                <w:lang w:val="en-US" w:eastAsia="zh-CN" w:bidi="ar-SA"/>
                <w14:textFill>
                  <w14:solidFill>
                    <w14:schemeClr w14:val="tx1"/>
                  </w14:solidFill>
                </w14:textFill>
              </w:rPr>
              <w:t>，不</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满足《电磁环境控制限值》（GB 8702-2014）要求电场强度</w:t>
            </w:r>
            <w:r>
              <w:rPr>
                <w:rFonts w:hint="eastAsia" w:cs="Times New Roman"/>
                <w:b w:val="0"/>
                <w:bCs w:val="0"/>
                <w:color w:val="000000" w:themeColor="text1"/>
                <w:sz w:val="24"/>
                <w:szCs w:val="24"/>
                <w:lang w:val="en-US" w:eastAsia="zh-CN"/>
                <w14:textFill>
                  <w14:solidFill>
                    <w14:schemeClr w14:val="tx1"/>
                  </w14:solidFill>
                </w14:textFill>
              </w:rPr>
              <w:t>4000</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V/m，满足《电磁环境控制限值》（GB 8702-2014）要求磁感应强度100</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μT</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w:t>
            </w:r>
          </w:p>
          <w:p w14:paraId="38F19B90">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本项目</w:t>
            </w:r>
            <w:r>
              <w:rPr>
                <w:rFonts w:hint="eastAsia" w:cs="Times New Roman"/>
                <w:b w:val="0"/>
                <w:bCs w:val="0"/>
                <w:color w:val="000000" w:themeColor="text1"/>
                <w:sz w:val="24"/>
                <w:szCs w:val="24"/>
                <w:lang w:val="en-US" w:eastAsia="zh-CN"/>
                <w14:textFill>
                  <w14:solidFill>
                    <w14:schemeClr w14:val="tx1"/>
                  </w14:solidFill>
                </w14:textFill>
              </w:rPr>
              <w:t>在实际</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高度为</w:t>
            </w:r>
            <w:r>
              <w:rPr>
                <w:rFonts w:hint="eastAsia" w:cs="Times New Roman"/>
                <w:b w:val="0"/>
                <w:bCs w:val="0"/>
                <w:color w:val="000000" w:themeColor="text1"/>
                <w:sz w:val="24"/>
                <w:szCs w:val="24"/>
                <w:highlight w:val="none"/>
                <w:lang w:val="en-US" w:eastAsia="zh-CN"/>
                <w14:textFill>
                  <w14:solidFill>
                    <w14:schemeClr w14:val="tx1"/>
                  </w14:solidFill>
                </w14:textFill>
              </w:rPr>
              <w:t>14.0</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m</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的情况下，</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本工程</w:t>
            </w:r>
            <w:r>
              <w:rPr>
                <w:rFonts w:hint="eastAsia" w:cs="Times New Roman"/>
                <w:b w:val="0"/>
                <w:bCs w:val="0"/>
                <w:color w:val="000000" w:themeColor="text1"/>
                <w:kern w:val="2"/>
                <w:sz w:val="24"/>
                <w:szCs w:val="24"/>
                <w:lang w:val="en-US" w:eastAsia="zh-CN" w:bidi="ar-SA"/>
                <w14:textFill>
                  <w14:solidFill>
                    <w14:schemeClr w14:val="tx1"/>
                  </w14:solidFill>
                </w14:textFill>
              </w:rPr>
              <w:t>220kV单回路</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架空</w:t>
            </w:r>
            <w:r>
              <w:rPr>
                <w:rFonts w:hint="eastAsia" w:cs="Times New Roman"/>
                <w:b w:val="0"/>
                <w:bCs w:val="0"/>
                <w:color w:val="000000" w:themeColor="text1"/>
                <w:kern w:val="2"/>
                <w:sz w:val="24"/>
                <w:szCs w:val="24"/>
                <w:lang w:val="en-US" w:eastAsia="zh-CN" w:bidi="ar-SA"/>
                <w14:textFill>
                  <w14:solidFill>
                    <w14:schemeClr w14:val="tx1"/>
                  </w14:solidFill>
                </w14:textFill>
              </w:rPr>
              <w:t>新建</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线路对地1.5m高度预测产生的电场强度最大为1471.84V/m，磁感应强度最大为14.38</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μT</w:t>
            </w:r>
            <w:r>
              <w:rPr>
                <w:rFonts w:hint="eastAsia" w:cs="Times New Roman"/>
                <w:b w:val="0"/>
                <w:bCs w:val="0"/>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满足《电磁环境控制限值》（GB 8702-2014）要求（电场强度</w:t>
            </w:r>
            <w:r>
              <w:rPr>
                <w:rFonts w:hint="eastAsia" w:cs="Times New Roman"/>
                <w:b w:val="0"/>
                <w:bCs w:val="0"/>
                <w:color w:val="000000" w:themeColor="text1"/>
                <w:sz w:val="24"/>
                <w:szCs w:val="24"/>
                <w:lang w:val="en-US" w:eastAsia="zh-CN"/>
                <w14:textFill>
                  <w14:solidFill>
                    <w14:schemeClr w14:val="tx1"/>
                  </w14:solidFill>
                </w14:textFill>
              </w:rPr>
              <w:t>4000</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V/m，磁感应强度100</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μT</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w:t>
            </w:r>
          </w:p>
          <w:p w14:paraId="7DBC9A3C">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②22</w:t>
            </w:r>
            <w:r>
              <w:rPr>
                <w:rFonts w:hint="default"/>
                <w:color w:val="000000" w:themeColor="text1"/>
                <w:sz w:val="24"/>
                <w14:textFill>
                  <w14:solidFill>
                    <w14:schemeClr w14:val="tx1"/>
                  </w14:solidFill>
                </w14:textFill>
              </w:rPr>
              <w:t>0kV</w:t>
            </w:r>
            <w:r>
              <w:rPr>
                <w:rFonts w:hint="eastAsia" w:cs="Times New Roman"/>
                <w:b w:val="0"/>
                <w:bCs w:val="0"/>
                <w:color w:val="000000" w:themeColor="text1"/>
                <w:kern w:val="2"/>
                <w:sz w:val="24"/>
                <w:szCs w:val="24"/>
                <w:lang w:val="en-US" w:eastAsia="zh-CN" w:bidi="ar-SA"/>
                <w14:textFill>
                  <w14:solidFill>
                    <w14:schemeClr w14:val="tx1"/>
                  </w14:solidFill>
                </w14:textFill>
              </w:rPr>
              <w:t>新建</w:t>
            </w:r>
            <w:r>
              <w:rPr>
                <w:rFonts w:hint="default"/>
                <w:color w:val="000000" w:themeColor="text1"/>
                <w:sz w:val="24"/>
                <w14:textFill>
                  <w14:solidFill>
                    <w14:schemeClr w14:val="tx1"/>
                  </w14:solidFill>
                </w14:textFill>
              </w:rPr>
              <w:t>输电线路</w:t>
            </w:r>
            <w:r>
              <w:rPr>
                <w:rFonts w:hint="eastAsia"/>
                <w:color w:val="000000" w:themeColor="text1"/>
                <w:sz w:val="24"/>
                <w14:textFill>
                  <w14:solidFill>
                    <w14:schemeClr w14:val="tx1"/>
                  </w14:solidFill>
                </w14:textFill>
              </w:rPr>
              <w:t>（</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SDJ</w:t>
            </w:r>
            <w:r>
              <w:rPr>
                <w:rFonts w:hint="eastAsia"/>
                <w:color w:val="000000" w:themeColor="text1"/>
                <w:sz w:val="24"/>
                <w14:textFill>
                  <w14:solidFill>
                    <w14:schemeClr w14:val="tx1"/>
                  </w14:solidFill>
                </w14:textFill>
              </w:rPr>
              <w:t>）</w:t>
            </w:r>
            <w:r>
              <w:rPr>
                <w:rFonts w:hint="default"/>
                <w:color w:val="000000" w:themeColor="text1"/>
                <w:sz w:val="24"/>
                <w14:textFill>
                  <w14:solidFill>
                    <w14:schemeClr w14:val="tx1"/>
                  </w14:solidFill>
                </w14:textFill>
              </w:rPr>
              <w:t>工频电场、工频磁感应强度值理论计算见</w:t>
            </w:r>
            <w:r>
              <w:rPr>
                <w:rFonts w:hint="eastAsia"/>
                <w:color w:val="000000" w:themeColor="text1"/>
                <w:sz w:val="24"/>
                <w14:textFill>
                  <w14:solidFill>
                    <w14:schemeClr w14:val="tx1"/>
                  </w14:solidFill>
                </w14:textFill>
              </w:rPr>
              <w:t>下表，根据计算结果绘制的工频电场强度、工频磁感应强度分布趋势图</w:t>
            </w:r>
            <w:r>
              <w:rPr>
                <w:rFonts w:hint="default"/>
                <w:color w:val="000000" w:themeColor="text1"/>
                <w:sz w:val="24"/>
                <w14:textFill>
                  <w14:solidFill>
                    <w14:schemeClr w14:val="tx1"/>
                  </w14:solidFill>
                </w14:textFill>
              </w:rPr>
              <w:t>。</w:t>
            </w:r>
          </w:p>
          <w:p w14:paraId="57464BCA">
            <w:pPr>
              <w:pStyle w:val="71"/>
              <w:keepNext w:val="0"/>
              <w:keepLines w:val="0"/>
              <w:suppressLineNumbers w:val="0"/>
              <w:spacing w:before="0" w:beforeLines="0" w:beforeAutospacing="0" w:after="0" w:afterAutospacing="0" w:line="240" w:lineRule="auto"/>
              <w:ind w:left="0" w:right="0"/>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表 </w:t>
            </w:r>
            <w:r>
              <w:rPr>
                <w:rFonts w:hint="eastAsia" w:eastAsia="宋体" w:cs="Times New Roman"/>
                <w:b/>
                <w:bCs/>
                <w:color w:val="000000" w:themeColor="text1"/>
                <w:kern w:val="2"/>
                <w:sz w:val="24"/>
                <w:szCs w:val="24"/>
                <w:lang w:val="en-US" w:eastAsia="zh-CN" w:bidi="ar-SA"/>
                <w14:textFill>
                  <w14:solidFill>
                    <w14:schemeClr w14:val="tx1"/>
                  </w14:solidFill>
                </w14:textFill>
              </w:rPr>
              <w:t>10</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拟</w:t>
            </w:r>
            <w:r>
              <w:rPr>
                <w:rFonts w:hint="eastAsia" w:eastAsia="宋体" w:cs="Times New Roman"/>
                <w:b/>
                <w:bCs/>
                <w:color w:val="000000" w:themeColor="text1"/>
                <w:kern w:val="2"/>
                <w:sz w:val="24"/>
                <w:szCs w:val="24"/>
                <w:lang w:val="en-US" w:eastAsia="zh-CN" w:bidi="ar-SA"/>
                <w14:textFill>
                  <w14:solidFill>
                    <w14:schemeClr w14:val="tx1"/>
                  </w14:solidFill>
                </w14:textFill>
              </w:rPr>
              <w:t>新建</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输电线路工频电场、工频磁感应强度理论计算结果</w:t>
            </w:r>
            <w:r>
              <w:rPr>
                <w:rFonts w:hint="eastAsia" w:eastAsia="宋体" w:cs="Times New Roman"/>
                <w:b/>
                <w:bCs/>
                <w:color w:val="FF0000"/>
                <w:kern w:val="2"/>
                <w:sz w:val="24"/>
                <w:szCs w:val="24"/>
                <w:lang w:val="en-US" w:eastAsia="zh-CN" w:bidi="ar-SA"/>
              </w:rPr>
              <w:t>（双回路）</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1230"/>
              <w:gridCol w:w="1097"/>
              <w:gridCol w:w="991"/>
              <w:gridCol w:w="1097"/>
              <w:gridCol w:w="991"/>
              <w:gridCol w:w="1245"/>
              <w:gridCol w:w="1114"/>
            </w:tblGrid>
            <w:tr w14:paraId="15E7B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Merge w:val="restart"/>
                  <w:vAlign w:val="center"/>
                </w:tcPr>
                <w:p w14:paraId="4EE81FC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序号</w:t>
                  </w:r>
                </w:p>
              </w:tc>
              <w:tc>
                <w:tcPr>
                  <w:tcW w:w="741" w:type="pct"/>
                  <w:vAlign w:val="center"/>
                </w:tcPr>
                <w:p w14:paraId="1664C73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预测塔型</w:t>
                  </w:r>
                </w:p>
              </w:tc>
              <w:tc>
                <w:tcPr>
                  <w:tcW w:w="3936" w:type="pct"/>
                  <w:gridSpan w:val="6"/>
                  <w:vAlign w:val="center"/>
                </w:tcPr>
                <w:p w14:paraId="260229C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耐张</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塔：</w:t>
                  </w: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SDJ</w:t>
                  </w:r>
                </w:p>
              </w:tc>
            </w:tr>
            <w:tr w14:paraId="53D58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Merge w:val="continue"/>
                  <w:vAlign w:val="center"/>
                </w:tcPr>
                <w:p w14:paraId="402A1D9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p>
              </w:tc>
              <w:tc>
                <w:tcPr>
                  <w:tcW w:w="741" w:type="pct"/>
                  <w:vAlign w:val="center"/>
                </w:tcPr>
                <w:p w14:paraId="06A1842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最小垂直距离</w:t>
                  </w:r>
                </w:p>
              </w:tc>
              <w:tc>
                <w:tcPr>
                  <w:tcW w:w="1258" w:type="pct"/>
                  <w:gridSpan w:val="2"/>
                  <w:vAlign w:val="center"/>
                </w:tcPr>
                <w:p w14:paraId="7A7F3FB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22</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0kV线路：</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w:t>
                  </w: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m</w:t>
                  </w:r>
                </w:p>
                <w:p w14:paraId="4824B91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（非居民区）</w:t>
                  </w:r>
                </w:p>
              </w:tc>
              <w:tc>
                <w:tcPr>
                  <w:tcW w:w="1258" w:type="pct"/>
                  <w:gridSpan w:val="2"/>
                  <w:vAlign w:val="center"/>
                </w:tcPr>
                <w:p w14:paraId="3520961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22</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0kV线路：</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w:t>
                  </w: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m</w:t>
                  </w:r>
                </w:p>
                <w:p w14:paraId="64616CA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（居民区）</w:t>
                  </w:r>
                </w:p>
              </w:tc>
              <w:tc>
                <w:tcPr>
                  <w:tcW w:w="1419" w:type="pct"/>
                  <w:gridSpan w:val="2"/>
                  <w:vAlign w:val="center"/>
                </w:tcPr>
                <w:p w14:paraId="3D34E9A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22</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0kV线路：</w:t>
                  </w: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14.0m</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实际</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r>
            <w:tr w14:paraId="69531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320" w:type="pct"/>
                  <w:vMerge w:val="continue"/>
                  <w:vAlign w:val="center"/>
                </w:tcPr>
                <w:p w14:paraId="6D454D8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p>
              </w:tc>
              <w:tc>
                <w:tcPr>
                  <w:tcW w:w="741" w:type="pct"/>
                  <w:vAlign w:val="center"/>
                </w:tcPr>
                <w:p w14:paraId="4D7B67A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color w:val="000000" w:themeColor="text1"/>
                      <w:kern w:val="0"/>
                      <w:szCs w:val="21"/>
                      <w:lang w:eastAsia="zh-CN" w:bidi="ar"/>
                      <w14:textFill>
                        <w14:solidFill>
                          <w14:schemeClr w14:val="tx1"/>
                        </w14:solidFill>
                      </w14:textFill>
                    </w:rPr>
                    <w:t>线路中心距离</w:t>
                  </w:r>
                </w:p>
              </w:tc>
              <w:tc>
                <w:tcPr>
                  <w:tcW w:w="661" w:type="pct"/>
                  <w:vAlign w:val="center"/>
                </w:tcPr>
                <w:p w14:paraId="08A5BB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color w:val="000000" w:themeColor="text1"/>
                      <w:kern w:val="0"/>
                      <w:szCs w:val="21"/>
                      <w:lang w:eastAsia="zh-CN" w:bidi="ar"/>
                      <w14:textFill>
                        <w14:solidFill>
                          <w14:schemeClr w14:val="tx1"/>
                        </w14:solidFill>
                      </w14:textFill>
                    </w:rPr>
                    <w:t>工频电场强度（V/m）</w:t>
                  </w:r>
                </w:p>
              </w:tc>
              <w:tc>
                <w:tcPr>
                  <w:tcW w:w="596" w:type="pct"/>
                  <w:vAlign w:val="center"/>
                </w:tcPr>
                <w:p w14:paraId="0F890E8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color w:val="000000" w:themeColor="text1"/>
                      <w:kern w:val="0"/>
                      <w:szCs w:val="21"/>
                      <w:lang w:eastAsia="zh-CN" w:bidi="ar"/>
                      <w14:textFill>
                        <w14:solidFill>
                          <w14:schemeClr w14:val="tx1"/>
                        </w14:solidFill>
                      </w14:textFill>
                    </w:rPr>
                    <w:t>工频磁感应强度（μT）</w:t>
                  </w:r>
                </w:p>
              </w:tc>
              <w:tc>
                <w:tcPr>
                  <w:tcW w:w="661" w:type="pct"/>
                  <w:vAlign w:val="center"/>
                </w:tcPr>
                <w:p w14:paraId="70AFA00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color w:val="000000" w:themeColor="text1"/>
                      <w:kern w:val="0"/>
                      <w:szCs w:val="21"/>
                      <w:lang w:eastAsia="zh-CN" w:bidi="ar"/>
                      <w14:textFill>
                        <w14:solidFill>
                          <w14:schemeClr w14:val="tx1"/>
                        </w14:solidFill>
                      </w14:textFill>
                    </w:rPr>
                    <w:t>工频电场强度（V/m）</w:t>
                  </w:r>
                </w:p>
              </w:tc>
              <w:tc>
                <w:tcPr>
                  <w:tcW w:w="596" w:type="pct"/>
                  <w:vAlign w:val="center"/>
                </w:tcPr>
                <w:p w14:paraId="7F7EF6F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color w:val="000000" w:themeColor="text1"/>
                      <w:kern w:val="0"/>
                      <w:szCs w:val="21"/>
                      <w:lang w:eastAsia="zh-CN" w:bidi="ar"/>
                      <w14:textFill>
                        <w14:solidFill>
                          <w14:schemeClr w14:val="tx1"/>
                        </w14:solidFill>
                      </w14:textFill>
                    </w:rPr>
                    <w:t>工频磁感应强度（μT）</w:t>
                  </w:r>
                </w:p>
              </w:tc>
              <w:tc>
                <w:tcPr>
                  <w:tcW w:w="750" w:type="pct"/>
                  <w:vAlign w:val="center"/>
                </w:tcPr>
                <w:p w14:paraId="397F9C5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color w:val="000000" w:themeColor="text1"/>
                      <w:kern w:val="0"/>
                      <w:szCs w:val="21"/>
                      <w:lang w:eastAsia="zh-CN" w:bidi="ar"/>
                      <w14:textFill>
                        <w14:solidFill>
                          <w14:schemeClr w14:val="tx1"/>
                        </w14:solidFill>
                      </w14:textFill>
                    </w:rPr>
                    <w:t>工频电场强度（V/m）</w:t>
                  </w:r>
                </w:p>
              </w:tc>
              <w:tc>
                <w:tcPr>
                  <w:tcW w:w="668" w:type="pct"/>
                  <w:vAlign w:val="center"/>
                </w:tcPr>
                <w:p w14:paraId="7F3A1B3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color w:val="000000" w:themeColor="text1"/>
                      <w:kern w:val="0"/>
                      <w:szCs w:val="21"/>
                      <w:lang w:eastAsia="zh-CN" w:bidi="ar"/>
                      <w14:textFill>
                        <w14:solidFill>
                          <w14:schemeClr w14:val="tx1"/>
                        </w14:solidFill>
                      </w14:textFill>
                    </w:rPr>
                    <w:t>工频磁感应强度（μT）</w:t>
                  </w:r>
                </w:p>
              </w:tc>
            </w:tr>
            <w:tr w14:paraId="00DE0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0" w:type="pct"/>
                  <w:vAlign w:val="center"/>
                </w:tcPr>
                <w:p w14:paraId="2AF2F40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w:t>
                  </w:r>
                </w:p>
              </w:tc>
              <w:tc>
                <w:tcPr>
                  <w:tcW w:w="741" w:type="pct"/>
                  <w:vAlign w:val="center"/>
                </w:tcPr>
                <w:p w14:paraId="5BF4234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-50,1.5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7EB00A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291.24 </w:t>
                  </w:r>
                </w:p>
              </w:tc>
              <w:tc>
                <w:tcPr>
                  <w:tcW w:w="991" w:type="dxa"/>
                  <w:vAlign w:val="bottom"/>
                </w:tcPr>
                <w:p w14:paraId="40A113D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2.68 </w:t>
                  </w:r>
                </w:p>
              </w:tc>
              <w:tc>
                <w:tcPr>
                  <w:tcW w:w="1097" w:type="dxa"/>
                  <w:vAlign w:val="bottom"/>
                </w:tcPr>
                <w:p w14:paraId="5B1CB25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280.91 </w:t>
                  </w:r>
                </w:p>
              </w:tc>
              <w:tc>
                <w:tcPr>
                  <w:tcW w:w="991" w:type="dxa"/>
                  <w:vAlign w:val="bottom"/>
                </w:tcPr>
                <w:p w14:paraId="7EA1C5E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2.65 </w:t>
                  </w:r>
                </w:p>
              </w:tc>
              <w:tc>
                <w:tcPr>
                  <w:tcW w:w="1245" w:type="dxa"/>
                  <w:vAlign w:val="bottom"/>
                </w:tcPr>
                <w:p w14:paraId="508D5E5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206.60 </w:t>
                  </w:r>
                </w:p>
              </w:tc>
              <w:tc>
                <w:tcPr>
                  <w:tcW w:w="1114" w:type="dxa"/>
                  <w:vAlign w:val="bottom"/>
                </w:tcPr>
                <w:p w14:paraId="5444965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2.44 </w:t>
                  </w:r>
                </w:p>
              </w:tc>
            </w:tr>
            <w:tr w14:paraId="3364B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8238FB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w:t>
                  </w:r>
                </w:p>
              </w:tc>
              <w:tc>
                <w:tcPr>
                  <w:tcW w:w="741" w:type="pct"/>
                  <w:vAlign w:val="center"/>
                </w:tcPr>
                <w:p w14:paraId="5C4F68F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-49,1.5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1528463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300.32 </w:t>
                  </w:r>
                </w:p>
              </w:tc>
              <w:tc>
                <w:tcPr>
                  <w:tcW w:w="991" w:type="dxa"/>
                  <w:vAlign w:val="bottom"/>
                </w:tcPr>
                <w:p w14:paraId="2D19AA0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2.79 </w:t>
                  </w:r>
                </w:p>
              </w:tc>
              <w:tc>
                <w:tcPr>
                  <w:tcW w:w="1097" w:type="dxa"/>
                  <w:vAlign w:val="bottom"/>
                </w:tcPr>
                <w:p w14:paraId="6507E18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289.14 </w:t>
                  </w:r>
                </w:p>
              </w:tc>
              <w:tc>
                <w:tcPr>
                  <w:tcW w:w="991" w:type="dxa"/>
                  <w:vAlign w:val="bottom"/>
                </w:tcPr>
                <w:p w14:paraId="60347D1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2.76 </w:t>
                  </w:r>
                </w:p>
              </w:tc>
              <w:tc>
                <w:tcPr>
                  <w:tcW w:w="1245" w:type="dxa"/>
                  <w:vAlign w:val="bottom"/>
                </w:tcPr>
                <w:p w14:paraId="1D9A5E8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209.46 </w:t>
                  </w:r>
                </w:p>
              </w:tc>
              <w:tc>
                <w:tcPr>
                  <w:tcW w:w="1114" w:type="dxa"/>
                  <w:vAlign w:val="bottom"/>
                </w:tcPr>
                <w:p w14:paraId="75F06F7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2.53 </w:t>
                  </w:r>
                </w:p>
              </w:tc>
            </w:tr>
            <w:tr w14:paraId="5ADA8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58ACF6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w:t>
                  </w:r>
                </w:p>
              </w:tc>
              <w:tc>
                <w:tcPr>
                  <w:tcW w:w="741" w:type="pct"/>
                  <w:vAlign w:val="center"/>
                </w:tcPr>
                <w:p w14:paraId="683A491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-48,1.5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578EE62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309.72 </w:t>
                  </w:r>
                </w:p>
              </w:tc>
              <w:tc>
                <w:tcPr>
                  <w:tcW w:w="991" w:type="dxa"/>
                  <w:vAlign w:val="bottom"/>
                </w:tcPr>
                <w:p w14:paraId="689D241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2.90 </w:t>
                  </w:r>
                </w:p>
              </w:tc>
              <w:tc>
                <w:tcPr>
                  <w:tcW w:w="1097" w:type="dxa"/>
                  <w:vAlign w:val="bottom"/>
                </w:tcPr>
                <w:p w14:paraId="4736FF1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297.61 </w:t>
                  </w:r>
                </w:p>
              </w:tc>
              <w:tc>
                <w:tcPr>
                  <w:tcW w:w="991" w:type="dxa"/>
                  <w:vAlign w:val="bottom"/>
                </w:tcPr>
                <w:p w14:paraId="3FA5203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2.87 </w:t>
                  </w:r>
                </w:p>
              </w:tc>
              <w:tc>
                <w:tcPr>
                  <w:tcW w:w="1245" w:type="dxa"/>
                  <w:vAlign w:val="bottom"/>
                </w:tcPr>
                <w:p w14:paraId="044A47E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212.11 </w:t>
                  </w:r>
                </w:p>
              </w:tc>
              <w:tc>
                <w:tcPr>
                  <w:tcW w:w="1114" w:type="dxa"/>
                  <w:vAlign w:val="bottom"/>
                </w:tcPr>
                <w:p w14:paraId="2207903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2.62 </w:t>
                  </w:r>
                </w:p>
              </w:tc>
            </w:tr>
            <w:tr w14:paraId="4F677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976B1B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w:t>
                  </w:r>
                </w:p>
              </w:tc>
              <w:tc>
                <w:tcPr>
                  <w:tcW w:w="741" w:type="pct"/>
                  <w:vAlign w:val="center"/>
                </w:tcPr>
                <w:p w14:paraId="0A32502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（-47,1.5）</w:t>
                  </w:r>
                </w:p>
              </w:tc>
              <w:tc>
                <w:tcPr>
                  <w:tcW w:w="1096" w:type="dxa"/>
                  <w:vAlign w:val="bottom"/>
                </w:tcPr>
                <w:p w14:paraId="4763C46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319.45 </w:t>
                  </w:r>
                </w:p>
              </w:tc>
              <w:tc>
                <w:tcPr>
                  <w:tcW w:w="991" w:type="dxa"/>
                  <w:vAlign w:val="bottom"/>
                </w:tcPr>
                <w:p w14:paraId="059BA8F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3.03 </w:t>
                  </w:r>
                </w:p>
              </w:tc>
              <w:tc>
                <w:tcPr>
                  <w:tcW w:w="1097" w:type="dxa"/>
                  <w:vAlign w:val="bottom"/>
                </w:tcPr>
                <w:p w14:paraId="571271F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306.32 </w:t>
                  </w:r>
                </w:p>
              </w:tc>
              <w:tc>
                <w:tcPr>
                  <w:tcW w:w="991" w:type="dxa"/>
                  <w:vAlign w:val="bottom"/>
                </w:tcPr>
                <w:p w14:paraId="02DFC4D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2.99 </w:t>
                  </w:r>
                </w:p>
              </w:tc>
              <w:tc>
                <w:tcPr>
                  <w:tcW w:w="1245" w:type="dxa"/>
                  <w:vAlign w:val="bottom"/>
                </w:tcPr>
                <w:p w14:paraId="3D12364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214.52 </w:t>
                  </w:r>
                </w:p>
              </w:tc>
              <w:tc>
                <w:tcPr>
                  <w:tcW w:w="1114" w:type="dxa"/>
                  <w:vAlign w:val="bottom"/>
                </w:tcPr>
                <w:p w14:paraId="5859CDF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2.72 </w:t>
                  </w:r>
                </w:p>
              </w:tc>
            </w:tr>
            <w:tr w14:paraId="58B20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A9043D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w:t>
                  </w:r>
                </w:p>
              </w:tc>
              <w:tc>
                <w:tcPr>
                  <w:tcW w:w="741" w:type="pct"/>
                  <w:vAlign w:val="center"/>
                </w:tcPr>
                <w:p w14:paraId="573894F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-46,1.5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1472D0C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329.51 </w:t>
                  </w:r>
                </w:p>
              </w:tc>
              <w:tc>
                <w:tcPr>
                  <w:tcW w:w="991" w:type="dxa"/>
                  <w:vAlign w:val="bottom"/>
                </w:tcPr>
                <w:p w14:paraId="6A3CDFC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3.16 </w:t>
                  </w:r>
                </w:p>
              </w:tc>
              <w:tc>
                <w:tcPr>
                  <w:tcW w:w="1097" w:type="dxa"/>
                  <w:vAlign w:val="bottom"/>
                </w:tcPr>
                <w:p w14:paraId="7F5AD7B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315.27 </w:t>
                  </w:r>
                </w:p>
              </w:tc>
              <w:tc>
                <w:tcPr>
                  <w:tcW w:w="991" w:type="dxa"/>
                  <w:vAlign w:val="bottom"/>
                </w:tcPr>
                <w:p w14:paraId="2DE84FF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3.12 </w:t>
                  </w:r>
                </w:p>
              </w:tc>
              <w:tc>
                <w:tcPr>
                  <w:tcW w:w="1245" w:type="dxa"/>
                  <w:vAlign w:val="bottom"/>
                </w:tcPr>
                <w:p w14:paraId="629D3CC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216.64 </w:t>
                  </w:r>
                </w:p>
              </w:tc>
              <w:tc>
                <w:tcPr>
                  <w:tcW w:w="1114" w:type="dxa"/>
                  <w:vAlign w:val="bottom"/>
                </w:tcPr>
                <w:p w14:paraId="6C520CC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2.83 </w:t>
                  </w:r>
                </w:p>
              </w:tc>
            </w:tr>
            <w:tr w14:paraId="4B508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CD18B2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w:t>
                  </w:r>
                </w:p>
              </w:tc>
              <w:tc>
                <w:tcPr>
                  <w:tcW w:w="741" w:type="pct"/>
                  <w:vAlign w:val="center"/>
                </w:tcPr>
                <w:p w14:paraId="6797563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（-45,1.5）</w:t>
                  </w:r>
                </w:p>
              </w:tc>
              <w:tc>
                <w:tcPr>
                  <w:tcW w:w="1096" w:type="dxa"/>
                  <w:vAlign w:val="bottom"/>
                </w:tcPr>
                <w:p w14:paraId="48E6BD7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339.89 </w:t>
                  </w:r>
                </w:p>
              </w:tc>
              <w:tc>
                <w:tcPr>
                  <w:tcW w:w="991" w:type="dxa"/>
                  <w:vAlign w:val="bottom"/>
                </w:tcPr>
                <w:p w14:paraId="09AFB1C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3.30 </w:t>
                  </w:r>
                </w:p>
              </w:tc>
              <w:tc>
                <w:tcPr>
                  <w:tcW w:w="1097" w:type="dxa"/>
                  <w:vAlign w:val="bottom"/>
                </w:tcPr>
                <w:p w14:paraId="4965007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324.43 </w:t>
                  </w:r>
                </w:p>
              </w:tc>
              <w:tc>
                <w:tcPr>
                  <w:tcW w:w="991" w:type="dxa"/>
                  <w:vAlign w:val="bottom"/>
                </w:tcPr>
                <w:p w14:paraId="054BE25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3.26 </w:t>
                  </w:r>
                </w:p>
              </w:tc>
              <w:tc>
                <w:tcPr>
                  <w:tcW w:w="1245" w:type="dxa"/>
                  <w:vAlign w:val="bottom"/>
                </w:tcPr>
                <w:p w14:paraId="4EA0CD3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218.39 </w:t>
                  </w:r>
                </w:p>
              </w:tc>
              <w:tc>
                <w:tcPr>
                  <w:tcW w:w="1114" w:type="dxa"/>
                  <w:vAlign w:val="bottom"/>
                </w:tcPr>
                <w:p w14:paraId="6C9F99B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2.94 </w:t>
                  </w:r>
                </w:p>
              </w:tc>
            </w:tr>
            <w:tr w14:paraId="33DA4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90499A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w:t>
                  </w:r>
                </w:p>
              </w:tc>
              <w:tc>
                <w:tcPr>
                  <w:tcW w:w="741" w:type="pct"/>
                  <w:vAlign w:val="center"/>
                </w:tcPr>
                <w:p w14:paraId="6992836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-44,1.5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32CB4EA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350.60 </w:t>
                  </w:r>
                </w:p>
              </w:tc>
              <w:tc>
                <w:tcPr>
                  <w:tcW w:w="991" w:type="dxa"/>
                  <w:vAlign w:val="bottom"/>
                </w:tcPr>
                <w:p w14:paraId="5758816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3.45 </w:t>
                  </w:r>
                </w:p>
              </w:tc>
              <w:tc>
                <w:tcPr>
                  <w:tcW w:w="1097" w:type="dxa"/>
                  <w:vAlign w:val="bottom"/>
                </w:tcPr>
                <w:p w14:paraId="4F10F19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333.78 </w:t>
                  </w:r>
                </w:p>
              </w:tc>
              <w:tc>
                <w:tcPr>
                  <w:tcW w:w="991" w:type="dxa"/>
                  <w:vAlign w:val="bottom"/>
                </w:tcPr>
                <w:p w14:paraId="00EC336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3.40 </w:t>
                  </w:r>
                </w:p>
              </w:tc>
              <w:tc>
                <w:tcPr>
                  <w:tcW w:w="1245" w:type="dxa"/>
                  <w:vAlign w:val="bottom"/>
                </w:tcPr>
                <w:p w14:paraId="0F8A317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219.72 </w:t>
                  </w:r>
                </w:p>
              </w:tc>
              <w:tc>
                <w:tcPr>
                  <w:tcW w:w="1114" w:type="dxa"/>
                  <w:vAlign w:val="bottom"/>
                </w:tcPr>
                <w:p w14:paraId="0F16E59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3.06 </w:t>
                  </w:r>
                </w:p>
              </w:tc>
            </w:tr>
            <w:tr w14:paraId="117AA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A6B165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w:t>
                  </w:r>
                </w:p>
              </w:tc>
              <w:tc>
                <w:tcPr>
                  <w:tcW w:w="741" w:type="pct"/>
                  <w:vAlign w:val="center"/>
                </w:tcPr>
                <w:p w14:paraId="7C9116A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（-43,1.5）</w:t>
                  </w:r>
                </w:p>
              </w:tc>
              <w:tc>
                <w:tcPr>
                  <w:tcW w:w="1096" w:type="dxa"/>
                  <w:vAlign w:val="bottom"/>
                </w:tcPr>
                <w:p w14:paraId="1C9F57F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361.61 </w:t>
                  </w:r>
                </w:p>
              </w:tc>
              <w:tc>
                <w:tcPr>
                  <w:tcW w:w="991" w:type="dxa"/>
                  <w:vAlign w:val="bottom"/>
                </w:tcPr>
                <w:p w14:paraId="45AD276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3.61 </w:t>
                  </w:r>
                </w:p>
              </w:tc>
              <w:tc>
                <w:tcPr>
                  <w:tcW w:w="1097" w:type="dxa"/>
                  <w:vAlign w:val="bottom"/>
                </w:tcPr>
                <w:p w14:paraId="3C24F25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343.30 </w:t>
                  </w:r>
                </w:p>
              </w:tc>
              <w:tc>
                <w:tcPr>
                  <w:tcW w:w="991" w:type="dxa"/>
                  <w:vAlign w:val="bottom"/>
                </w:tcPr>
                <w:p w14:paraId="7C3566E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3.56 </w:t>
                  </w:r>
                </w:p>
              </w:tc>
              <w:tc>
                <w:tcPr>
                  <w:tcW w:w="1245" w:type="dxa"/>
                  <w:vAlign w:val="bottom"/>
                </w:tcPr>
                <w:p w14:paraId="29C61DE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220.54 </w:t>
                  </w:r>
                </w:p>
              </w:tc>
              <w:tc>
                <w:tcPr>
                  <w:tcW w:w="1114" w:type="dxa"/>
                  <w:vAlign w:val="bottom"/>
                </w:tcPr>
                <w:p w14:paraId="79B69A9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3.18 </w:t>
                  </w:r>
                </w:p>
              </w:tc>
            </w:tr>
            <w:tr w14:paraId="09BA8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745497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w:t>
                  </w:r>
                </w:p>
              </w:tc>
              <w:tc>
                <w:tcPr>
                  <w:tcW w:w="741" w:type="pct"/>
                  <w:vAlign w:val="center"/>
                </w:tcPr>
                <w:p w14:paraId="307865D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-42,1.5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5233438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372.91 </w:t>
                  </w:r>
                </w:p>
              </w:tc>
              <w:tc>
                <w:tcPr>
                  <w:tcW w:w="991" w:type="dxa"/>
                  <w:vAlign w:val="bottom"/>
                </w:tcPr>
                <w:p w14:paraId="428CEA4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3.78 </w:t>
                  </w:r>
                </w:p>
              </w:tc>
              <w:tc>
                <w:tcPr>
                  <w:tcW w:w="1097" w:type="dxa"/>
                  <w:vAlign w:val="bottom"/>
                </w:tcPr>
                <w:p w14:paraId="4E1A20A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352.94 </w:t>
                  </w:r>
                </w:p>
              </w:tc>
              <w:tc>
                <w:tcPr>
                  <w:tcW w:w="991" w:type="dxa"/>
                  <w:vAlign w:val="bottom"/>
                </w:tcPr>
                <w:p w14:paraId="1B6C34D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3.72 </w:t>
                  </w:r>
                </w:p>
              </w:tc>
              <w:tc>
                <w:tcPr>
                  <w:tcW w:w="1245" w:type="dxa"/>
                  <w:vAlign w:val="bottom"/>
                </w:tcPr>
                <w:p w14:paraId="786554A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220.76 </w:t>
                  </w:r>
                </w:p>
              </w:tc>
              <w:tc>
                <w:tcPr>
                  <w:tcW w:w="1114" w:type="dxa"/>
                  <w:vAlign w:val="bottom"/>
                </w:tcPr>
                <w:p w14:paraId="50875A6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3.31 </w:t>
                  </w:r>
                </w:p>
              </w:tc>
            </w:tr>
            <w:tr w14:paraId="4EE17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340840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10</w:t>
                  </w:r>
                </w:p>
              </w:tc>
              <w:tc>
                <w:tcPr>
                  <w:tcW w:w="741" w:type="pct"/>
                  <w:vAlign w:val="center"/>
                </w:tcPr>
                <w:p w14:paraId="1E28488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（-41,1.5）</w:t>
                  </w:r>
                </w:p>
              </w:tc>
              <w:tc>
                <w:tcPr>
                  <w:tcW w:w="1096" w:type="dxa"/>
                  <w:vAlign w:val="bottom"/>
                </w:tcPr>
                <w:p w14:paraId="7F6BE1A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384.46 </w:t>
                  </w:r>
                </w:p>
              </w:tc>
              <w:tc>
                <w:tcPr>
                  <w:tcW w:w="991" w:type="dxa"/>
                  <w:vAlign w:val="bottom"/>
                </w:tcPr>
                <w:p w14:paraId="183DE89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3.96 </w:t>
                  </w:r>
                </w:p>
              </w:tc>
              <w:tc>
                <w:tcPr>
                  <w:tcW w:w="1097" w:type="dxa"/>
                  <w:vAlign w:val="bottom"/>
                </w:tcPr>
                <w:p w14:paraId="13A66CD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362.67 </w:t>
                  </w:r>
                </w:p>
              </w:tc>
              <w:tc>
                <w:tcPr>
                  <w:tcW w:w="991" w:type="dxa"/>
                  <w:vAlign w:val="bottom"/>
                </w:tcPr>
                <w:p w14:paraId="5CE3B5E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3.90 </w:t>
                  </w:r>
                </w:p>
              </w:tc>
              <w:tc>
                <w:tcPr>
                  <w:tcW w:w="1245" w:type="dxa"/>
                  <w:vAlign w:val="bottom"/>
                </w:tcPr>
                <w:p w14:paraId="55DAA1A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220.28 </w:t>
                  </w:r>
                </w:p>
              </w:tc>
              <w:tc>
                <w:tcPr>
                  <w:tcW w:w="1114" w:type="dxa"/>
                  <w:vAlign w:val="bottom"/>
                </w:tcPr>
                <w:p w14:paraId="2B1C7D3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3.45 </w:t>
                  </w:r>
                </w:p>
              </w:tc>
            </w:tr>
            <w:tr w14:paraId="11B01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431F6E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11</w:t>
                  </w:r>
                </w:p>
              </w:tc>
              <w:tc>
                <w:tcPr>
                  <w:tcW w:w="741" w:type="pct"/>
                  <w:vAlign w:val="center"/>
                </w:tcPr>
                <w:p w14:paraId="205AE11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-40,1.5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0580A47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396.22 </w:t>
                  </w:r>
                </w:p>
              </w:tc>
              <w:tc>
                <w:tcPr>
                  <w:tcW w:w="991" w:type="dxa"/>
                  <w:vAlign w:val="bottom"/>
                </w:tcPr>
                <w:p w14:paraId="5820642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4.15 </w:t>
                  </w:r>
                </w:p>
              </w:tc>
              <w:tc>
                <w:tcPr>
                  <w:tcW w:w="1097" w:type="dxa"/>
                  <w:vAlign w:val="bottom"/>
                </w:tcPr>
                <w:p w14:paraId="6181BA7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372.42 </w:t>
                  </w:r>
                </w:p>
              </w:tc>
              <w:tc>
                <w:tcPr>
                  <w:tcW w:w="991" w:type="dxa"/>
                  <w:vAlign w:val="bottom"/>
                </w:tcPr>
                <w:p w14:paraId="1DB608C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4.09 </w:t>
                  </w:r>
                </w:p>
              </w:tc>
              <w:tc>
                <w:tcPr>
                  <w:tcW w:w="1245" w:type="dxa"/>
                  <w:vAlign w:val="bottom"/>
                </w:tcPr>
                <w:p w14:paraId="7CC4857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218.97 </w:t>
                  </w:r>
                </w:p>
              </w:tc>
              <w:tc>
                <w:tcPr>
                  <w:tcW w:w="1114" w:type="dxa"/>
                  <w:vAlign w:val="bottom"/>
                </w:tcPr>
                <w:p w14:paraId="58173AF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3.60 </w:t>
                  </w:r>
                </w:p>
              </w:tc>
            </w:tr>
            <w:tr w14:paraId="3027B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82B69A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12</w:t>
                  </w:r>
                </w:p>
              </w:tc>
              <w:tc>
                <w:tcPr>
                  <w:tcW w:w="741" w:type="pct"/>
                  <w:vAlign w:val="center"/>
                </w:tcPr>
                <w:p w14:paraId="23CBBB7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（-39,1.5）</w:t>
                  </w:r>
                </w:p>
              </w:tc>
              <w:tc>
                <w:tcPr>
                  <w:tcW w:w="1096" w:type="dxa"/>
                  <w:vAlign w:val="bottom"/>
                </w:tcPr>
                <w:p w14:paraId="59B3E76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408.14 </w:t>
                  </w:r>
                </w:p>
              </w:tc>
              <w:tc>
                <w:tcPr>
                  <w:tcW w:w="991" w:type="dxa"/>
                  <w:vAlign w:val="bottom"/>
                </w:tcPr>
                <w:p w14:paraId="48C4A22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4.36 </w:t>
                  </w:r>
                </w:p>
              </w:tc>
              <w:tc>
                <w:tcPr>
                  <w:tcW w:w="1097" w:type="dxa"/>
                  <w:vAlign w:val="bottom"/>
                </w:tcPr>
                <w:p w14:paraId="741D8A9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382.11 </w:t>
                  </w:r>
                </w:p>
              </w:tc>
              <w:tc>
                <w:tcPr>
                  <w:tcW w:w="991" w:type="dxa"/>
                  <w:vAlign w:val="bottom"/>
                </w:tcPr>
                <w:p w14:paraId="50CD874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4.29 </w:t>
                  </w:r>
                </w:p>
              </w:tc>
              <w:tc>
                <w:tcPr>
                  <w:tcW w:w="1245" w:type="dxa"/>
                  <w:vAlign w:val="bottom"/>
                </w:tcPr>
                <w:p w14:paraId="132200F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216.70 </w:t>
                  </w:r>
                </w:p>
              </w:tc>
              <w:tc>
                <w:tcPr>
                  <w:tcW w:w="1114" w:type="dxa"/>
                  <w:vAlign w:val="bottom"/>
                </w:tcPr>
                <w:p w14:paraId="1D08872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3.75 </w:t>
                  </w:r>
                </w:p>
              </w:tc>
            </w:tr>
            <w:tr w14:paraId="5AB14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EFB029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13</w:t>
                  </w:r>
                </w:p>
              </w:tc>
              <w:tc>
                <w:tcPr>
                  <w:tcW w:w="741" w:type="pct"/>
                  <w:vAlign w:val="center"/>
                </w:tcPr>
                <w:p w14:paraId="3432896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-38,1.5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4A1251A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420.15 </w:t>
                  </w:r>
                </w:p>
              </w:tc>
              <w:tc>
                <w:tcPr>
                  <w:tcW w:w="991" w:type="dxa"/>
                  <w:vAlign w:val="bottom"/>
                </w:tcPr>
                <w:p w14:paraId="69406D7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4.59 </w:t>
                  </w:r>
                </w:p>
              </w:tc>
              <w:tc>
                <w:tcPr>
                  <w:tcW w:w="1097" w:type="dxa"/>
                  <w:vAlign w:val="bottom"/>
                </w:tcPr>
                <w:p w14:paraId="69E221A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391.65 </w:t>
                  </w:r>
                </w:p>
              </w:tc>
              <w:tc>
                <w:tcPr>
                  <w:tcW w:w="991" w:type="dxa"/>
                  <w:vAlign w:val="bottom"/>
                </w:tcPr>
                <w:p w14:paraId="3370414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4.51 </w:t>
                  </w:r>
                </w:p>
              </w:tc>
              <w:tc>
                <w:tcPr>
                  <w:tcW w:w="1245" w:type="dxa"/>
                  <w:vAlign w:val="bottom"/>
                </w:tcPr>
                <w:p w14:paraId="3B00F61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213.32 </w:t>
                  </w:r>
                </w:p>
              </w:tc>
              <w:tc>
                <w:tcPr>
                  <w:tcW w:w="1114" w:type="dxa"/>
                  <w:vAlign w:val="bottom"/>
                </w:tcPr>
                <w:p w14:paraId="3C3B73F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3.92 </w:t>
                  </w:r>
                </w:p>
              </w:tc>
            </w:tr>
            <w:tr w14:paraId="45570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DA2ADB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14</w:t>
                  </w:r>
                </w:p>
              </w:tc>
              <w:tc>
                <w:tcPr>
                  <w:tcW w:w="741" w:type="pct"/>
                  <w:vAlign w:val="center"/>
                </w:tcPr>
                <w:p w14:paraId="5CB362B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（-37,1.5）</w:t>
                  </w:r>
                </w:p>
              </w:tc>
              <w:tc>
                <w:tcPr>
                  <w:tcW w:w="1096" w:type="dxa"/>
                  <w:vAlign w:val="bottom"/>
                </w:tcPr>
                <w:p w14:paraId="104CF23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432.16 </w:t>
                  </w:r>
                </w:p>
              </w:tc>
              <w:tc>
                <w:tcPr>
                  <w:tcW w:w="991" w:type="dxa"/>
                  <w:vAlign w:val="bottom"/>
                </w:tcPr>
                <w:p w14:paraId="6BDFC05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4.83 </w:t>
                  </w:r>
                </w:p>
              </w:tc>
              <w:tc>
                <w:tcPr>
                  <w:tcW w:w="1097" w:type="dxa"/>
                  <w:vAlign w:val="bottom"/>
                </w:tcPr>
                <w:p w14:paraId="1E8CA3D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400.91 </w:t>
                  </w:r>
                </w:p>
              </w:tc>
              <w:tc>
                <w:tcPr>
                  <w:tcW w:w="991" w:type="dxa"/>
                  <w:vAlign w:val="bottom"/>
                </w:tcPr>
                <w:p w14:paraId="3EC7E5A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4.74 </w:t>
                  </w:r>
                </w:p>
              </w:tc>
              <w:tc>
                <w:tcPr>
                  <w:tcW w:w="1245" w:type="dxa"/>
                  <w:vAlign w:val="bottom"/>
                </w:tcPr>
                <w:p w14:paraId="6EB0F98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208.65 </w:t>
                  </w:r>
                </w:p>
              </w:tc>
              <w:tc>
                <w:tcPr>
                  <w:tcW w:w="1114" w:type="dxa"/>
                  <w:vAlign w:val="bottom"/>
                </w:tcPr>
                <w:p w14:paraId="49A6F7E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4.09 </w:t>
                  </w:r>
                </w:p>
              </w:tc>
            </w:tr>
            <w:tr w14:paraId="3C4AF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27D427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15</w:t>
                  </w:r>
                </w:p>
              </w:tc>
              <w:tc>
                <w:tcPr>
                  <w:tcW w:w="741" w:type="pct"/>
                  <w:vAlign w:val="center"/>
                </w:tcPr>
                <w:p w14:paraId="065741F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-36,1.5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52C10A3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444.03 </w:t>
                  </w:r>
                </w:p>
              </w:tc>
              <w:tc>
                <w:tcPr>
                  <w:tcW w:w="991" w:type="dxa"/>
                  <w:vAlign w:val="bottom"/>
                </w:tcPr>
                <w:p w14:paraId="28844E5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5.10 </w:t>
                  </w:r>
                </w:p>
              </w:tc>
              <w:tc>
                <w:tcPr>
                  <w:tcW w:w="1097" w:type="dxa"/>
                  <w:vAlign w:val="bottom"/>
                </w:tcPr>
                <w:p w14:paraId="6EAB1E4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409.74 </w:t>
                  </w:r>
                </w:p>
              </w:tc>
              <w:tc>
                <w:tcPr>
                  <w:tcW w:w="991" w:type="dxa"/>
                  <w:vAlign w:val="bottom"/>
                </w:tcPr>
                <w:p w14:paraId="34EBC94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5.00 </w:t>
                  </w:r>
                </w:p>
              </w:tc>
              <w:tc>
                <w:tcPr>
                  <w:tcW w:w="1245" w:type="dxa"/>
                  <w:vAlign w:val="bottom"/>
                </w:tcPr>
                <w:p w14:paraId="6BFF0DC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202.50 </w:t>
                  </w:r>
                </w:p>
              </w:tc>
              <w:tc>
                <w:tcPr>
                  <w:tcW w:w="1114" w:type="dxa"/>
                  <w:vAlign w:val="bottom"/>
                </w:tcPr>
                <w:p w14:paraId="33AA0D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4.28 </w:t>
                  </w:r>
                </w:p>
              </w:tc>
            </w:tr>
            <w:tr w14:paraId="08084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14E4C6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16</w:t>
                  </w:r>
                </w:p>
              </w:tc>
              <w:tc>
                <w:tcPr>
                  <w:tcW w:w="741" w:type="pct"/>
                  <w:vAlign w:val="center"/>
                </w:tcPr>
                <w:p w14:paraId="20A030E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（-35,1.5）</w:t>
                  </w:r>
                </w:p>
              </w:tc>
              <w:tc>
                <w:tcPr>
                  <w:tcW w:w="1096" w:type="dxa"/>
                  <w:vAlign w:val="bottom"/>
                </w:tcPr>
                <w:p w14:paraId="78B6800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455.63 </w:t>
                  </w:r>
                </w:p>
              </w:tc>
              <w:tc>
                <w:tcPr>
                  <w:tcW w:w="991" w:type="dxa"/>
                  <w:vAlign w:val="bottom"/>
                </w:tcPr>
                <w:p w14:paraId="77683C7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5.38 </w:t>
                  </w:r>
                </w:p>
              </w:tc>
              <w:tc>
                <w:tcPr>
                  <w:tcW w:w="1097" w:type="dxa"/>
                  <w:vAlign w:val="bottom"/>
                </w:tcPr>
                <w:p w14:paraId="6041E6E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417.96 </w:t>
                  </w:r>
                </w:p>
              </w:tc>
              <w:tc>
                <w:tcPr>
                  <w:tcW w:w="991" w:type="dxa"/>
                  <w:vAlign w:val="bottom"/>
                </w:tcPr>
                <w:p w14:paraId="6518F28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5.27 </w:t>
                  </w:r>
                </w:p>
              </w:tc>
              <w:tc>
                <w:tcPr>
                  <w:tcW w:w="1245" w:type="dxa"/>
                  <w:vAlign w:val="bottom"/>
                </w:tcPr>
                <w:p w14:paraId="15F971D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194.67 </w:t>
                  </w:r>
                </w:p>
              </w:tc>
              <w:tc>
                <w:tcPr>
                  <w:tcW w:w="1114" w:type="dxa"/>
                  <w:vAlign w:val="bottom"/>
                </w:tcPr>
                <w:p w14:paraId="499A9AC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4.47 </w:t>
                  </w:r>
                </w:p>
              </w:tc>
            </w:tr>
            <w:tr w14:paraId="0CA13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A89B33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17</w:t>
                  </w:r>
                </w:p>
              </w:tc>
              <w:tc>
                <w:tcPr>
                  <w:tcW w:w="741" w:type="pct"/>
                  <w:vAlign w:val="center"/>
                </w:tcPr>
                <w:p w14:paraId="6401CE9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-34,1.5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753BBBC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466.75 </w:t>
                  </w:r>
                </w:p>
              </w:tc>
              <w:tc>
                <w:tcPr>
                  <w:tcW w:w="991" w:type="dxa"/>
                  <w:vAlign w:val="bottom"/>
                </w:tcPr>
                <w:p w14:paraId="27F867C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5.69 </w:t>
                  </w:r>
                </w:p>
              </w:tc>
              <w:tc>
                <w:tcPr>
                  <w:tcW w:w="1097" w:type="dxa"/>
                  <w:vAlign w:val="bottom"/>
                </w:tcPr>
                <w:p w14:paraId="6E5FF87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425.32 </w:t>
                  </w:r>
                </w:p>
              </w:tc>
              <w:tc>
                <w:tcPr>
                  <w:tcW w:w="991" w:type="dxa"/>
                  <w:vAlign w:val="bottom"/>
                </w:tcPr>
                <w:p w14:paraId="77B209A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5.56 </w:t>
                  </w:r>
                </w:p>
              </w:tc>
              <w:tc>
                <w:tcPr>
                  <w:tcW w:w="1245" w:type="dxa"/>
                  <w:vAlign w:val="bottom"/>
                </w:tcPr>
                <w:p w14:paraId="3D190DC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184.92 </w:t>
                  </w:r>
                </w:p>
              </w:tc>
              <w:tc>
                <w:tcPr>
                  <w:tcW w:w="1114" w:type="dxa"/>
                  <w:vAlign w:val="bottom"/>
                </w:tcPr>
                <w:p w14:paraId="55E5D1A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4.68 </w:t>
                  </w:r>
                </w:p>
              </w:tc>
            </w:tr>
            <w:tr w14:paraId="11876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06E02A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18</w:t>
                  </w:r>
                </w:p>
              </w:tc>
              <w:tc>
                <w:tcPr>
                  <w:tcW w:w="741" w:type="pct"/>
                  <w:vAlign w:val="center"/>
                </w:tcPr>
                <w:p w14:paraId="05394A9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（-33,1.5）</w:t>
                  </w:r>
                </w:p>
              </w:tc>
              <w:tc>
                <w:tcPr>
                  <w:tcW w:w="1096" w:type="dxa"/>
                  <w:vAlign w:val="bottom"/>
                </w:tcPr>
                <w:p w14:paraId="1443B23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477.15 </w:t>
                  </w:r>
                </w:p>
              </w:tc>
              <w:tc>
                <w:tcPr>
                  <w:tcW w:w="991" w:type="dxa"/>
                  <w:vAlign w:val="bottom"/>
                </w:tcPr>
                <w:p w14:paraId="5D53044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6.02 </w:t>
                  </w:r>
                </w:p>
              </w:tc>
              <w:tc>
                <w:tcPr>
                  <w:tcW w:w="1097" w:type="dxa"/>
                  <w:vAlign w:val="bottom"/>
                </w:tcPr>
                <w:p w14:paraId="5FB0850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431.55 </w:t>
                  </w:r>
                </w:p>
              </w:tc>
              <w:tc>
                <w:tcPr>
                  <w:tcW w:w="991" w:type="dxa"/>
                  <w:vAlign w:val="bottom"/>
                </w:tcPr>
                <w:p w14:paraId="04A405D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5.88 </w:t>
                  </w:r>
                </w:p>
              </w:tc>
              <w:tc>
                <w:tcPr>
                  <w:tcW w:w="1245" w:type="dxa"/>
                  <w:vAlign w:val="bottom"/>
                </w:tcPr>
                <w:p w14:paraId="4C62F35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173.05 </w:t>
                  </w:r>
                </w:p>
              </w:tc>
              <w:tc>
                <w:tcPr>
                  <w:tcW w:w="1114" w:type="dxa"/>
                  <w:vAlign w:val="bottom"/>
                </w:tcPr>
                <w:p w14:paraId="78D9A55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4.90 </w:t>
                  </w:r>
                </w:p>
              </w:tc>
            </w:tr>
            <w:tr w14:paraId="056C3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309556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19</w:t>
                  </w:r>
                </w:p>
              </w:tc>
              <w:tc>
                <w:tcPr>
                  <w:tcW w:w="741" w:type="pct"/>
                  <w:vAlign w:val="center"/>
                </w:tcPr>
                <w:p w14:paraId="7B76379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-32,1.5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0D1420E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486.52 </w:t>
                  </w:r>
                </w:p>
              </w:tc>
              <w:tc>
                <w:tcPr>
                  <w:tcW w:w="991" w:type="dxa"/>
                  <w:vAlign w:val="bottom"/>
                </w:tcPr>
                <w:p w14:paraId="2F6C3AD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6.39 </w:t>
                  </w:r>
                </w:p>
              </w:tc>
              <w:tc>
                <w:tcPr>
                  <w:tcW w:w="1097" w:type="dxa"/>
                  <w:vAlign w:val="bottom"/>
                </w:tcPr>
                <w:p w14:paraId="1445D78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436.29 </w:t>
                  </w:r>
                </w:p>
              </w:tc>
              <w:tc>
                <w:tcPr>
                  <w:tcW w:w="991" w:type="dxa"/>
                  <w:vAlign w:val="bottom"/>
                </w:tcPr>
                <w:p w14:paraId="7BFEA34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6.23 </w:t>
                  </w:r>
                </w:p>
              </w:tc>
              <w:tc>
                <w:tcPr>
                  <w:tcW w:w="1245" w:type="dxa"/>
                  <w:vAlign w:val="bottom"/>
                </w:tcPr>
                <w:p w14:paraId="574CB34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158.86 </w:t>
                  </w:r>
                </w:p>
              </w:tc>
              <w:tc>
                <w:tcPr>
                  <w:tcW w:w="1114" w:type="dxa"/>
                  <w:vAlign w:val="bottom"/>
                </w:tcPr>
                <w:p w14:paraId="7B05EAF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5.13 </w:t>
                  </w:r>
                </w:p>
              </w:tc>
            </w:tr>
            <w:tr w14:paraId="5813E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3E2DEF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20</w:t>
                  </w:r>
                </w:p>
              </w:tc>
              <w:tc>
                <w:tcPr>
                  <w:tcW w:w="741" w:type="pct"/>
                  <w:vAlign w:val="center"/>
                </w:tcPr>
                <w:p w14:paraId="6BF5DBE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（-31,1.5）</w:t>
                  </w:r>
                </w:p>
              </w:tc>
              <w:tc>
                <w:tcPr>
                  <w:tcW w:w="1096" w:type="dxa"/>
                  <w:vAlign w:val="bottom"/>
                </w:tcPr>
                <w:p w14:paraId="35D2D99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494.48 </w:t>
                  </w:r>
                </w:p>
              </w:tc>
              <w:tc>
                <w:tcPr>
                  <w:tcW w:w="991" w:type="dxa"/>
                  <w:vAlign w:val="bottom"/>
                </w:tcPr>
                <w:p w14:paraId="59EC5E3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6.78 </w:t>
                  </w:r>
                </w:p>
              </w:tc>
              <w:tc>
                <w:tcPr>
                  <w:tcW w:w="1097" w:type="dxa"/>
                  <w:vAlign w:val="bottom"/>
                </w:tcPr>
                <w:p w14:paraId="2B652DD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439.10 </w:t>
                  </w:r>
                </w:p>
              </w:tc>
              <w:tc>
                <w:tcPr>
                  <w:tcW w:w="991" w:type="dxa"/>
                  <w:vAlign w:val="bottom"/>
                </w:tcPr>
                <w:p w14:paraId="56A76D4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6.60 </w:t>
                  </w:r>
                </w:p>
              </w:tc>
              <w:tc>
                <w:tcPr>
                  <w:tcW w:w="1245" w:type="dxa"/>
                  <w:vAlign w:val="bottom"/>
                </w:tcPr>
                <w:p w14:paraId="458F499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142.26 </w:t>
                  </w:r>
                </w:p>
              </w:tc>
              <w:tc>
                <w:tcPr>
                  <w:tcW w:w="1114" w:type="dxa"/>
                  <w:vAlign w:val="bottom"/>
                </w:tcPr>
                <w:p w14:paraId="2547BFC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5.38 </w:t>
                  </w:r>
                </w:p>
              </w:tc>
            </w:tr>
            <w:tr w14:paraId="52665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A1FBE2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21</w:t>
                  </w:r>
                </w:p>
              </w:tc>
              <w:tc>
                <w:tcPr>
                  <w:tcW w:w="741" w:type="pct"/>
                  <w:vAlign w:val="center"/>
                </w:tcPr>
                <w:p w14:paraId="3366AD0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-30,1.5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4C7E791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500.54 </w:t>
                  </w:r>
                </w:p>
              </w:tc>
              <w:tc>
                <w:tcPr>
                  <w:tcW w:w="991" w:type="dxa"/>
                  <w:vAlign w:val="bottom"/>
                </w:tcPr>
                <w:p w14:paraId="760CDBB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7.22 </w:t>
                  </w:r>
                </w:p>
              </w:tc>
              <w:tc>
                <w:tcPr>
                  <w:tcW w:w="1097" w:type="dxa"/>
                  <w:vAlign w:val="bottom"/>
                </w:tcPr>
                <w:p w14:paraId="42F8968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439.47 </w:t>
                  </w:r>
                </w:p>
              </w:tc>
              <w:tc>
                <w:tcPr>
                  <w:tcW w:w="991" w:type="dxa"/>
                  <w:vAlign w:val="bottom"/>
                </w:tcPr>
                <w:p w14:paraId="0FB47E0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7.01 </w:t>
                  </w:r>
                </w:p>
              </w:tc>
              <w:tc>
                <w:tcPr>
                  <w:tcW w:w="1245" w:type="dxa"/>
                  <w:vAlign w:val="bottom"/>
                </w:tcPr>
                <w:p w14:paraId="195B236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123.46 </w:t>
                  </w:r>
                </w:p>
              </w:tc>
              <w:tc>
                <w:tcPr>
                  <w:tcW w:w="1114" w:type="dxa"/>
                  <w:vAlign w:val="bottom"/>
                </w:tcPr>
                <w:p w14:paraId="1B2EE95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5.65 </w:t>
                  </w:r>
                </w:p>
              </w:tc>
            </w:tr>
            <w:tr w14:paraId="1DD10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1913E4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22</w:t>
                  </w:r>
                </w:p>
              </w:tc>
              <w:tc>
                <w:tcPr>
                  <w:tcW w:w="741" w:type="pct"/>
                  <w:vAlign w:val="center"/>
                </w:tcPr>
                <w:p w14:paraId="5EA9655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（-29,1.5）</w:t>
                  </w:r>
                </w:p>
              </w:tc>
              <w:tc>
                <w:tcPr>
                  <w:tcW w:w="1096" w:type="dxa"/>
                  <w:vAlign w:val="bottom"/>
                </w:tcPr>
                <w:p w14:paraId="1AAC8D7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504.11 </w:t>
                  </w:r>
                </w:p>
              </w:tc>
              <w:tc>
                <w:tcPr>
                  <w:tcW w:w="991" w:type="dxa"/>
                  <w:vAlign w:val="bottom"/>
                </w:tcPr>
                <w:p w14:paraId="139FD5E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7.69 </w:t>
                  </w:r>
                </w:p>
              </w:tc>
              <w:tc>
                <w:tcPr>
                  <w:tcW w:w="1097" w:type="dxa"/>
                  <w:vAlign w:val="bottom"/>
                </w:tcPr>
                <w:p w14:paraId="381C706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436.74 </w:t>
                  </w:r>
                </w:p>
              </w:tc>
              <w:tc>
                <w:tcPr>
                  <w:tcW w:w="991" w:type="dxa"/>
                  <w:vAlign w:val="bottom"/>
                </w:tcPr>
                <w:p w14:paraId="12CEA7D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7.46 </w:t>
                  </w:r>
                </w:p>
              </w:tc>
              <w:tc>
                <w:tcPr>
                  <w:tcW w:w="1245" w:type="dxa"/>
                  <w:vAlign w:val="bottom"/>
                </w:tcPr>
                <w:p w14:paraId="049DF27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103.43 </w:t>
                  </w:r>
                </w:p>
              </w:tc>
              <w:tc>
                <w:tcPr>
                  <w:tcW w:w="1114" w:type="dxa"/>
                  <w:vAlign w:val="bottom"/>
                </w:tcPr>
                <w:p w14:paraId="524FD50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5.93 </w:t>
                  </w:r>
                </w:p>
              </w:tc>
            </w:tr>
            <w:tr w14:paraId="1AE6F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2702CC4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23</w:t>
                  </w:r>
                </w:p>
              </w:tc>
              <w:tc>
                <w:tcPr>
                  <w:tcW w:w="741" w:type="pct"/>
                  <w:vAlign w:val="center"/>
                </w:tcPr>
                <w:p w14:paraId="44AF3A0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-28,1.5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5E5DEEF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504.45 </w:t>
                  </w:r>
                </w:p>
              </w:tc>
              <w:tc>
                <w:tcPr>
                  <w:tcW w:w="991" w:type="dxa"/>
                  <w:vAlign w:val="bottom"/>
                </w:tcPr>
                <w:p w14:paraId="1B41D35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8.21 </w:t>
                  </w:r>
                </w:p>
              </w:tc>
              <w:tc>
                <w:tcPr>
                  <w:tcW w:w="1097" w:type="dxa"/>
                  <w:vAlign w:val="bottom"/>
                </w:tcPr>
                <w:p w14:paraId="4405C38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430.14 </w:t>
                  </w:r>
                </w:p>
              </w:tc>
              <w:tc>
                <w:tcPr>
                  <w:tcW w:w="991" w:type="dxa"/>
                  <w:vAlign w:val="bottom"/>
                </w:tcPr>
                <w:p w14:paraId="2985DCE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7.94 </w:t>
                  </w:r>
                </w:p>
              </w:tc>
              <w:tc>
                <w:tcPr>
                  <w:tcW w:w="1245" w:type="dxa"/>
                  <w:vAlign w:val="bottom"/>
                </w:tcPr>
                <w:p w14:paraId="1CB8ACF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85.23 </w:t>
                  </w:r>
                </w:p>
              </w:tc>
              <w:tc>
                <w:tcPr>
                  <w:tcW w:w="1114" w:type="dxa"/>
                  <w:vAlign w:val="bottom"/>
                </w:tcPr>
                <w:p w14:paraId="2780180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6.22 </w:t>
                  </w:r>
                </w:p>
              </w:tc>
            </w:tr>
            <w:tr w14:paraId="7CB26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AD86EF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24</w:t>
                  </w:r>
                </w:p>
              </w:tc>
              <w:tc>
                <w:tcPr>
                  <w:tcW w:w="741" w:type="pct"/>
                  <w:vAlign w:val="center"/>
                </w:tcPr>
                <w:p w14:paraId="3AE1FD0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（-27,1.5）</w:t>
                  </w:r>
                </w:p>
              </w:tc>
              <w:tc>
                <w:tcPr>
                  <w:tcW w:w="1096" w:type="dxa"/>
                  <w:vAlign w:val="bottom"/>
                </w:tcPr>
                <w:p w14:paraId="2EAAB4A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500.65 </w:t>
                  </w:r>
                </w:p>
              </w:tc>
              <w:tc>
                <w:tcPr>
                  <w:tcW w:w="991" w:type="dxa"/>
                  <w:vAlign w:val="bottom"/>
                </w:tcPr>
                <w:p w14:paraId="362AE3C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8.78 </w:t>
                  </w:r>
                </w:p>
              </w:tc>
              <w:tc>
                <w:tcPr>
                  <w:tcW w:w="1097" w:type="dxa"/>
                  <w:vAlign w:val="bottom"/>
                </w:tcPr>
                <w:p w14:paraId="0A5F0C9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418.76 </w:t>
                  </w:r>
                </w:p>
              </w:tc>
              <w:tc>
                <w:tcPr>
                  <w:tcW w:w="991" w:type="dxa"/>
                  <w:vAlign w:val="bottom"/>
                </w:tcPr>
                <w:p w14:paraId="6A461B4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8.48 </w:t>
                  </w:r>
                </w:p>
              </w:tc>
              <w:tc>
                <w:tcPr>
                  <w:tcW w:w="1245" w:type="dxa"/>
                  <w:vAlign w:val="bottom"/>
                </w:tcPr>
                <w:p w14:paraId="719538B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76.78 </w:t>
                  </w:r>
                </w:p>
              </w:tc>
              <w:tc>
                <w:tcPr>
                  <w:tcW w:w="1114" w:type="dxa"/>
                  <w:vAlign w:val="bottom"/>
                </w:tcPr>
                <w:p w14:paraId="39EAB88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6.54 </w:t>
                  </w:r>
                </w:p>
              </w:tc>
            </w:tr>
            <w:tr w14:paraId="23D66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3BEF20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25</w:t>
                  </w:r>
                </w:p>
              </w:tc>
              <w:tc>
                <w:tcPr>
                  <w:tcW w:w="741" w:type="pct"/>
                  <w:vAlign w:val="center"/>
                </w:tcPr>
                <w:p w14:paraId="5F122E3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-26,1.5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3154A45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491.62 </w:t>
                  </w:r>
                </w:p>
              </w:tc>
              <w:tc>
                <w:tcPr>
                  <w:tcW w:w="991" w:type="dxa"/>
                  <w:vAlign w:val="bottom"/>
                </w:tcPr>
                <w:p w14:paraId="562E891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9.41 </w:t>
                  </w:r>
                </w:p>
              </w:tc>
              <w:tc>
                <w:tcPr>
                  <w:tcW w:w="1097" w:type="dxa"/>
                  <w:vAlign w:val="bottom"/>
                </w:tcPr>
                <w:p w14:paraId="385B4D0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401.53 </w:t>
                  </w:r>
                </w:p>
              </w:tc>
              <w:tc>
                <w:tcPr>
                  <w:tcW w:w="991" w:type="dxa"/>
                  <w:vAlign w:val="bottom"/>
                </w:tcPr>
                <w:p w14:paraId="355B70F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9.06 </w:t>
                  </w:r>
                </w:p>
              </w:tc>
              <w:tc>
                <w:tcPr>
                  <w:tcW w:w="1245" w:type="dxa"/>
                  <w:vAlign w:val="bottom"/>
                </w:tcPr>
                <w:p w14:paraId="777552C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88.96 </w:t>
                  </w:r>
                </w:p>
              </w:tc>
              <w:tc>
                <w:tcPr>
                  <w:tcW w:w="1114" w:type="dxa"/>
                  <w:vAlign w:val="bottom"/>
                </w:tcPr>
                <w:p w14:paraId="27D2F35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6.87 </w:t>
                  </w:r>
                </w:p>
              </w:tc>
            </w:tr>
            <w:tr w14:paraId="3C717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9E6824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26</w:t>
                  </w:r>
                </w:p>
              </w:tc>
              <w:tc>
                <w:tcPr>
                  <w:tcW w:w="741" w:type="pct"/>
                  <w:vAlign w:val="center"/>
                </w:tcPr>
                <w:p w14:paraId="4866A12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（-25,1.5）</w:t>
                  </w:r>
                </w:p>
              </w:tc>
              <w:tc>
                <w:tcPr>
                  <w:tcW w:w="1096" w:type="dxa"/>
                  <w:vAlign w:val="bottom"/>
                </w:tcPr>
                <w:p w14:paraId="1533FC1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476.05 </w:t>
                  </w:r>
                </w:p>
              </w:tc>
              <w:tc>
                <w:tcPr>
                  <w:tcW w:w="991" w:type="dxa"/>
                  <w:vAlign w:val="bottom"/>
                </w:tcPr>
                <w:p w14:paraId="08C1C96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10.11 </w:t>
                  </w:r>
                </w:p>
              </w:tc>
              <w:tc>
                <w:tcPr>
                  <w:tcW w:w="1097" w:type="dxa"/>
                  <w:vAlign w:val="bottom"/>
                </w:tcPr>
                <w:p w14:paraId="411EF0D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377.30 </w:t>
                  </w:r>
                </w:p>
              </w:tc>
              <w:tc>
                <w:tcPr>
                  <w:tcW w:w="991" w:type="dxa"/>
                  <w:vAlign w:val="bottom"/>
                </w:tcPr>
                <w:p w14:paraId="080615B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9.70 </w:t>
                  </w:r>
                </w:p>
              </w:tc>
              <w:tc>
                <w:tcPr>
                  <w:tcW w:w="1245" w:type="dxa"/>
                  <w:vAlign w:val="bottom"/>
                </w:tcPr>
                <w:p w14:paraId="4870DA8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122.99 </w:t>
                  </w:r>
                </w:p>
              </w:tc>
              <w:tc>
                <w:tcPr>
                  <w:tcW w:w="1114" w:type="dxa"/>
                  <w:vAlign w:val="bottom"/>
                </w:tcPr>
                <w:p w14:paraId="6EE6B21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7.22 </w:t>
                  </w:r>
                </w:p>
              </w:tc>
            </w:tr>
            <w:tr w14:paraId="44B8E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AF07F1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27</w:t>
                  </w:r>
                </w:p>
              </w:tc>
              <w:tc>
                <w:tcPr>
                  <w:tcW w:w="741" w:type="pct"/>
                  <w:vAlign w:val="center"/>
                </w:tcPr>
                <w:p w14:paraId="34062C6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-24,1.5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7B81C36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452.51 </w:t>
                  </w:r>
                </w:p>
              </w:tc>
              <w:tc>
                <w:tcPr>
                  <w:tcW w:w="991" w:type="dxa"/>
                  <w:vAlign w:val="bottom"/>
                </w:tcPr>
                <w:p w14:paraId="057D97E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10.88 </w:t>
                  </w:r>
                </w:p>
              </w:tc>
              <w:tc>
                <w:tcPr>
                  <w:tcW w:w="1097" w:type="dxa"/>
                  <w:vAlign w:val="bottom"/>
                </w:tcPr>
                <w:p w14:paraId="57285D7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344.98 </w:t>
                  </w:r>
                </w:p>
              </w:tc>
              <w:tc>
                <w:tcPr>
                  <w:tcW w:w="991" w:type="dxa"/>
                  <w:vAlign w:val="bottom"/>
                </w:tcPr>
                <w:p w14:paraId="76008DE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10.41 </w:t>
                  </w:r>
                </w:p>
              </w:tc>
              <w:tc>
                <w:tcPr>
                  <w:tcW w:w="1245" w:type="dxa"/>
                  <w:vAlign w:val="bottom"/>
                </w:tcPr>
                <w:p w14:paraId="7067A60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173.03 </w:t>
                  </w:r>
                </w:p>
              </w:tc>
              <w:tc>
                <w:tcPr>
                  <w:tcW w:w="1114" w:type="dxa"/>
                  <w:vAlign w:val="bottom"/>
                </w:tcPr>
                <w:p w14:paraId="21CBDC8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7.59 </w:t>
                  </w:r>
                </w:p>
              </w:tc>
            </w:tr>
            <w:tr w14:paraId="14AE0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2243185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28</w:t>
                  </w:r>
                </w:p>
              </w:tc>
              <w:tc>
                <w:tcPr>
                  <w:tcW w:w="741" w:type="pct"/>
                  <w:vAlign w:val="center"/>
                </w:tcPr>
                <w:p w14:paraId="0158926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（-23,1.5）</w:t>
                  </w:r>
                </w:p>
              </w:tc>
              <w:tc>
                <w:tcPr>
                  <w:tcW w:w="1096" w:type="dxa"/>
                  <w:vAlign w:val="bottom"/>
                </w:tcPr>
                <w:p w14:paraId="657D8AA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419.59 </w:t>
                  </w:r>
                </w:p>
              </w:tc>
              <w:tc>
                <w:tcPr>
                  <w:tcW w:w="991" w:type="dxa"/>
                  <w:vAlign w:val="bottom"/>
                </w:tcPr>
                <w:p w14:paraId="0800657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11.74 </w:t>
                  </w:r>
                </w:p>
              </w:tc>
              <w:tc>
                <w:tcPr>
                  <w:tcW w:w="1097" w:type="dxa"/>
                  <w:vAlign w:val="bottom"/>
                </w:tcPr>
                <w:p w14:paraId="77FEB2A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304.14 </w:t>
                  </w:r>
                </w:p>
              </w:tc>
              <w:tc>
                <w:tcPr>
                  <w:tcW w:w="991" w:type="dxa"/>
                  <w:vAlign w:val="bottom"/>
                </w:tcPr>
                <w:p w14:paraId="20CB671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11.19 </w:t>
                  </w:r>
                </w:p>
              </w:tc>
              <w:tc>
                <w:tcPr>
                  <w:tcW w:w="1245" w:type="dxa"/>
                  <w:vAlign w:val="bottom"/>
                </w:tcPr>
                <w:p w14:paraId="34D2418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235.55 </w:t>
                  </w:r>
                </w:p>
              </w:tc>
              <w:tc>
                <w:tcPr>
                  <w:tcW w:w="1114" w:type="dxa"/>
                  <w:vAlign w:val="bottom"/>
                </w:tcPr>
                <w:p w14:paraId="0211093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7.98 </w:t>
                  </w:r>
                </w:p>
              </w:tc>
            </w:tr>
            <w:tr w14:paraId="39CBB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28F0C42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29</w:t>
                  </w:r>
                </w:p>
              </w:tc>
              <w:tc>
                <w:tcPr>
                  <w:tcW w:w="741" w:type="pct"/>
                  <w:vAlign w:val="center"/>
                </w:tcPr>
                <w:p w14:paraId="17E4466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-22,1.5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3BCCEEE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376.57 </w:t>
                  </w:r>
                </w:p>
              </w:tc>
              <w:tc>
                <w:tcPr>
                  <w:tcW w:w="991" w:type="dxa"/>
                  <w:vAlign w:val="bottom"/>
                </w:tcPr>
                <w:p w14:paraId="274531C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12.69 </w:t>
                  </w:r>
                </w:p>
              </w:tc>
              <w:tc>
                <w:tcPr>
                  <w:tcW w:w="1097" w:type="dxa"/>
                  <w:vAlign w:val="bottom"/>
                </w:tcPr>
                <w:p w14:paraId="76DB4E9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256.83 </w:t>
                  </w:r>
                </w:p>
              </w:tc>
              <w:tc>
                <w:tcPr>
                  <w:tcW w:w="991" w:type="dxa"/>
                  <w:vAlign w:val="bottom"/>
                </w:tcPr>
                <w:p w14:paraId="0513F71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12.04 </w:t>
                  </w:r>
                </w:p>
              </w:tc>
              <w:tc>
                <w:tcPr>
                  <w:tcW w:w="1245" w:type="dxa"/>
                  <w:vAlign w:val="bottom"/>
                </w:tcPr>
                <w:p w14:paraId="20C6304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309.42 </w:t>
                  </w:r>
                </w:p>
              </w:tc>
              <w:tc>
                <w:tcPr>
                  <w:tcW w:w="1114" w:type="dxa"/>
                  <w:vAlign w:val="bottom"/>
                </w:tcPr>
                <w:p w14:paraId="0EC567F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8.38 </w:t>
                  </w:r>
                </w:p>
              </w:tc>
            </w:tr>
            <w:tr w14:paraId="4DA90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5D59A4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30</w:t>
                  </w:r>
                </w:p>
              </w:tc>
              <w:tc>
                <w:tcPr>
                  <w:tcW w:w="741" w:type="pct"/>
                  <w:vAlign w:val="center"/>
                </w:tcPr>
                <w:p w14:paraId="53A0AA3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（-21,1.5）</w:t>
                  </w:r>
                </w:p>
              </w:tc>
              <w:tc>
                <w:tcPr>
                  <w:tcW w:w="1096" w:type="dxa"/>
                  <w:vAlign w:val="bottom"/>
                </w:tcPr>
                <w:p w14:paraId="6A3DD79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325.58 </w:t>
                  </w:r>
                </w:p>
              </w:tc>
              <w:tc>
                <w:tcPr>
                  <w:tcW w:w="991" w:type="dxa"/>
                  <w:vAlign w:val="bottom"/>
                </w:tcPr>
                <w:p w14:paraId="52DE9F5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13.76 </w:t>
                  </w:r>
                </w:p>
              </w:tc>
              <w:tc>
                <w:tcPr>
                  <w:tcW w:w="1097" w:type="dxa"/>
                  <w:vAlign w:val="bottom"/>
                </w:tcPr>
                <w:p w14:paraId="0DE5E1E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213.70 </w:t>
                  </w:r>
                </w:p>
              </w:tc>
              <w:tc>
                <w:tcPr>
                  <w:tcW w:w="991" w:type="dxa"/>
                  <w:vAlign w:val="bottom"/>
                </w:tcPr>
                <w:p w14:paraId="28E2768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12.99 </w:t>
                  </w:r>
                </w:p>
              </w:tc>
              <w:tc>
                <w:tcPr>
                  <w:tcW w:w="1245" w:type="dxa"/>
                  <w:vAlign w:val="bottom"/>
                </w:tcPr>
                <w:p w14:paraId="07F0342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394.50 </w:t>
                  </w:r>
                </w:p>
              </w:tc>
              <w:tc>
                <w:tcPr>
                  <w:tcW w:w="1114" w:type="dxa"/>
                  <w:vAlign w:val="bottom"/>
                </w:tcPr>
                <w:p w14:paraId="57F6763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8.80 </w:t>
                  </w:r>
                </w:p>
              </w:tc>
            </w:tr>
            <w:tr w14:paraId="24A25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731523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31</w:t>
                  </w:r>
                </w:p>
              </w:tc>
              <w:tc>
                <w:tcPr>
                  <w:tcW w:w="741" w:type="pct"/>
                  <w:vAlign w:val="center"/>
                </w:tcPr>
                <w:p w14:paraId="679FB71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-20,1.5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1167C55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278.40 </w:t>
                  </w:r>
                </w:p>
              </w:tc>
              <w:tc>
                <w:tcPr>
                  <w:tcW w:w="991" w:type="dxa"/>
                  <w:vAlign w:val="bottom"/>
                </w:tcPr>
                <w:p w14:paraId="2F65D13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14.95 </w:t>
                  </w:r>
                </w:p>
              </w:tc>
              <w:tc>
                <w:tcPr>
                  <w:tcW w:w="1097" w:type="dxa"/>
                  <w:vAlign w:val="bottom"/>
                </w:tcPr>
                <w:p w14:paraId="5303586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207.62 </w:t>
                  </w:r>
                </w:p>
              </w:tc>
              <w:tc>
                <w:tcPr>
                  <w:tcW w:w="991" w:type="dxa"/>
                  <w:vAlign w:val="bottom"/>
                </w:tcPr>
                <w:p w14:paraId="7D987F6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14.04 </w:t>
                  </w:r>
                </w:p>
              </w:tc>
              <w:tc>
                <w:tcPr>
                  <w:tcW w:w="1245" w:type="dxa"/>
                  <w:vAlign w:val="bottom"/>
                </w:tcPr>
                <w:p w14:paraId="635246E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490.94 </w:t>
                  </w:r>
                </w:p>
              </w:tc>
              <w:tc>
                <w:tcPr>
                  <w:tcW w:w="1114" w:type="dxa"/>
                  <w:vAlign w:val="bottom"/>
                </w:tcPr>
                <w:p w14:paraId="332620E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9.24 </w:t>
                  </w:r>
                </w:p>
              </w:tc>
            </w:tr>
            <w:tr w14:paraId="76F46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28E88DF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32</w:t>
                  </w:r>
                </w:p>
              </w:tc>
              <w:tc>
                <w:tcPr>
                  <w:tcW w:w="741" w:type="pct"/>
                  <w:vAlign w:val="center"/>
                </w:tcPr>
                <w:p w14:paraId="6B2665B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（-19,1.5）</w:t>
                  </w:r>
                </w:p>
              </w:tc>
              <w:tc>
                <w:tcPr>
                  <w:tcW w:w="1096" w:type="dxa"/>
                  <w:vAlign w:val="bottom"/>
                </w:tcPr>
                <w:p w14:paraId="4835EC9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271.83 </w:t>
                  </w:r>
                </w:p>
              </w:tc>
              <w:tc>
                <w:tcPr>
                  <w:tcW w:w="991" w:type="dxa"/>
                  <w:vAlign w:val="bottom"/>
                </w:tcPr>
                <w:p w14:paraId="17244F1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16.29 </w:t>
                  </w:r>
                </w:p>
              </w:tc>
              <w:tc>
                <w:tcPr>
                  <w:tcW w:w="1097" w:type="dxa"/>
                  <w:vAlign w:val="bottom"/>
                </w:tcPr>
                <w:p w14:paraId="2A77CCC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279.60 </w:t>
                  </w:r>
                </w:p>
              </w:tc>
              <w:tc>
                <w:tcPr>
                  <w:tcW w:w="991" w:type="dxa"/>
                  <w:vAlign w:val="bottom"/>
                </w:tcPr>
                <w:p w14:paraId="15E3255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15.20 </w:t>
                  </w:r>
                </w:p>
              </w:tc>
              <w:tc>
                <w:tcPr>
                  <w:tcW w:w="1245" w:type="dxa"/>
                  <w:vAlign w:val="bottom"/>
                </w:tcPr>
                <w:p w14:paraId="5C20226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598.85 </w:t>
                  </w:r>
                </w:p>
              </w:tc>
              <w:tc>
                <w:tcPr>
                  <w:tcW w:w="1114" w:type="dxa"/>
                  <w:vAlign w:val="bottom"/>
                </w:tcPr>
                <w:p w14:paraId="610B6EC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9.68 </w:t>
                  </w:r>
                </w:p>
              </w:tc>
            </w:tr>
            <w:tr w14:paraId="2F88E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A49494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33</w:t>
                  </w:r>
                </w:p>
              </w:tc>
              <w:tc>
                <w:tcPr>
                  <w:tcW w:w="741" w:type="pct"/>
                  <w:vAlign w:val="center"/>
                </w:tcPr>
                <w:p w14:paraId="0D3D7FA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-18,1.5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00A8CF9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357.47 </w:t>
                  </w:r>
                </w:p>
              </w:tc>
              <w:tc>
                <w:tcPr>
                  <w:tcW w:w="991" w:type="dxa"/>
                  <w:vAlign w:val="bottom"/>
                </w:tcPr>
                <w:p w14:paraId="7F1044B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17.79 </w:t>
                  </w:r>
                </w:p>
              </w:tc>
              <w:tc>
                <w:tcPr>
                  <w:tcW w:w="1097" w:type="dxa"/>
                  <w:vAlign w:val="bottom"/>
                </w:tcPr>
                <w:p w14:paraId="6E1DC4C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428.98 </w:t>
                  </w:r>
                </w:p>
              </w:tc>
              <w:tc>
                <w:tcPr>
                  <w:tcW w:w="991" w:type="dxa"/>
                  <w:vAlign w:val="bottom"/>
                </w:tcPr>
                <w:p w14:paraId="03FF683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16.49 </w:t>
                  </w:r>
                </w:p>
              </w:tc>
              <w:tc>
                <w:tcPr>
                  <w:tcW w:w="1245" w:type="dxa"/>
                  <w:vAlign w:val="bottom"/>
                </w:tcPr>
                <w:p w14:paraId="30DD1E3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718.07 </w:t>
                  </w:r>
                </w:p>
              </w:tc>
              <w:tc>
                <w:tcPr>
                  <w:tcW w:w="1114" w:type="dxa"/>
                  <w:vAlign w:val="bottom"/>
                </w:tcPr>
                <w:p w14:paraId="0CD033B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10.14 </w:t>
                  </w:r>
                </w:p>
              </w:tc>
            </w:tr>
            <w:tr w14:paraId="0E9DF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338B49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34</w:t>
                  </w:r>
                </w:p>
              </w:tc>
              <w:tc>
                <w:tcPr>
                  <w:tcW w:w="741" w:type="pct"/>
                  <w:vAlign w:val="center"/>
                </w:tcPr>
                <w:p w14:paraId="1B28A31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（-17,1.5）</w:t>
                  </w:r>
                </w:p>
              </w:tc>
              <w:tc>
                <w:tcPr>
                  <w:tcW w:w="1096" w:type="dxa"/>
                  <w:vAlign w:val="bottom"/>
                </w:tcPr>
                <w:p w14:paraId="1814334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545.18 </w:t>
                  </w:r>
                </w:p>
              </w:tc>
              <w:tc>
                <w:tcPr>
                  <w:tcW w:w="991" w:type="dxa"/>
                  <w:vAlign w:val="bottom"/>
                </w:tcPr>
                <w:p w14:paraId="2F76BB5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19.49 </w:t>
                  </w:r>
                </w:p>
              </w:tc>
              <w:tc>
                <w:tcPr>
                  <w:tcW w:w="1097" w:type="dxa"/>
                  <w:vAlign w:val="bottom"/>
                </w:tcPr>
                <w:p w14:paraId="406F2F4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643.31 </w:t>
                  </w:r>
                </w:p>
              </w:tc>
              <w:tc>
                <w:tcPr>
                  <w:tcW w:w="991" w:type="dxa"/>
                  <w:vAlign w:val="bottom"/>
                </w:tcPr>
                <w:p w14:paraId="4EF3221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17.90 </w:t>
                  </w:r>
                </w:p>
              </w:tc>
              <w:tc>
                <w:tcPr>
                  <w:tcW w:w="1245" w:type="dxa"/>
                  <w:vAlign w:val="bottom"/>
                </w:tcPr>
                <w:p w14:paraId="0C6B031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847.99 </w:t>
                  </w:r>
                </w:p>
              </w:tc>
              <w:tc>
                <w:tcPr>
                  <w:tcW w:w="1114" w:type="dxa"/>
                  <w:vAlign w:val="bottom"/>
                </w:tcPr>
                <w:p w14:paraId="7BBB81D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10.59 </w:t>
                  </w:r>
                </w:p>
              </w:tc>
            </w:tr>
            <w:tr w14:paraId="0CCDC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09668B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35</w:t>
                  </w:r>
                </w:p>
              </w:tc>
              <w:tc>
                <w:tcPr>
                  <w:tcW w:w="741" w:type="pct"/>
                  <w:vAlign w:val="center"/>
                </w:tcPr>
                <w:p w14:paraId="4C334E7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-16,1.5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796E79C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825.61 </w:t>
                  </w:r>
                </w:p>
              </w:tc>
              <w:tc>
                <w:tcPr>
                  <w:tcW w:w="991" w:type="dxa"/>
                  <w:vAlign w:val="bottom"/>
                </w:tcPr>
                <w:p w14:paraId="7AFFF50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21.39 </w:t>
                  </w:r>
                </w:p>
              </w:tc>
              <w:tc>
                <w:tcPr>
                  <w:tcW w:w="1097" w:type="dxa"/>
                  <w:vAlign w:val="bottom"/>
                </w:tcPr>
                <w:p w14:paraId="773625D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921.77 </w:t>
                  </w:r>
                </w:p>
              </w:tc>
              <w:tc>
                <w:tcPr>
                  <w:tcW w:w="991" w:type="dxa"/>
                  <w:vAlign w:val="bottom"/>
                </w:tcPr>
                <w:p w14:paraId="7E180CD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19.46 </w:t>
                  </w:r>
                </w:p>
              </w:tc>
              <w:tc>
                <w:tcPr>
                  <w:tcW w:w="1245" w:type="dxa"/>
                  <w:vAlign w:val="bottom"/>
                </w:tcPr>
                <w:p w14:paraId="00098D6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987.40 </w:t>
                  </w:r>
                </w:p>
              </w:tc>
              <w:tc>
                <w:tcPr>
                  <w:tcW w:w="1114" w:type="dxa"/>
                  <w:vAlign w:val="bottom"/>
                </w:tcPr>
                <w:p w14:paraId="3E7213E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11.03 </w:t>
                  </w:r>
                </w:p>
              </w:tc>
            </w:tr>
            <w:tr w14:paraId="1C1BC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F93525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36</w:t>
                  </w:r>
                </w:p>
              </w:tc>
              <w:tc>
                <w:tcPr>
                  <w:tcW w:w="741" w:type="pct"/>
                  <w:vAlign w:val="center"/>
                </w:tcPr>
                <w:p w14:paraId="15776FE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（-15,1.5）</w:t>
                  </w:r>
                </w:p>
              </w:tc>
              <w:tc>
                <w:tcPr>
                  <w:tcW w:w="1096" w:type="dxa"/>
                  <w:vAlign w:val="bottom"/>
                </w:tcPr>
                <w:p w14:paraId="1121B72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1201.80 </w:t>
                  </w:r>
                </w:p>
              </w:tc>
              <w:tc>
                <w:tcPr>
                  <w:tcW w:w="991" w:type="dxa"/>
                  <w:vAlign w:val="bottom"/>
                </w:tcPr>
                <w:p w14:paraId="2627114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23.53 </w:t>
                  </w:r>
                </w:p>
              </w:tc>
              <w:tc>
                <w:tcPr>
                  <w:tcW w:w="1097" w:type="dxa"/>
                  <w:vAlign w:val="bottom"/>
                </w:tcPr>
                <w:p w14:paraId="14CDF1A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1269.34 </w:t>
                  </w:r>
                </w:p>
              </w:tc>
              <w:tc>
                <w:tcPr>
                  <w:tcW w:w="991" w:type="dxa"/>
                  <w:vAlign w:val="bottom"/>
                </w:tcPr>
                <w:p w14:paraId="2E26E34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21.15 </w:t>
                  </w:r>
                </w:p>
              </w:tc>
              <w:tc>
                <w:tcPr>
                  <w:tcW w:w="1245" w:type="dxa"/>
                  <w:vAlign w:val="bottom"/>
                </w:tcPr>
                <w:p w14:paraId="5878A27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1134.29 </w:t>
                  </w:r>
                </w:p>
              </w:tc>
              <w:tc>
                <w:tcPr>
                  <w:tcW w:w="1114" w:type="dxa"/>
                  <w:vAlign w:val="bottom"/>
                </w:tcPr>
                <w:p w14:paraId="5EABF59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11.45 </w:t>
                  </w:r>
                </w:p>
              </w:tc>
            </w:tr>
            <w:tr w14:paraId="0E2AE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12EB40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37</w:t>
                  </w:r>
                </w:p>
              </w:tc>
              <w:tc>
                <w:tcPr>
                  <w:tcW w:w="741" w:type="pct"/>
                  <w:vAlign w:val="center"/>
                </w:tcPr>
                <w:p w14:paraId="76E3983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-14,1.5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0722F27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1684.72 </w:t>
                  </w:r>
                </w:p>
              </w:tc>
              <w:tc>
                <w:tcPr>
                  <w:tcW w:w="991" w:type="dxa"/>
                  <w:vAlign w:val="bottom"/>
                </w:tcPr>
                <w:p w14:paraId="10F822E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25.91 </w:t>
                  </w:r>
                </w:p>
              </w:tc>
              <w:tc>
                <w:tcPr>
                  <w:tcW w:w="1097" w:type="dxa"/>
                  <w:vAlign w:val="bottom"/>
                </w:tcPr>
                <w:p w14:paraId="4857A4B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1691.04 </w:t>
                  </w:r>
                </w:p>
              </w:tc>
              <w:tc>
                <w:tcPr>
                  <w:tcW w:w="991" w:type="dxa"/>
                  <w:vAlign w:val="bottom"/>
                </w:tcPr>
                <w:p w14:paraId="6E44960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22.95 </w:t>
                  </w:r>
                </w:p>
              </w:tc>
              <w:tc>
                <w:tcPr>
                  <w:tcW w:w="1245" w:type="dxa"/>
                  <w:vAlign w:val="bottom"/>
                </w:tcPr>
                <w:p w14:paraId="31A5F84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1285.77 </w:t>
                  </w:r>
                </w:p>
              </w:tc>
              <w:tc>
                <w:tcPr>
                  <w:tcW w:w="1114" w:type="dxa"/>
                  <w:vAlign w:val="bottom"/>
                </w:tcPr>
                <w:p w14:paraId="06DD5D6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11.85 </w:t>
                  </w:r>
                </w:p>
              </w:tc>
            </w:tr>
            <w:tr w14:paraId="7DD1E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680194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38</w:t>
                  </w:r>
                </w:p>
              </w:tc>
              <w:tc>
                <w:tcPr>
                  <w:tcW w:w="741" w:type="pct"/>
                  <w:vAlign w:val="center"/>
                </w:tcPr>
                <w:p w14:paraId="6019C3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（-13,1.5）</w:t>
                  </w:r>
                </w:p>
              </w:tc>
              <w:tc>
                <w:tcPr>
                  <w:tcW w:w="1096" w:type="dxa"/>
                  <w:vAlign w:val="bottom"/>
                </w:tcPr>
                <w:p w14:paraId="697A5D6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2284.57 </w:t>
                  </w:r>
                </w:p>
              </w:tc>
              <w:tc>
                <w:tcPr>
                  <w:tcW w:w="991" w:type="dxa"/>
                  <w:vAlign w:val="bottom"/>
                </w:tcPr>
                <w:p w14:paraId="1C6BADD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28.50 </w:t>
                  </w:r>
                </w:p>
              </w:tc>
              <w:tc>
                <w:tcPr>
                  <w:tcW w:w="1097" w:type="dxa"/>
                  <w:vAlign w:val="bottom"/>
                </w:tcPr>
                <w:p w14:paraId="48E43BA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2186.87 </w:t>
                  </w:r>
                </w:p>
              </w:tc>
              <w:tc>
                <w:tcPr>
                  <w:tcW w:w="991" w:type="dxa"/>
                  <w:vAlign w:val="bottom"/>
                </w:tcPr>
                <w:p w14:paraId="3F7F6FD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24.82 </w:t>
                  </w:r>
                </w:p>
              </w:tc>
              <w:tc>
                <w:tcPr>
                  <w:tcW w:w="1245" w:type="dxa"/>
                  <w:vAlign w:val="bottom"/>
                </w:tcPr>
                <w:p w14:paraId="6C4E1F2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1438.06 </w:t>
                  </w:r>
                </w:p>
              </w:tc>
              <w:tc>
                <w:tcPr>
                  <w:tcW w:w="1114" w:type="dxa"/>
                  <w:vAlign w:val="bottom"/>
                </w:tcPr>
                <w:p w14:paraId="7350BE8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12.20 </w:t>
                  </w:r>
                </w:p>
              </w:tc>
            </w:tr>
            <w:tr w14:paraId="0A03B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C8130A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39</w:t>
                  </w:r>
                </w:p>
              </w:tc>
              <w:tc>
                <w:tcPr>
                  <w:tcW w:w="741" w:type="pct"/>
                  <w:vAlign w:val="center"/>
                </w:tcPr>
                <w:p w14:paraId="7D6E8F2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-12,1.5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6BF156D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3000.27 </w:t>
                  </w:r>
                </w:p>
              </w:tc>
              <w:tc>
                <w:tcPr>
                  <w:tcW w:w="991" w:type="dxa"/>
                  <w:vAlign w:val="bottom"/>
                </w:tcPr>
                <w:p w14:paraId="19A38B3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31.23 </w:t>
                  </w:r>
                </w:p>
              </w:tc>
              <w:tc>
                <w:tcPr>
                  <w:tcW w:w="1097" w:type="dxa"/>
                  <w:vAlign w:val="bottom"/>
                </w:tcPr>
                <w:p w14:paraId="6E5BC19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2745.37 </w:t>
                  </w:r>
                </w:p>
              </w:tc>
              <w:tc>
                <w:tcPr>
                  <w:tcW w:w="991" w:type="dxa"/>
                  <w:vAlign w:val="bottom"/>
                </w:tcPr>
                <w:p w14:paraId="3EC6165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26.67 </w:t>
                  </w:r>
                </w:p>
              </w:tc>
              <w:tc>
                <w:tcPr>
                  <w:tcW w:w="1245" w:type="dxa"/>
                  <w:vAlign w:val="bottom"/>
                </w:tcPr>
                <w:p w14:paraId="222C58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1586.55 </w:t>
                  </w:r>
                </w:p>
              </w:tc>
              <w:tc>
                <w:tcPr>
                  <w:tcW w:w="1114" w:type="dxa"/>
                  <w:vAlign w:val="bottom"/>
                </w:tcPr>
                <w:p w14:paraId="08F2972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12.50 </w:t>
                  </w:r>
                </w:p>
              </w:tc>
            </w:tr>
            <w:tr w14:paraId="61EAF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DB68D4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40</w:t>
                  </w:r>
                </w:p>
              </w:tc>
              <w:tc>
                <w:tcPr>
                  <w:tcW w:w="741" w:type="pct"/>
                  <w:vAlign w:val="center"/>
                </w:tcPr>
                <w:p w14:paraId="5D0F0F0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（-11,1.5）</w:t>
                  </w:r>
                </w:p>
              </w:tc>
              <w:tc>
                <w:tcPr>
                  <w:tcW w:w="1096" w:type="dxa"/>
                  <w:vAlign w:val="bottom"/>
                </w:tcPr>
                <w:p w14:paraId="7F2E052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3803.60 </w:t>
                  </w:r>
                </w:p>
              </w:tc>
              <w:tc>
                <w:tcPr>
                  <w:tcW w:w="991" w:type="dxa"/>
                  <w:vAlign w:val="bottom"/>
                </w:tcPr>
                <w:p w14:paraId="244ECB5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33.90 </w:t>
                  </w:r>
                </w:p>
              </w:tc>
              <w:tc>
                <w:tcPr>
                  <w:tcW w:w="1097" w:type="dxa"/>
                  <w:vAlign w:val="bottom"/>
                </w:tcPr>
                <w:p w14:paraId="4D79C84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3335.71 </w:t>
                  </w:r>
                </w:p>
              </w:tc>
              <w:tc>
                <w:tcPr>
                  <w:tcW w:w="991" w:type="dxa"/>
                  <w:vAlign w:val="bottom"/>
                </w:tcPr>
                <w:p w14:paraId="4831F56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28.34 </w:t>
                  </w:r>
                </w:p>
              </w:tc>
              <w:tc>
                <w:tcPr>
                  <w:tcW w:w="1245" w:type="dxa"/>
                  <w:vAlign w:val="bottom"/>
                </w:tcPr>
                <w:p w14:paraId="5D907A8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1726.19 </w:t>
                  </w:r>
                </w:p>
              </w:tc>
              <w:tc>
                <w:tcPr>
                  <w:tcW w:w="1114" w:type="dxa"/>
                  <w:vAlign w:val="bottom"/>
                </w:tcPr>
                <w:p w14:paraId="784CDAD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12.73 </w:t>
                  </w:r>
                </w:p>
              </w:tc>
            </w:tr>
            <w:tr w14:paraId="0AD10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190C65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41</w:t>
                  </w:r>
                </w:p>
              </w:tc>
              <w:tc>
                <w:tcPr>
                  <w:tcW w:w="741" w:type="pct"/>
                  <w:vAlign w:val="center"/>
                </w:tcPr>
                <w:p w14:paraId="2F0FB42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-10,1.5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2A36B2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4619.07 </w:t>
                  </w:r>
                </w:p>
              </w:tc>
              <w:tc>
                <w:tcPr>
                  <w:tcW w:w="991" w:type="dxa"/>
                  <w:vAlign w:val="bottom"/>
                </w:tcPr>
                <w:p w14:paraId="27AD2A7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36.16 </w:t>
                  </w:r>
                </w:p>
              </w:tc>
              <w:tc>
                <w:tcPr>
                  <w:tcW w:w="1097" w:type="dxa"/>
                  <w:vAlign w:val="bottom"/>
                </w:tcPr>
                <w:p w14:paraId="77E3062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3901.15 </w:t>
                  </w:r>
                </w:p>
              </w:tc>
              <w:tc>
                <w:tcPr>
                  <w:tcW w:w="991" w:type="dxa"/>
                  <w:vAlign w:val="bottom"/>
                </w:tcPr>
                <w:p w14:paraId="1AD0629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29.58 </w:t>
                  </w:r>
                </w:p>
              </w:tc>
              <w:tc>
                <w:tcPr>
                  <w:tcW w:w="1245" w:type="dxa"/>
                  <w:vAlign w:val="bottom"/>
                </w:tcPr>
                <w:p w14:paraId="529FAF9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1851.89 </w:t>
                  </w:r>
                </w:p>
              </w:tc>
              <w:tc>
                <w:tcPr>
                  <w:tcW w:w="1114" w:type="dxa"/>
                  <w:vAlign w:val="bottom"/>
                </w:tcPr>
                <w:p w14:paraId="40B22FB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12.88 </w:t>
                  </w:r>
                </w:p>
              </w:tc>
            </w:tr>
            <w:tr w14:paraId="13D4E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5C1720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42</w:t>
                  </w:r>
                </w:p>
              </w:tc>
              <w:tc>
                <w:tcPr>
                  <w:tcW w:w="741" w:type="pct"/>
                  <w:vAlign w:val="center"/>
                </w:tcPr>
                <w:p w14:paraId="1A0CC33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（-9,1.5）</w:t>
                  </w:r>
                </w:p>
              </w:tc>
              <w:tc>
                <w:tcPr>
                  <w:tcW w:w="1096" w:type="dxa"/>
                  <w:vAlign w:val="bottom"/>
                </w:tcPr>
                <w:p w14:paraId="3641C84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5312.32 </w:t>
                  </w:r>
                </w:p>
              </w:tc>
              <w:tc>
                <w:tcPr>
                  <w:tcW w:w="991" w:type="dxa"/>
                  <w:vAlign w:val="bottom"/>
                </w:tcPr>
                <w:p w14:paraId="28AFE77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37.46 </w:t>
                  </w:r>
                </w:p>
              </w:tc>
              <w:tc>
                <w:tcPr>
                  <w:tcW w:w="1097" w:type="dxa"/>
                  <w:vAlign w:val="bottom"/>
                </w:tcPr>
                <w:p w14:paraId="0BCE3A1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4361.36 </w:t>
                  </w:r>
                </w:p>
              </w:tc>
              <w:tc>
                <w:tcPr>
                  <w:tcW w:w="991" w:type="dxa"/>
                  <w:vAlign w:val="bottom"/>
                </w:tcPr>
                <w:p w14:paraId="4C64EB9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30.11 </w:t>
                  </w:r>
                </w:p>
              </w:tc>
              <w:tc>
                <w:tcPr>
                  <w:tcW w:w="1245" w:type="dxa"/>
                  <w:vAlign w:val="bottom"/>
                </w:tcPr>
                <w:p w14:paraId="69C2F00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1959.20 </w:t>
                  </w:r>
                </w:p>
              </w:tc>
              <w:tc>
                <w:tcPr>
                  <w:tcW w:w="1114" w:type="dxa"/>
                  <w:vAlign w:val="bottom"/>
                </w:tcPr>
                <w:p w14:paraId="29BBC96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12.95 </w:t>
                  </w:r>
                </w:p>
              </w:tc>
            </w:tr>
            <w:tr w14:paraId="3DD2D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0" w:type="pct"/>
                  <w:vAlign w:val="center"/>
                </w:tcPr>
                <w:p w14:paraId="64C1D28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43</w:t>
                  </w:r>
                </w:p>
              </w:tc>
              <w:tc>
                <w:tcPr>
                  <w:tcW w:w="741" w:type="pct"/>
                  <w:vAlign w:val="center"/>
                </w:tcPr>
                <w:p w14:paraId="4631F8A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-8,1.5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362A3CE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5717.24 </w:t>
                  </w:r>
                </w:p>
              </w:tc>
              <w:tc>
                <w:tcPr>
                  <w:tcW w:w="991" w:type="dxa"/>
                  <w:vAlign w:val="bottom"/>
                </w:tcPr>
                <w:p w14:paraId="43929C6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37.21 </w:t>
                  </w:r>
                </w:p>
              </w:tc>
              <w:tc>
                <w:tcPr>
                  <w:tcW w:w="1097" w:type="dxa"/>
                  <w:vAlign w:val="bottom"/>
                </w:tcPr>
                <w:p w14:paraId="45D71DE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4632.26 </w:t>
                  </w:r>
                </w:p>
              </w:tc>
              <w:tc>
                <w:tcPr>
                  <w:tcW w:w="991" w:type="dxa"/>
                  <w:vAlign w:val="bottom"/>
                </w:tcPr>
                <w:p w14:paraId="772D3FA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29.65 </w:t>
                  </w:r>
                </w:p>
              </w:tc>
              <w:tc>
                <w:tcPr>
                  <w:tcW w:w="1245" w:type="dxa"/>
                  <w:vAlign w:val="bottom"/>
                </w:tcPr>
                <w:p w14:paraId="0BAC8F3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2044.97 </w:t>
                  </w:r>
                </w:p>
              </w:tc>
              <w:tc>
                <w:tcPr>
                  <w:tcW w:w="1114" w:type="dxa"/>
                  <w:vAlign w:val="bottom"/>
                </w:tcPr>
                <w:p w14:paraId="3BDAF6F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12.92 </w:t>
                  </w:r>
                </w:p>
              </w:tc>
            </w:tr>
            <w:tr w14:paraId="286EC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475752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44</w:t>
                  </w:r>
                </w:p>
              </w:tc>
              <w:tc>
                <w:tcPr>
                  <w:tcW w:w="741" w:type="pct"/>
                  <w:vAlign w:val="center"/>
                </w:tcPr>
                <w:p w14:paraId="794A8C3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（-7,1.5）</w:t>
                  </w:r>
                </w:p>
              </w:tc>
              <w:tc>
                <w:tcPr>
                  <w:tcW w:w="1096" w:type="dxa"/>
                  <w:vAlign w:val="bottom"/>
                </w:tcPr>
                <w:p w14:paraId="374D7BB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5718.52 </w:t>
                  </w:r>
                </w:p>
              </w:tc>
              <w:tc>
                <w:tcPr>
                  <w:tcW w:w="991" w:type="dxa"/>
                  <w:vAlign w:val="bottom"/>
                </w:tcPr>
                <w:p w14:paraId="5657D65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35.10 </w:t>
                  </w:r>
                </w:p>
              </w:tc>
              <w:tc>
                <w:tcPr>
                  <w:tcW w:w="1097" w:type="dxa"/>
                  <w:vAlign w:val="bottom"/>
                </w:tcPr>
                <w:p w14:paraId="4EEE2B7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4661.91 </w:t>
                  </w:r>
                </w:p>
              </w:tc>
              <w:tc>
                <w:tcPr>
                  <w:tcW w:w="991" w:type="dxa"/>
                  <w:vAlign w:val="bottom"/>
                </w:tcPr>
                <w:p w14:paraId="02AC351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28.11 </w:t>
                  </w:r>
                </w:p>
              </w:tc>
              <w:tc>
                <w:tcPr>
                  <w:tcW w:w="1245" w:type="dxa"/>
                  <w:vAlign w:val="bottom"/>
                </w:tcPr>
                <w:p w14:paraId="1452580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2107.92 </w:t>
                  </w:r>
                </w:p>
              </w:tc>
              <w:tc>
                <w:tcPr>
                  <w:tcW w:w="1114" w:type="dxa"/>
                  <w:vAlign w:val="bottom"/>
                </w:tcPr>
                <w:p w14:paraId="61FCC2D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12.82 </w:t>
                  </w:r>
                </w:p>
              </w:tc>
            </w:tr>
            <w:tr w14:paraId="2B810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B333D8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45</w:t>
                  </w:r>
                </w:p>
              </w:tc>
              <w:tc>
                <w:tcPr>
                  <w:tcW w:w="741" w:type="pct"/>
                  <w:vAlign w:val="center"/>
                </w:tcPr>
                <w:p w14:paraId="7227017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-6,1.5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24EE31A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5333.77 </w:t>
                  </w:r>
                </w:p>
              </w:tc>
              <w:tc>
                <w:tcPr>
                  <w:tcW w:w="991" w:type="dxa"/>
                  <w:vAlign w:val="bottom"/>
                </w:tcPr>
                <w:p w14:paraId="1FC7D24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31.38 </w:t>
                  </w:r>
                </w:p>
              </w:tc>
              <w:tc>
                <w:tcPr>
                  <w:tcW w:w="1097" w:type="dxa"/>
                  <w:vAlign w:val="bottom"/>
                </w:tcPr>
                <w:p w14:paraId="589AB15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4459.85 </w:t>
                  </w:r>
                </w:p>
              </w:tc>
              <w:tc>
                <w:tcPr>
                  <w:tcW w:w="991" w:type="dxa"/>
                  <w:vAlign w:val="bottom"/>
                </w:tcPr>
                <w:p w14:paraId="30BD2E2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25.61 </w:t>
                  </w:r>
                </w:p>
              </w:tc>
              <w:tc>
                <w:tcPr>
                  <w:tcW w:w="1245" w:type="dxa"/>
                  <w:vAlign w:val="bottom"/>
                </w:tcPr>
                <w:p w14:paraId="042E59F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2148.89 </w:t>
                  </w:r>
                </w:p>
              </w:tc>
              <w:tc>
                <w:tcPr>
                  <w:tcW w:w="1114" w:type="dxa"/>
                  <w:vAlign w:val="bottom"/>
                </w:tcPr>
                <w:p w14:paraId="256D9A8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12.65 </w:t>
                  </w:r>
                </w:p>
              </w:tc>
            </w:tr>
            <w:tr w14:paraId="3FAEB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C0C367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46</w:t>
                  </w:r>
                </w:p>
              </w:tc>
              <w:tc>
                <w:tcPr>
                  <w:tcW w:w="741" w:type="pct"/>
                  <w:vAlign w:val="center"/>
                </w:tcPr>
                <w:p w14:paraId="5944E89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（-5,1.5）</w:t>
                  </w:r>
                </w:p>
              </w:tc>
              <w:tc>
                <w:tcPr>
                  <w:tcW w:w="1096" w:type="dxa"/>
                  <w:vAlign w:val="bottom"/>
                </w:tcPr>
                <w:p w14:paraId="1671B99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4703.39 </w:t>
                  </w:r>
                </w:p>
              </w:tc>
              <w:tc>
                <w:tcPr>
                  <w:tcW w:w="991" w:type="dxa"/>
                  <w:vAlign w:val="bottom"/>
                </w:tcPr>
                <w:p w14:paraId="043D6F3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26.68 </w:t>
                  </w:r>
                </w:p>
              </w:tc>
              <w:tc>
                <w:tcPr>
                  <w:tcW w:w="1097" w:type="dxa"/>
                  <w:vAlign w:val="bottom"/>
                </w:tcPr>
                <w:p w14:paraId="7B0B3F6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4093.96 </w:t>
                  </w:r>
                </w:p>
              </w:tc>
              <w:tc>
                <w:tcPr>
                  <w:tcW w:w="991" w:type="dxa"/>
                  <w:vAlign w:val="bottom"/>
                </w:tcPr>
                <w:p w14:paraId="605F2F7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22.46 </w:t>
                  </w:r>
                </w:p>
              </w:tc>
              <w:tc>
                <w:tcPr>
                  <w:tcW w:w="1245" w:type="dxa"/>
                  <w:vAlign w:val="bottom"/>
                </w:tcPr>
                <w:p w14:paraId="58B7172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2170.78 </w:t>
                  </w:r>
                </w:p>
              </w:tc>
              <w:tc>
                <w:tcPr>
                  <w:tcW w:w="1114" w:type="dxa"/>
                  <w:vAlign w:val="bottom"/>
                </w:tcPr>
                <w:p w14:paraId="2565DD7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12.44 </w:t>
                  </w:r>
                </w:p>
              </w:tc>
            </w:tr>
            <w:tr w14:paraId="3AF1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396984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47</w:t>
                  </w:r>
                </w:p>
              </w:tc>
              <w:tc>
                <w:tcPr>
                  <w:tcW w:w="741" w:type="pct"/>
                  <w:vAlign w:val="center"/>
                </w:tcPr>
                <w:p w14:paraId="4AB7346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-4,1.5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568A8E5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4001.30 </w:t>
                  </w:r>
                </w:p>
              </w:tc>
              <w:tc>
                <w:tcPr>
                  <w:tcW w:w="991" w:type="dxa"/>
                  <w:vAlign w:val="bottom"/>
                </w:tcPr>
                <w:p w14:paraId="51C7AF0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21.68 </w:t>
                  </w:r>
                </w:p>
              </w:tc>
              <w:tc>
                <w:tcPr>
                  <w:tcW w:w="1097" w:type="dxa"/>
                  <w:vAlign w:val="bottom"/>
                </w:tcPr>
                <w:p w14:paraId="347C60C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3658.21 </w:t>
                  </w:r>
                </w:p>
              </w:tc>
              <w:tc>
                <w:tcPr>
                  <w:tcW w:w="991" w:type="dxa"/>
                  <w:vAlign w:val="bottom"/>
                </w:tcPr>
                <w:p w14:paraId="784098B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19.04 </w:t>
                  </w:r>
                </w:p>
              </w:tc>
              <w:tc>
                <w:tcPr>
                  <w:tcW w:w="1245" w:type="dxa"/>
                  <w:vAlign w:val="bottom"/>
                </w:tcPr>
                <w:p w14:paraId="764B368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2178.06 </w:t>
                  </w:r>
                </w:p>
              </w:tc>
              <w:tc>
                <w:tcPr>
                  <w:tcW w:w="1114" w:type="dxa"/>
                  <w:vAlign w:val="bottom"/>
                </w:tcPr>
                <w:p w14:paraId="7C9C1E8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12.21 </w:t>
                  </w:r>
                </w:p>
              </w:tc>
            </w:tr>
            <w:tr w14:paraId="0A7C9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E5B5D6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48</w:t>
                  </w:r>
                </w:p>
              </w:tc>
              <w:tc>
                <w:tcPr>
                  <w:tcW w:w="741" w:type="pct"/>
                  <w:vAlign w:val="center"/>
                </w:tcPr>
                <w:p w14:paraId="1ACEAB0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（-3,1.5）</w:t>
                  </w:r>
                </w:p>
              </w:tc>
              <w:tc>
                <w:tcPr>
                  <w:tcW w:w="1096" w:type="dxa"/>
                  <w:vAlign w:val="bottom"/>
                </w:tcPr>
                <w:p w14:paraId="071B1FF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3362.54 </w:t>
                  </w:r>
                </w:p>
              </w:tc>
              <w:tc>
                <w:tcPr>
                  <w:tcW w:w="991" w:type="dxa"/>
                  <w:vAlign w:val="bottom"/>
                </w:tcPr>
                <w:p w14:paraId="20E64B3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16.88 </w:t>
                  </w:r>
                </w:p>
              </w:tc>
              <w:tc>
                <w:tcPr>
                  <w:tcW w:w="1097" w:type="dxa"/>
                  <w:vAlign w:val="bottom"/>
                </w:tcPr>
                <w:p w14:paraId="48025DA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3239.30 </w:t>
                  </w:r>
                </w:p>
              </w:tc>
              <w:tc>
                <w:tcPr>
                  <w:tcW w:w="991" w:type="dxa"/>
                  <w:vAlign w:val="bottom"/>
                </w:tcPr>
                <w:p w14:paraId="2A5447C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15.71 </w:t>
                  </w:r>
                </w:p>
              </w:tc>
              <w:tc>
                <w:tcPr>
                  <w:tcW w:w="1245" w:type="dxa"/>
                  <w:vAlign w:val="bottom"/>
                </w:tcPr>
                <w:p w14:paraId="44AC7D2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2176.04 </w:t>
                  </w:r>
                </w:p>
              </w:tc>
              <w:tc>
                <w:tcPr>
                  <w:tcW w:w="1114" w:type="dxa"/>
                  <w:vAlign w:val="bottom"/>
                </w:tcPr>
                <w:p w14:paraId="1E52005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11.99 </w:t>
                  </w:r>
                </w:p>
              </w:tc>
            </w:tr>
            <w:tr w14:paraId="2B326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4FC00D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49</w:t>
                  </w:r>
                </w:p>
              </w:tc>
              <w:tc>
                <w:tcPr>
                  <w:tcW w:w="741" w:type="pct"/>
                  <w:vAlign w:val="center"/>
                </w:tcPr>
                <w:p w14:paraId="50362E4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lang w:eastAsia="zh-CN" w:bidi="ar"/>
                      <w14:textFill>
                        <w14:solidFill>
                          <w14:schemeClr w14:val="tx1"/>
                        </w14:solidFill>
                      </w14:textFill>
                    </w:rPr>
                    <w:t>-2,1.5</w:t>
                  </w:r>
                  <w:r>
                    <w:rPr>
                      <w:rFonts w:hint="eastAsia" w:ascii="Times New Roman" w:hAnsi="Times New Roman" w:eastAsia="宋体" w:cs="Times New Roman"/>
                      <w:color w:val="000000" w:themeColor="text1"/>
                      <w:kern w:val="0"/>
                      <w:szCs w:val="21"/>
                      <w:lang w:eastAsia="zh-CN" w:bidi="ar"/>
                      <w14:textFill>
                        <w14:solidFill>
                          <w14:schemeClr w14:val="tx1"/>
                        </w14:solidFill>
                      </w14:textFill>
                    </w:rPr>
                    <w:t>）</w:t>
                  </w:r>
                </w:p>
              </w:tc>
              <w:tc>
                <w:tcPr>
                  <w:tcW w:w="1096" w:type="dxa"/>
                  <w:vAlign w:val="bottom"/>
                </w:tcPr>
                <w:p w14:paraId="22BEA0B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2867.45 </w:t>
                  </w:r>
                </w:p>
              </w:tc>
              <w:tc>
                <w:tcPr>
                  <w:tcW w:w="991" w:type="dxa"/>
                  <w:vAlign w:val="bottom"/>
                </w:tcPr>
                <w:p w14:paraId="34C292F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12.60 </w:t>
                  </w:r>
                </w:p>
              </w:tc>
              <w:tc>
                <w:tcPr>
                  <w:tcW w:w="1097" w:type="dxa"/>
                  <w:vAlign w:val="bottom"/>
                </w:tcPr>
                <w:p w14:paraId="3FF46E8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2900.90 </w:t>
                  </w:r>
                </w:p>
              </w:tc>
              <w:tc>
                <w:tcPr>
                  <w:tcW w:w="991" w:type="dxa"/>
                  <w:vAlign w:val="bottom"/>
                </w:tcPr>
                <w:p w14:paraId="638F9B5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12.79 </w:t>
                  </w:r>
                </w:p>
              </w:tc>
              <w:tc>
                <w:tcPr>
                  <w:tcW w:w="1245" w:type="dxa"/>
                  <w:vAlign w:val="bottom"/>
                </w:tcPr>
                <w:p w14:paraId="5CD25C2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2170.01 </w:t>
                  </w:r>
                </w:p>
              </w:tc>
              <w:tc>
                <w:tcPr>
                  <w:tcW w:w="1114" w:type="dxa"/>
                  <w:vAlign w:val="bottom"/>
                </w:tcPr>
                <w:p w14:paraId="2C3CD8A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11.81 </w:t>
                  </w:r>
                </w:p>
              </w:tc>
            </w:tr>
            <w:tr w14:paraId="48492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37862F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50</w:t>
                  </w:r>
                </w:p>
              </w:tc>
              <w:tc>
                <w:tcPr>
                  <w:tcW w:w="741" w:type="pct"/>
                  <w:vAlign w:val="center"/>
                </w:tcPr>
                <w:p w14:paraId="3935CBE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（-1,1.5）</w:t>
                  </w:r>
                </w:p>
              </w:tc>
              <w:tc>
                <w:tcPr>
                  <w:tcW w:w="1096" w:type="dxa"/>
                  <w:vAlign w:val="bottom"/>
                </w:tcPr>
                <w:p w14:paraId="67986A4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2557.27 </w:t>
                  </w:r>
                </w:p>
              </w:tc>
              <w:tc>
                <w:tcPr>
                  <w:tcW w:w="991" w:type="dxa"/>
                  <w:vAlign w:val="bottom"/>
                </w:tcPr>
                <w:p w14:paraId="3B0EB49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9.31 </w:t>
                  </w:r>
                </w:p>
              </w:tc>
              <w:tc>
                <w:tcPr>
                  <w:tcW w:w="1097" w:type="dxa"/>
                  <w:vAlign w:val="bottom"/>
                </w:tcPr>
                <w:p w14:paraId="04BCD6B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2683.29 </w:t>
                  </w:r>
                </w:p>
              </w:tc>
              <w:tc>
                <w:tcPr>
                  <w:tcW w:w="991" w:type="dxa"/>
                  <w:vAlign w:val="bottom"/>
                </w:tcPr>
                <w:p w14:paraId="65CA1A0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10.69 </w:t>
                  </w:r>
                </w:p>
              </w:tc>
              <w:tc>
                <w:tcPr>
                  <w:tcW w:w="1245" w:type="dxa"/>
                  <w:vAlign w:val="bottom"/>
                </w:tcPr>
                <w:p w14:paraId="634C27A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2164.42 </w:t>
                  </w:r>
                </w:p>
              </w:tc>
              <w:tc>
                <w:tcPr>
                  <w:tcW w:w="1114" w:type="dxa"/>
                  <w:vAlign w:val="bottom"/>
                </w:tcPr>
                <w:p w14:paraId="7A58030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11.69 </w:t>
                  </w:r>
                </w:p>
              </w:tc>
            </w:tr>
            <w:tr w14:paraId="2FE8F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EC9735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51</w:t>
                  </w:r>
                </w:p>
              </w:tc>
              <w:tc>
                <w:tcPr>
                  <w:tcW w:w="741" w:type="pct"/>
                  <w:vAlign w:val="center"/>
                </w:tcPr>
                <w:p w14:paraId="422F4E5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（0,1.5）</w:t>
                  </w:r>
                </w:p>
              </w:tc>
              <w:tc>
                <w:tcPr>
                  <w:tcW w:w="1096" w:type="dxa"/>
                  <w:vAlign w:val="bottom"/>
                </w:tcPr>
                <w:p w14:paraId="10F41F3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2451.81 </w:t>
                  </w:r>
                </w:p>
              </w:tc>
              <w:tc>
                <w:tcPr>
                  <w:tcW w:w="991" w:type="dxa"/>
                  <w:vAlign w:val="bottom"/>
                </w:tcPr>
                <w:p w14:paraId="3C41FBF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7.96 </w:t>
                  </w:r>
                </w:p>
              </w:tc>
              <w:tc>
                <w:tcPr>
                  <w:tcW w:w="1097" w:type="dxa"/>
                  <w:vAlign w:val="bottom"/>
                </w:tcPr>
                <w:p w14:paraId="1C3FD38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2608.42 </w:t>
                  </w:r>
                </w:p>
              </w:tc>
              <w:tc>
                <w:tcPr>
                  <w:tcW w:w="991" w:type="dxa"/>
                  <w:vAlign w:val="bottom"/>
                </w:tcPr>
                <w:p w14:paraId="17484BB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9.89 </w:t>
                  </w:r>
                </w:p>
              </w:tc>
              <w:tc>
                <w:tcPr>
                  <w:tcW w:w="1245" w:type="dxa"/>
                  <w:vAlign w:val="bottom"/>
                </w:tcPr>
                <w:p w14:paraId="03543C2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2162.21 </w:t>
                  </w:r>
                </w:p>
              </w:tc>
              <w:tc>
                <w:tcPr>
                  <w:tcW w:w="1114" w:type="dxa"/>
                  <w:vAlign w:val="bottom"/>
                </w:tcPr>
                <w:p w14:paraId="3F60408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11.64 </w:t>
                  </w:r>
                </w:p>
              </w:tc>
            </w:tr>
            <w:tr w14:paraId="593FF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D349DF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52</w:t>
                  </w:r>
                </w:p>
              </w:tc>
              <w:tc>
                <w:tcPr>
                  <w:tcW w:w="741" w:type="pct"/>
                  <w:vAlign w:val="center"/>
                </w:tcPr>
                <w:p w14:paraId="4FA12C4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（1,1.5）</w:t>
                  </w:r>
                </w:p>
              </w:tc>
              <w:tc>
                <w:tcPr>
                  <w:tcW w:w="1096" w:type="dxa"/>
                  <w:vAlign w:val="bottom"/>
                </w:tcPr>
                <w:p w14:paraId="7764182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2557.27 </w:t>
                  </w:r>
                </w:p>
              </w:tc>
              <w:tc>
                <w:tcPr>
                  <w:tcW w:w="991" w:type="dxa"/>
                  <w:vAlign w:val="bottom"/>
                </w:tcPr>
                <w:p w14:paraId="5B21129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9.31 </w:t>
                  </w:r>
                </w:p>
              </w:tc>
              <w:tc>
                <w:tcPr>
                  <w:tcW w:w="1097" w:type="dxa"/>
                  <w:vAlign w:val="bottom"/>
                </w:tcPr>
                <w:p w14:paraId="4A0C2F4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2683.29 </w:t>
                  </w:r>
                </w:p>
              </w:tc>
              <w:tc>
                <w:tcPr>
                  <w:tcW w:w="991" w:type="dxa"/>
                  <w:vAlign w:val="bottom"/>
                </w:tcPr>
                <w:p w14:paraId="4011620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10.69 </w:t>
                  </w:r>
                </w:p>
              </w:tc>
              <w:tc>
                <w:tcPr>
                  <w:tcW w:w="1245" w:type="dxa"/>
                  <w:vAlign w:val="bottom"/>
                </w:tcPr>
                <w:p w14:paraId="5F32420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2164.42 </w:t>
                  </w:r>
                </w:p>
              </w:tc>
              <w:tc>
                <w:tcPr>
                  <w:tcW w:w="1114" w:type="dxa"/>
                  <w:vAlign w:val="bottom"/>
                </w:tcPr>
                <w:p w14:paraId="5C019E4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11.69 </w:t>
                  </w:r>
                </w:p>
              </w:tc>
            </w:tr>
            <w:tr w14:paraId="158AB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54C20A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53</w:t>
                  </w:r>
                </w:p>
              </w:tc>
              <w:tc>
                <w:tcPr>
                  <w:tcW w:w="741" w:type="pct"/>
                  <w:vAlign w:val="center"/>
                </w:tcPr>
                <w:p w14:paraId="0331CB8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（2,1.5）</w:t>
                  </w:r>
                </w:p>
              </w:tc>
              <w:tc>
                <w:tcPr>
                  <w:tcW w:w="1096" w:type="dxa"/>
                  <w:vAlign w:val="bottom"/>
                </w:tcPr>
                <w:p w14:paraId="1903EC8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2867.45 </w:t>
                  </w:r>
                </w:p>
              </w:tc>
              <w:tc>
                <w:tcPr>
                  <w:tcW w:w="991" w:type="dxa"/>
                  <w:vAlign w:val="bottom"/>
                </w:tcPr>
                <w:p w14:paraId="3FDF6C8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12.60 </w:t>
                  </w:r>
                </w:p>
              </w:tc>
              <w:tc>
                <w:tcPr>
                  <w:tcW w:w="1097" w:type="dxa"/>
                  <w:vAlign w:val="bottom"/>
                </w:tcPr>
                <w:p w14:paraId="0D4E896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2900.90 </w:t>
                  </w:r>
                </w:p>
              </w:tc>
              <w:tc>
                <w:tcPr>
                  <w:tcW w:w="991" w:type="dxa"/>
                  <w:vAlign w:val="bottom"/>
                </w:tcPr>
                <w:p w14:paraId="7E43801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12.79 </w:t>
                  </w:r>
                </w:p>
              </w:tc>
              <w:tc>
                <w:tcPr>
                  <w:tcW w:w="1245" w:type="dxa"/>
                  <w:vAlign w:val="bottom"/>
                </w:tcPr>
                <w:p w14:paraId="23BA48F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2170.01 </w:t>
                  </w:r>
                </w:p>
              </w:tc>
              <w:tc>
                <w:tcPr>
                  <w:tcW w:w="1114" w:type="dxa"/>
                  <w:vAlign w:val="bottom"/>
                </w:tcPr>
                <w:p w14:paraId="0E32A36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11.81 </w:t>
                  </w:r>
                </w:p>
              </w:tc>
            </w:tr>
            <w:tr w14:paraId="0AF32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348599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54</w:t>
                  </w:r>
                </w:p>
              </w:tc>
              <w:tc>
                <w:tcPr>
                  <w:tcW w:w="741" w:type="pct"/>
                  <w:vAlign w:val="center"/>
                </w:tcPr>
                <w:p w14:paraId="7583A79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（3,1.5）</w:t>
                  </w:r>
                </w:p>
              </w:tc>
              <w:tc>
                <w:tcPr>
                  <w:tcW w:w="1096" w:type="dxa"/>
                  <w:vAlign w:val="bottom"/>
                </w:tcPr>
                <w:p w14:paraId="7155D13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3362.54 </w:t>
                  </w:r>
                </w:p>
              </w:tc>
              <w:tc>
                <w:tcPr>
                  <w:tcW w:w="991" w:type="dxa"/>
                  <w:vAlign w:val="bottom"/>
                </w:tcPr>
                <w:p w14:paraId="1A6363B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16.88 </w:t>
                  </w:r>
                </w:p>
              </w:tc>
              <w:tc>
                <w:tcPr>
                  <w:tcW w:w="1097" w:type="dxa"/>
                  <w:vAlign w:val="bottom"/>
                </w:tcPr>
                <w:p w14:paraId="337C905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3239.30 </w:t>
                  </w:r>
                </w:p>
              </w:tc>
              <w:tc>
                <w:tcPr>
                  <w:tcW w:w="991" w:type="dxa"/>
                  <w:vAlign w:val="bottom"/>
                </w:tcPr>
                <w:p w14:paraId="788D4F7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15.71 </w:t>
                  </w:r>
                </w:p>
              </w:tc>
              <w:tc>
                <w:tcPr>
                  <w:tcW w:w="1245" w:type="dxa"/>
                  <w:vAlign w:val="bottom"/>
                </w:tcPr>
                <w:p w14:paraId="4F02FAE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2176.04 </w:t>
                  </w:r>
                </w:p>
              </w:tc>
              <w:tc>
                <w:tcPr>
                  <w:tcW w:w="1114" w:type="dxa"/>
                  <w:vAlign w:val="bottom"/>
                </w:tcPr>
                <w:p w14:paraId="6CFC460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11.99 </w:t>
                  </w:r>
                </w:p>
              </w:tc>
            </w:tr>
            <w:tr w14:paraId="220B1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0DAEA2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55</w:t>
                  </w:r>
                </w:p>
              </w:tc>
              <w:tc>
                <w:tcPr>
                  <w:tcW w:w="741" w:type="pct"/>
                  <w:vAlign w:val="center"/>
                </w:tcPr>
                <w:p w14:paraId="7A0070F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（4,1.5）</w:t>
                  </w:r>
                </w:p>
              </w:tc>
              <w:tc>
                <w:tcPr>
                  <w:tcW w:w="1096" w:type="dxa"/>
                  <w:vAlign w:val="bottom"/>
                </w:tcPr>
                <w:p w14:paraId="390CBAE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4001.30 </w:t>
                  </w:r>
                </w:p>
              </w:tc>
              <w:tc>
                <w:tcPr>
                  <w:tcW w:w="991" w:type="dxa"/>
                  <w:vAlign w:val="bottom"/>
                </w:tcPr>
                <w:p w14:paraId="4D6A0E3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21.68 </w:t>
                  </w:r>
                </w:p>
              </w:tc>
              <w:tc>
                <w:tcPr>
                  <w:tcW w:w="1097" w:type="dxa"/>
                  <w:vAlign w:val="bottom"/>
                </w:tcPr>
                <w:p w14:paraId="32CA4CB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3658.21 </w:t>
                  </w:r>
                </w:p>
              </w:tc>
              <w:tc>
                <w:tcPr>
                  <w:tcW w:w="991" w:type="dxa"/>
                  <w:vAlign w:val="bottom"/>
                </w:tcPr>
                <w:p w14:paraId="367B104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19.04 </w:t>
                  </w:r>
                </w:p>
              </w:tc>
              <w:tc>
                <w:tcPr>
                  <w:tcW w:w="1245" w:type="dxa"/>
                  <w:vAlign w:val="bottom"/>
                </w:tcPr>
                <w:p w14:paraId="230D39B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2178.06 </w:t>
                  </w:r>
                </w:p>
              </w:tc>
              <w:tc>
                <w:tcPr>
                  <w:tcW w:w="1114" w:type="dxa"/>
                  <w:vAlign w:val="bottom"/>
                </w:tcPr>
                <w:p w14:paraId="2B840B0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12.21 </w:t>
                  </w:r>
                </w:p>
              </w:tc>
            </w:tr>
            <w:tr w14:paraId="14BB6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0C3EF5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56</w:t>
                  </w:r>
                </w:p>
              </w:tc>
              <w:tc>
                <w:tcPr>
                  <w:tcW w:w="741" w:type="pct"/>
                  <w:vAlign w:val="center"/>
                </w:tcPr>
                <w:p w14:paraId="7EB0919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（5,1.5）</w:t>
                  </w:r>
                </w:p>
              </w:tc>
              <w:tc>
                <w:tcPr>
                  <w:tcW w:w="1096" w:type="dxa"/>
                  <w:vAlign w:val="bottom"/>
                </w:tcPr>
                <w:p w14:paraId="2B86C82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4703.39 </w:t>
                  </w:r>
                </w:p>
              </w:tc>
              <w:tc>
                <w:tcPr>
                  <w:tcW w:w="991" w:type="dxa"/>
                  <w:vAlign w:val="bottom"/>
                </w:tcPr>
                <w:p w14:paraId="604C791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26.68 </w:t>
                  </w:r>
                </w:p>
              </w:tc>
              <w:tc>
                <w:tcPr>
                  <w:tcW w:w="1097" w:type="dxa"/>
                  <w:vAlign w:val="bottom"/>
                </w:tcPr>
                <w:p w14:paraId="44044B7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4093.96 </w:t>
                  </w:r>
                </w:p>
              </w:tc>
              <w:tc>
                <w:tcPr>
                  <w:tcW w:w="991" w:type="dxa"/>
                  <w:vAlign w:val="bottom"/>
                </w:tcPr>
                <w:p w14:paraId="1B7BA3E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22.46 </w:t>
                  </w:r>
                </w:p>
              </w:tc>
              <w:tc>
                <w:tcPr>
                  <w:tcW w:w="1245" w:type="dxa"/>
                  <w:vAlign w:val="bottom"/>
                </w:tcPr>
                <w:p w14:paraId="783DC4A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2170.78 </w:t>
                  </w:r>
                </w:p>
              </w:tc>
              <w:tc>
                <w:tcPr>
                  <w:tcW w:w="1114" w:type="dxa"/>
                  <w:vAlign w:val="bottom"/>
                </w:tcPr>
                <w:p w14:paraId="67736BE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12.44 </w:t>
                  </w:r>
                </w:p>
              </w:tc>
            </w:tr>
            <w:tr w14:paraId="60F0F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2A4387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57</w:t>
                  </w:r>
                </w:p>
              </w:tc>
              <w:tc>
                <w:tcPr>
                  <w:tcW w:w="741" w:type="pct"/>
                  <w:vAlign w:val="center"/>
                </w:tcPr>
                <w:p w14:paraId="646F68B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（6,1.5）</w:t>
                  </w:r>
                </w:p>
              </w:tc>
              <w:tc>
                <w:tcPr>
                  <w:tcW w:w="1096" w:type="dxa"/>
                  <w:vAlign w:val="bottom"/>
                </w:tcPr>
                <w:p w14:paraId="48EA4BB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5333.77 </w:t>
                  </w:r>
                </w:p>
              </w:tc>
              <w:tc>
                <w:tcPr>
                  <w:tcW w:w="991" w:type="dxa"/>
                  <w:vAlign w:val="bottom"/>
                </w:tcPr>
                <w:p w14:paraId="5672C6A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31.38 </w:t>
                  </w:r>
                </w:p>
              </w:tc>
              <w:tc>
                <w:tcPr>
                  <w:tcW w:w="1097" w:type="dxa"/>
                  <w:vAlign w:val="bottom"/>
                </w:tcPr>
                <w:p w14:paraId="5249E3E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4459.85 </w:t>
                  </w:r>
                </w:p>
              </w:tc>
              <w:tc>
                <w:tcPr>
                  <w:tcW w:w="991" w:type="dxa"/>
                  <w:vAlign w:val="bottom"/>
                </w:tcPr>
                <w:p w14:paraId="78FB1A7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25.61 </w:t>
                  </w:r>
                </w:p>
              </w:tc>
              <w:tc>
                <w:tcPr>
                  <w:tcW w:w="1245" w:type="dxa"/>
                  <w:vAlign w:val="bottom"/>
                </w:tcPr>
                <w:p w14:paraId="6A32F16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2148.89 </w:t>
                  </w:r>
                </w:p>
              </w:tc>
              <w:tc>
                <w:tcPr>
                  <w:tcW w:w="1114" w:type="dxa"/>
                  <w:vAlign w:val="bottom"/>
                </w:tcPr>
                <w:p w14:paraId="4FCF90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12.65 </w:t>
                  </w:r>
                </w:p>
              </w:tc>
            </w:tr>
            <w:tr w14:paraId="2074B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AF1534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58</w:t>
                  </w:r>
                </w:p>
              </w:tc>
              <w:tc>
                <w:tcPr>
                  <w:tcW w:w="741" w:type="pct"/>
                  <w:vAlign w:val="center"/>
                </w:tcPr>
                <w:p w14:paraId="77DCB5D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（7,1.5）</w:t>
                  </w:r>
                </w:p>
              </w:tc>
              <w:tc>
                <w:tcPr>
                  <w:tcW w:w="1096" w:type="dxa"/>
                  <w:vAlign w:val="bottom"/>
                </w:tcPr>
                <w:p w14:paraId="5135E51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5718.52 </w:t>
                  </w:r>
                </w:p>
              </w:tc>
              <w:tc>
                <w:tcPr>
                  <w:tcW w:w="991" w:type="dxa"/>
                  <w:vAlign w:val="bottom"/>
                </w:tcPr>
                <w:p w14:paraId="4D82D30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35.10 </w:t>
                  </w:r>
                </w:p>
              </w:tc>
              <w:tc>
                <w:tcPr>
                  <w:tcW w:w="1097" w:type="dxa"/>
                  <w:vAlign w:val="bottom"/>
                </w:tcPr>
                <w:p w14:paraId="703C83D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4661.91 </w:t>
                  </w:r>
                </w:p>
              </w:tc>
              <w:tc>
                <w:tcPr>
                  <w:tcW w:w="991" w:type="dxa"/>
                  <w:vAlign w:val="bottom"/>
                </w:tcPr>
                <w:p w14:paraId="53DAC83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28.11 </w:t>
                  </w:r>
                </w:p>
              </w:tc>
              <w:tc>
                <w:tcPr>
                  <w:tcW w:w="1245" w:type="dxa"/>
                  <w:vAlign w:val="bottom"/>
                </w:tcPr>
                <w:p w14:paraId="5208B9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2107.92 </w:t>
                  </w:r>
                </w:p>
              </w:tc>
              <w:tc>
                <w:tcPr>
                  <w:tcW w:w="1114" w:type="dxa"/>
                  <w:vAlign w:val="bottom"/>
                </w:tcPr>
                <w:p w14:paraId="0605137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12.82 </w:t>
                  </w:r>
                </w:p>
              </w:tc>
            </w:tr>
            <w:tr w14:paraId="21080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1AACE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59</w:t>
                  </w:r>
                </w:p>
              </w:tc>
              <w:tc>
                <w:tcPr>
                  <w:tcW w:w="741" w:type="pct"/>
                  <w:vAlign w:val="center"/>
                </w:tcPr>
                <w:p w14:paraId="5F4A153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（8,1.5）</w:t>
                  </w:r>
                </w:p>
              </w:tc>
              <w:tc>
                <w:tcPr>
                  <w:tcW w:w="1096" w:type="dxa"/>
                  <w:vAlign w:val="bottom"/>
                </w:tcPr>
                <w:p w14:paraId="44F4973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5717.24 </w:t>
                  </w:r>
                </w:p>
              </w:tc>
              <w:tc>
                <w:tcPr>
                  <w:tcW w:w="991" w:type="dxa"/>
                  <w:vAlign w:val="bottom"/>
                </w:tcPr>
                <w:p w14:paraId="218C0B0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37.21 </w:t>
                  </w:r>
                </w:p>
              </w:tc>
              <w:tc>
                <w:tcPr>
                  <w:tcW w:w="1097" w:type="dxa"/>
                  <w:vAlign w:val="bottom"/>
                </w:tcPr>
                <w:p w14:paraId="6AA91E3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4632.26 </w:t>
                  </w:r>
                </w:p>
              </w:tc>
              <w:tc>
                <w:tcPr>
                  <w:tcW w:w="991" w:type="dxa"/>
                  <w:vAlign w:val="bottom"/>
                </w:tcPr>
                <w:p w14:paraId="632711B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29.65 </w:t>
                  </w:r>
                </w:p>
              </w:tc>
              <w:tc>
                <w:tcPr>
                  <w:tcW w:w="1245" w:type="dxa"/>
                  <w:vAlign w:val="bottom"/>
                </w:tcPr>
                <w:p w14:paraId="5DE9D14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2044.97 </w:t>
                  </w:r>
                </w:p>
              </w:tc>
              <w:tc>
                <w:tcPr>
                  <w:tcW w:w="1114" w:type="dxa"/>
                  <w:vAlign w:val="bottom"/>
                </w:tcPr>
                <w:p w14:paraId="1FCAB4A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12.92 </w:t>
                  </w:r>
                </w:p>
              </w:tc>
            </w:tr>
            <w:tr w14:paraId="0B437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3CA735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60</w:t>
                  </w:r>
                </w:p>
              </w:tc>
              <w:tc>
                <w:tcPr>
                  <w:tcW w:w="741" w:type="pct"/>
                  <w:vAlign w:val="center"/>
                </w:tcPr>
                <w:p w14:paraId="2173A7F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（9,1.5）</w:t>
                  </w:r>
                </w:p>
              </w:tc>
              <w:tc>
                <w:tcPr>
                  <w:tcW w:w="1096" w:type="dxa"/>
                  <w:vAlign w:val="bottom"/>
                </w:tcPr>
                <w:p w14:paraId="125A2E1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5312.32 </w:t>
                  </w:r>
                </w:p>
              </w:tc>
              <w:tc>
                <w:tcPr>
                  <w:tcW w:w="991" w:type="dxa"/>
                  <w:vAlign w:val="bottom"/>
                </w:tcPr>
                <w:p w14:paraId="1B3EED3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37.46 </w:t>
                  </w:r>
                </w:p>
              </w:tc>
              <w:tc>
                <w:tcPr>
                  <w:tcW w:w="1097" w:type="dxa"/>
                  <w:vAlign w:val="bottom"/>
                </w:tcPr>
                <w:p w14:paraId="08C3FBA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4361.36 </w:t>
                  </w:r>
                </w:p>
              </w:tc>
              <w:tc>
                <w:tcPr>
                  <w:tcW w:w="991" w:type="dxa"/>
                  <w:vAlign w:val="bottom"/>
                </w:tcPr>
                <w:p w14:paraId="40EFFD3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30.11 </w:t>
                  </w:r>
                </w:p>
              </w:tc>
              <w:tc>
                <w:tcPr>
                  <w:tcW w:w="1245" w:type="dxa"/>
                  <w:vAlign w:val="bottom"/>
                </w:tcPr>
                <w:p w14:paraId="33475C8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1959.20 </w:t>
                  </w:r>
                </w:p>
              </w:tc>
              <w:tc>
                <w:tcPr>
                  <w:tcW w:w="1114" w:type="dxa"/>
                  <w:vAlign w:val="bottom"/>
                </w:tcPr>
                <w:p w14:paraId="142FD0C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12.95 </w:t>
                  </w:r>
                </w:p>
              </w:tc>
            </w:tr>
            <w:tr w14:paraId="0E32C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DB6356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61</w:t>
                  </w:r>
                </w:p>
              </w:tc>
              <w:tc>
                <w:tcPr>
                  <w:tcW w:w="741" w:type="pct"/>
                  <w:vAlign w:val="center"/>
                </w:tcPr>
                <w:p w14:paraId="5F26F1D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（10,1.5）</w:t>
                  </w:r>
                </w:p>
              </w:tc>
              <w:tc>
                <w:tcPr>
                  <w:tcW w:w="1096" w:type="dxa"/>
                  <w:vAlign w:val="bottom"/>
                </w:tcPr>
                <w:p w14:paraId="5D0B5B5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4619.07 </w:t>
                  </w:r>
                </w:p>
              </w:tc>
              <w:tc>
                <w:tcPr>
                  <w:tcW w:w="991" w:type="dxa"/>
                  <w:vAlign w:val="bottom"/>
                </w:tcPr>
                <w:p w14:paraId="4CC53AA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36.16 </w:t>
                  </w:r>
                </w:p>
              </w:tc>
              <w:tc>
                <w:tcPr>
                  <w:tcW w:w="1097" w:type="dxa"/>
                  <w:vAlign w:val="bottom"/>
                </w:tcPr>
                <w:p w14:paraId="0D7FCF3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3901.15 </w:t>
                  </w:r>
                </w:p>
              </w:tc>
              <w:tc>
                <w:tcPr>
                  <w:tcW w:w="991" w:type="dxa"/>
                  <w:vAlign w:val="bottom"/>
                </w:tcPr>
                <w:p w14:paraId="404F97C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29.58 </w:t>
                  </w:r>
                </w:p>
              </w:tc>
              <w:tc>
                <w:tcPr>
                  <w:tcW w:w="1245" w:type="dxa"/>
                  <w:vAlign w:val="bottom"/>
                </w:tcPr>
                <w:p w14:paraId="4A50D73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1851.89 </w:t>
                  </w:r>
                </w:p>
              </w:tc>
              <w:tc>
                <w:tcPr>
                  <w:tcW w:w="1114" w:type="dxa"/>
                  <w:vAlign w:val="bottom"/>
                </w:tcPr>
                <w:p w14:paraId="6530F2F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12.88 </w:t>
                  </w:r>
                </w:p>
              </w:tc>
            </w:tr>
            <w:tr w14:paraId="14B82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A5D953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62</w:t>
                  </w:r>
                </w:p>
              </w:tc>
              <w:tc>
                <w:tcPr>
                  <w:tcW w:w="741" w:type="pct"/>
                  <w:vAlign w:val="center"/>
                </w:tcPr>
                <w:p w14:paraId="7B12155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（11,1.5）</w:t>
                  </w:r>
                </w:p>
              </w:tc>
              <w:tc>
                <w:tcPr>
                  <w:tcW w:w="1096" w:type="dxa"/>
                  <w:vAlign w:val="bottom"/>
                </w:tcPr>
                <w:p w14:paraId="51A6F9F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3803.60 </w:t>
                  </w:r>
                </w:p>
              </w:tc>
              <w:tc>
                <w:tcPr>
                  <w:tcW w:w="991" w:type="dxa"/>
                  <w:vAlign w:val="bottom"/>
                </w:tcPr>
                <w:p w14:paraId="58215BC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33.90 </w:t>
                  </w:r>
                </w:p>
              </w:tc>
              <w:tc>
                <w:tcPr>
                  <w:tcW w:w="1097" w:type="dxa"/>
                  <w:vAlign w:val="bottom"/>
                </w:tcPr>
                <w:p w14:paraId="5DEADF2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3335.71 </w:t>
                  </w:r>
                </w:p>
              </w:tc>
              <w:tc>
                <w:tcPr>
                  <w:tcW w:w="991" w:type="dxa"/>
                  <w:vAlign w:val="bottom"/>
                </w:tcPr>
                <w:p w14:paraId="695AFDC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28.34 </w:t>
                  </w:r>
                </w:p>
              </w:tc>
              <w:tc>
                <w:tcPr>
                  <w:tcW w:w="1245" w:type="dxa"/>
                  <w:vAlign w:val="bottom"/>
                </w:tcPr>
                <w:p w14:paraId="623D756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1726.19 </w:t>
                  </w:r>
                </w:p>
              </w:tc>
              <w:tc>
                <w:tcPr>
                  <w:tcW w:w="1114" w:type="dxa"/>
                  <w:vAlign w:val="bottom"/>
                </w:tcPr>
                <w:p w14:paraId="4A68C0E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12.73 </w:t>
                  </w:r>
                </w:p>
              </w:tc>
            </w:tr>
            <w:tr w14:paraId="514C8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64D208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63</w:t>
                  </w:r>
                </w:p>
              </w:tc>
              <w:tc>
                <w:tcPr>
                  <w:tcW w:w="741" w:type="pct"/>
                  <w:vAlign w:val="center"/>
                </w:tcPr>
                <w:p w14:paraId="3738347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（12,1.5）</w:t>
                  </w:r>
                </w:p>
              </w:tc>
              <w:tc>
                <w:tcPr>
                  <w:tcW w:w="1096" w:type="dxa"/>
                  <w:vAlign w:val="bottom"/>
                </w:tcPr>
                <w:p w14:paraId="4BB1363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3000.27 </w:t>
                  </w:r>
                </w:p>
              </w:tc>
              <w:tc>
                <w:tcPr>
                  <w:tcW w:w="991" w:type="dxa"/>
                  <w:vAlign w:val="bottom"/>
                </w:tcPr>
                <w:p w14:paraId="4B41E9D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31.23 </w:t>
                  </w:r>
                </w:p>
              </w:tc>
              <w:tc>
                <w:tcPr>
                  <w:tcW w:w="1097" w:type="dxa"/>
                  <w:vAlign w:val="bottom"/>
                </w:tcPr>
                <w:p w14:paraId="451C111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2745.37 </w:t>
                  </w:r>
                </w:p>
              </w:tc>
              <w:tc>
                <w:tcPr>
                  <w:tcW w:w="991" w:type="dxa"/>
                  <w:vAlign w:val="bottom"/>
                </w:tcPr>
                <w:p w14:paraId="4209639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26.67 </w:t>
                  </w:r>
                </w:p>
              </w:tc>
              <w:tc>
                <w:tcPr>
                  <w:tcW w:w="1245" w:type="dxa"/>
                  <w:vAlign w:val="bottom"/>
                </w:tcPr>
                <w:p w14:paraId="10F2D4C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1586.55 </w:t>
                  </w:r>
                </w:p>
              </w:tc>
              <w:tc>
                <w:tcPr>
                  <w:tcW w:w="1114" w:type="dxa"/>
                  <w:vAlign w:val="bottom"/>
                </w:tcPr>
                <w:p w14:paraId="0D0A7CF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12.50 </w:t>
                  </w:r>
                </w:p>
              </w:tc>
            </w:tr>
            <w:tr w14:paraId="7989A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C0D7F8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64</w:t>
                  </w:r>
                </w:p>
              </w:tc>
              <w:tc>
                <w:tcPr>
                  <w:tcW w:w="741" w:type="pct"/>
                  <w:vAlign w:val="center"/>
                </w:tcPr>
                <w:p w14:paraId="68FA6D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（13,1.5）</w:t>
                  </w:r>
                </w:p>
              </w:tc>
              <w:tc>
                <w:tcPr>
                  <w:tcW w:w="1096" w:type="dxa"/>
                  <w:vAlign w:val="bottom"/>
                </w:tcPr>
                <w:p w14:paraId="213EB7A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2284.57 </w:t>
                  </w:r>
                </w:p>
              </w:tc>
              <w:tc>
                <w:tcPr>
                  <w:tcW w:w="991" w:type="dxa"/>
                  <w:vAlign w:val="bottom"/>
                </w:tcPr>
                <w:p w14:paraId="763480B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28.50 </w:t>
                  </w:r>
                </w:p>
              </w:tc>
              <w:tc>
                <w:tcPr>
                  <w:tcW w:w="1097" w:type="dxa"/>
                  <w:vAlign w:val="bottom"/>
                </w:tcPr>
                <w:p w14:paraId="159960F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2186.87 </w:t>
                  </w:r>
                </w:p>
              </w:tc>
              <w:tc>
                <w:tcPr>
                  <w:tcW w:w="991" w:type="dxa"/>
                  <w:vAlign w:val="bottom"/>
                </w:tcPr>
                <w:p w14:paraId="29F0C64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24.82 </w:t>
                  </w:r>
                </w:p>
              </w:tc>
              <w:tc>
                <w:tcPr>
                  <w:tcW w:w="1245" w:type="dxa"/>
                  <w:vAlign w:val="bottom"/>
                </w:tcPr>
                <w:p w14:paraId="07540BD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1438.06 </w:t>
                  </w:r>
                </w:p>
              </w:tc>
              <w:tc>
                <w:tcPr>
                  <w:tcW w:w="1114" w:type="dxa"/>
                  <w:vAlign w:val="bottom"/>
                </w:tcPr>
                <w:p w14:paraId="2880381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12.20 </w:t>
                  </w:r>
                </w:p>
              </w:tc>
            </w:tr>
            <w:tr w14:paraId="10A52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783AC1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65</w:t>
                  </w:r>
                </w:p>
              </w:tc>
              <w:tc>
                <w:tcPr>
                  <w:tcW w:w="741" w:type="pct"/>
                  <w:vAlign w:val="center"/>
                </w:tcPr>
                <w:p w14:paraId="54ED838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（14,1.5）</w:t>
                  </w:r>
                </w:p>
              </w:tc>
              <w:tc>
                <w:tcPr>
                  <w:tcW w:w="1096" w:type="dxa"/>
                  <w:vAlign w:val="bottom"/>
                </w:tcPr>
                <w:p w14:paraId="7438C7E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1684.72 </w:t>
                  </w:r>
                </w:p>
              </w:tc>
              <w:tc>
                <w:tcPr>
                  <w:tcW w:w="991" w:type="dxa"/>
                  <w:vAlign w:val="bottom"/>
                </w:tcPr>
                <w:p w14:paraId="5374020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25.91 </w:t>
                  </w:r>
                </w:p>
              </w:tc>
              <w:tc>
                <w:tcPr>
                  <w:tcW w:w="1097" w:type="dxa"/>
                  <w:vAlign w:val="bottom"/>
                </w:tcPr>
                <w:p w14:paraId="07C898C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1691.04 </w:t>
                  </w:r>
                </w:p>
              </w:tc>
              <w:tc>
                <w:tcPr>
                  <w:tcW w:w="991" w:type="dxa"/>
                  <w:vAlign w:val="bottom"/>
                </w:tcPr>
                <w:p w14:paraId="431A2F5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22.95 </w:t>
                  </w:r>
                </w:p>
              </w:tc>
              <w:tc>
                <w:tcPr>
                  <w:tcW w:w="1245" w:type="dxa"/>
                  <w:vAlign w:val="bottom"/>
                </w:tcPr>
                <w:p w14:paraId="5981850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1285.77 </w:t>
                  </w:r>
                </w:p>
              </w:tc>
              <w:tc>
                <w:tcPr>
                  <w:tcW w:w="1114" w:type="dxa"/>
                  <w:vAlign w:val="bottom"/>
                </w:tcPr>
                <w:p w14:paraId="62B3DBC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11.85 </w:t>
                  </w:r>
                </w:p>
              </w:tc>
            </w:tr>
            <w:tr w14:paraId="20377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C4621D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66</w:t>
                  </w:r>
                </w:p>
              </w:tc>
              <w:tc>
                <w:tcPr>
                  <w:tcW w:w="741" w:type="pct"/>
                  <w:vAlign w:val="center"/>
                </w:tcPr>
                <w:p w14:paraId="751C32A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（15,1.5）</w:t>
                  </w:r>
                </w:p>
              </w:tc>
              <w:tc>
                <w:tcPr>
                  <w:tcW w:w="1096" w:type="dxa"/>
                  <w:vAlign w:val="bottom"/>
                </w:tcPr>
                <w:p w14:paraId="0130DA0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1201.80 </w:t>
                  </w:r>
                </w:p>
              </w:tc>
              <w:tc>
                <w:tcPr>
                  <w:tcW w:w="991" w:type="dxa"/>
                  <w:vAlign w:val="bottom"/>
                </w:tcPr>
                <w:p w14:paraId="64D1240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23.53 </w:t>
                  </w:r>
                </w:p>
              </w:tc>
              <w:tc>
                <w:tcPr>
                  <w:tcW w:w="1097" w:type="dxa"/>
                  <w:vAlign w:val="bottom"/>
                </w:tcPr>
                <w:p w14:paraId="1AE6251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1269.34 </w:t>
                  </w:r>
                </w:p>
              </w:tc>
              <w:tc>
                <w:tcPr>
                  <w:tcW w:w="991" w:type="dxa"/>
                  <w:vAlign w:val="bottom"/>
                </w:tcPr>
                <w:p w14:paraId="497A19A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21.15 </w:t>
                  </w:r>
                </w:p>
              </w:tc>
              <w:tc>
                <w:tcPr>
                  <w:tcW w:w="1245" w:type="dxa"/>
                  <w:vAlign w:val="bottom"/>
                </w:tcPr>
                <w:p w14:paraId="4D21EC9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1134.29 </w:t>
                  </w:r>
                </w:p>
              </w:tc>
              <w:tc>
                <w:tcPr>
                  <w:tcW w:w="1114" w:type="dxa"/>
                  <w:vAlign w:val="bottom"/>
                </w:tcPr>
                <w:p w14:paraId="332B100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11.45 </w:t>
                  </w:r>
                </w:p>
              </w:tc>
            </w:tr>
            <w:tr w14:paraId="1D7C9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25B0230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67</w:t>
                  </w:r>
                </w:p>
              </w:tc>
              <w:tc>
                <w:tcPr>
                  <w:tcW w:w="741" w:type="pct"/>
                  <w:vAlign w:val="center"/>
                </w:tcPr>
                <w:p w14:paraId="3A7F989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（16,1.5）</w:t>
                  </w:r>
                </w:p>
              </w:tc>
              <w:tc>
                <w:tcPr>
                  <w:tcW w:w="1096" w:type="dxa"/>
                  <w:vAlign w:val="bottom"/>
                </w:tcPr>
                <w:p w14:paraId="7E34E2D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825.61 </w:t>
                  </w:r>
                </w:p>
              </w:tc>
              <w:tc>
                <w:tcPr>
                  <w:tcW w:w="991" w:type="dxa"/>
                  <w:vAlign w:val="bottom"/>
                </w:tcPr>
                <w:p w14:paraId="3A70BCF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21.39 </w:t>
                  </w:r>
                </w:p>
              </w:tc>
              <w:tc>
                <w:tcPr>
                  <w:tcW w:w="1097" w:type="dxa"/>
                  <w:vAlign w:val="bottom"/>
                </w:tcPr>
                <w:p w14:paraId="052B7DD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921.77 </w:t>
                  </w:r>
                </w:p>
              </w:tc>
              <w:tc>
                <w:tcPr>
                  <w:tcW w:w="991" w:type="dxa"/>
                  <w:vAlign w:val="bottom"/>
                </w:tcPr>
                <w:p w14:paraId="3DC6511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19.46 </w:t>
                  </w:r>
                </w:p>
              </w:tc>
              <w:tc>
                <w:tcPr>
                  <w:tcW w:w="1245" w:type="dxa"/>
                  <w:vAlign w:val="bottom"/>
                </w:tcPr>
                <w:p w14:paraId="3C55D08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987.40 </w:t>
                  </w:r>
                </w:p>
              </w:tc>
              <w:tc>
                <w:tcPr>
                  <w:tcW w:w="1114" w:type="dxa"/>
                  <w:vAlign w:val="bottom"/>
                </w:tcPr>
                <w:p w14:paraId="7D123C4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11.03 </w:t>
                  </w:r>
                </w:p>
              </w:tc>
            </w:tr>
            <w:tr w14:paraId="3E1BE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1637A6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68</w:t>
                  </w:r>
                </w:p>
              </w:tc>
              <w:tc>
                <w:tcPr>
                  <w:tcW w:w="741" w:type="pct"/>
                  <w:vAlign w:val="center"/>
                </w:tcPr>
                <w:p w14:paraId="102DC30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（17,1.5）</w:t>
                  </w:r>
                </w:p>
              </w:tc>
              <w:tc>
                <w:tcPr>
                  <w:tcW w:w="1096" w:type="dxa"/>
                  <w:vAlign w:val="bottom"/>
                </w:tcPr>
                <w:p w14:paraId="4BBDE29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545.18 </w:t>
                  </w:r>
                </w:p>
              </w:tc>
              <w:tc>
                <w:tcPr>
                  <w:tcW w:w="991" w:type="dxa"/>
                  <w:vAlign w:val="bottom"/>
                </w:tcPr>
                <w:p w14:paraId="0AA3B9E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19.49 </w:t>
                  </w:r>
                </w:p>
              </w:tc>
              <w:tc>
                <w:tcPr>
                  <w:tcW w:w="1097" w:type="dxa"/>
                  <w:vAlign w:val="bottom"/>
                </w:tcPr>
                <w:p w14:paraId="5AAF7D2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643.31 </w:t>
                  </w:r>
                </w:p>
              </w:tc>
              <w:tc>
                <w:tcPr>
                  <w:tcW w:w="991" w:type="dxa"/>
                  <w:vAlign w:val="bottom"/>
                </w:tcPr>
                <w:p w14:paraId="4718CD9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17.90 </w:t>
                  </w:r>
                </w:p>
              </w:tc>
              <w:tc>
                <w:tcPr>
                  <w:tcW w:w="1245" w:type="dxa"/>
                  <w:vAlign w:val="bottom"/>
                </w:tcPr>
                <w:p w14:paraId="29415AC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847.99 </w:t>
                  </w:r>
                </w:p>
              </w:tc>
              <w:tc>
                <w:tcPr>
                  <w:tcW w:w="1114" w:type="dxa"/>
                  <w:vAlign w:val="bottom"/>
                </w:tcPr>
                <w:p w14:paraId="1F6929B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10.59 </w:t>
                  </w:r>
                </w:p>
              </w:tc>
            </w:tr>
            <w:tr w14:paraId="68DCF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4F0050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69</w:t>
                  </w:r>
                </w:p>
              </w:tc>
              <w:tc>
                <w:tcPr>
                  <w:tcW w:w="741" w:type="pct"/>
                  <w:vAlign w:val="center"/>
                </w:tcPr>
                <w:p w14:paraId="5E41A39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（18,1.5）</w:t>
                  </w:r>
                </w:p>
              </w:tc>
              <w:tc>
                <w:tcPr>
                  <w:tcW w:w="1096" w:type="dxa"/>
                  <w:vAlign w:val="bottom"/>
                </w:tcPr>
                <w:p w14:paraId="114B588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357.47 </w:t>
                  </w:r>
                </w:p>
              </w:tc>
              <w:tc>
                <w:tcPr>
                  <w:tcW w:w="991" w:type="dxa"/>
                  <w:vAlign w:val="bottom"/>
                </w:tcPr>
                <w:p w14:paraId="01CCE52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17.79 </w:t>
                  </w:r>
                </w:p>
              </w:tc>
              <w:tc>
                <w:tcPr>
                  <w:tcW w:w="1097" w:type="dxa"/>
                  <w:vAlign w:val="bottom"/>
                </w:tcPr>
                <w:p w14:paraId="5F96ED4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428.98 </w:t>
                  </w:r>
                </w:p>
              </w:tc>
              <w:tc>
                <w:tcPr>
                  <w:tcW w:w="991" w:type="dxa"/>
                  <w:vAlign w:val="bottom"/>
                </w:tcPr>
                <w:p w14:paraId="501C794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16.49 </w:t>
                  </w:r>
                </w:p>
              </w:tc>
              <w:tc>
                <w:tcPr>
                  <w:tcW w:w="1245" w:type="dxa"/>
                  <w:vAlign w:val="bottom"/>
                </w:tcPr>
                <w:p w14:paraId="408661D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718.07 </w:t>
                  </w:r>
                </w:p>
              </w:tc>
              <w:tc>
                <w:tcPr>
                  <w:tcW w:w="1114" w:type="dxa"/>
                  <w:vAlign w:val="bottom"/>
                </w:tcPr>
                <w:p w14:paraId="3C896D8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10.14 </w:t>
                  </w:r>
                </w:p>
              </w:tc>
            </w:tr>
            <w:tr w14:paraId="51919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5FE6DD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70</w:t>
                  </w:r>
                </w:p>
              </w:tc>
              <w:tc>
                <w:tcPr>
                  <w:tcW w:w="741" w:type="pct"/>
                  <w:vAlign w:val="center"/>
                </w:tcPr>
                <w:p w14:paraId="057DC53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（19,1.5）</w:t>
                  </w:r>
                </w:p>
              </w:tc>
              <w:tc>
                <w:tcPr>
                  <w:tcW w:w="1096" w:type="dxa"/>
                  <w:vAlign w:val="bottom"/>
                </w:tcPr>
                <w:p w14:paraId="21BDD13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271.83 </w:t>
                  </w:r>
                </w:p>
              </w:tc>
              <w:tc>
                <w:tcPr>
                  <w:tcW w:w="991" w:type="dxa"/>
                  <w:vAlign w:val="bottom"/>
                </w:tcPr>
                <w:p w14:paraId="3017C51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16.29 </w:t>
                  </w:r>
                </w:p>
              </w:tc>
              <w:tc>
                <w:tcPr>
                  <w:tcW w:w="1097" w:type="dxa"/>
                  <w:vAlign w:val="bottom"/>
                </w:tcPr>
                <w:p w14:paraId="43E272A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279.60 </w:t>
                  </w:r>
                </w:p>
              </w:tc>
              <w:tc>
                <w:tcPr>
                  <w:tcW w:w="991" w:type="dxa"/>
                  <w:vAlign w:val="bottom"/>
                </w:tcPr>
                <w:p w14:paraId="4D59AF1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15.20 </w:t>
                  </w:r>
                </w:p>
              </w:tc>
              <w:tc>
                <w:tcPr>
                  <w:tcW w:w="1245" w:type="dxa"/>
                  <w:vAlign w:val="bottom"/>
                </w:tcPr>
                <w:p w14:paraId="2C8B475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598.85 </w:t>
                  </w:r>
                </w:p>
              </w:tc>
              <w:tc>
                <w:tcPr>
                  <w:tcW w:w="1114" w:type="dxa"/>
                  <w:vAlign w:val="bottom"/>
                </w:tcPr>
                <w:p w14:paraId="61DCD44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9.68 </w:t>
                  </w:r>
                </w:p>
              </w:tc>
            </w:tr>
            <w:tr w14:paraId="7D38C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37944D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71</w:t>
                  </w:r>
                </w:p>
              </w:tc>
              <w:tc>
                <w:tcPr>
                  <w:tcW w:w="741" w:type="pct"/>
                  <w:vAlign w:val="center"/>
                </w:tcPr>
                <w:p w14:paraId="5175C5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（20,1.5）</w:t>
                  </w:r>
                </w:p>
              </w:tc>
              <w:tc>
                <w:tcPr>
                  <w:tcW w:w="1096" w:type="dxa"/>
                  <w:vAlign w:val="bottom"/>
                </w:tcPr>
                <w:p w14:paraId="182D74F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278.40 </w:t>
                  </w:r>
                </w:p>
              </w:tc>
              <w:tc>
                <w:tcPr>
                  <w:tcW w:w="991" w:type="dxa"/>
                  <w:vAlign w:val="bottom"/>
                </w:tcPr>
                <w:p w14:paraId="083BBAA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14.95 </w:t>
                  </w:r>
                </w:p>
              </w:tc>
              <w:tc>
                <w:tcPr>
                  <w:tcW w:w="1097" w:type="dxa"/>
                  <w:vAlign w:val="bottom"/>
                </w:tcPr>
                <w:p w14:paraId="1325ED7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207.62 </w:t>
                  </w:r>
                </w:p>
              </w:tc>
              <w:tc>
                <w:tcPr>
                  <w:tcW w:w="991" w:type="dxa"/>
                  <w:vAlign w:val="bottom"/>
                </w:tcPr>
                <w:p w14:paraId="4CB48DF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14.04 </w:t>
                  </w:r>
                </w:p>
              </w:tc>
              <w:tc>
                <w:tcPr>
                  <w:tcW w:w="1245" w:type="dxa"/>
                  <w:vAlign w:val="bottom"/>
                </w:tcPr>
                <w:p w14:paraId="4481952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490.94 </w:t>
                  </w:r>
                </w:p>
              </w:tc>
              <w:tc>
                <w:tcPr>
                  <w:tcW w:w="1114" w:type="dxa"/>
                  <w:vAlign w:val="bottom"/>
                </w:tcPr>
                <w:p w14:paraId="0665204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9.24 </w:t>
                  </w:r>
                </w:p>
              </w:tc>
            </w:tr>
            <w:tr w14:paraId="2DD9C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AB0501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72</w:t>
                  </w:r>
                </w:p>
              </w:tc>
              <w:tc>
                <w:tcPr>
                  <w:tcW w:w="741" w:type="pct"/>
                  <w:vAlign w:val="center"/>
                </w:tcPr>
                <w:p w14:paraId="74DFF7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（21,1.5）</w:t>
                  </w:r>
                </w:p>
              </w:tc>
              <w:tc>
                <w:tcPr>
                  <w:tcW w:w="1096" w:type="dxa"/>
                  <w:vAlign w:val="bottom"/>
                </w:tcPr>
                <w:p w14:paraId="4699614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325.58 </w:t>
                  </w:r>
                </w:p>
              </w:tc>
              <w:tc>
                <w:tcPr>
                  <w:tcW w:w="991" w:type="dxa"/>
                  <w:vAlign w:val="bottom"/>
                </w:tcPr>
                <w:p w14:paraId="5763A4E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13.76 </w:t>
                  </w:r>
                </w:p>
              </w:tc>
              <w:tc>
                <w:tcPr>
                  <w:tcW w:w="1097" w:type="dxa"/>
                  <w:vAlign w:val="bottom"/>
                </w:tcPr>
                <w:p w14:paraId="061E9A4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213.70 </w:t>
                  </w:r>
                </w:p>
              </w:tc>
              <w:tc>
                <w:tcPr>
                  <w:tcW w:w="991" w:type="dxa"/>
                  <w:vAlign w:val="bottom"/>
                </w:tcPr>
                <w:p w14:paraId="12995B1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12.99 </w:t>
                  </w:r>
                </w:p>
              </w:tc>
              <w:tc>
                <w:tcPr>
                  <w:tcW w:w="1245" w:type="dxa"/>
                  <w:vAlign w:val="bottom"/>
                </w:tcPr>
                <w:p w14:paraId="06CAA00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394.50 </w:t>
                  </w:r>
                </w:p>
              </w:tc>
              <w:tc>
                <w:tcPr>
                  <w:tcW w:w="1114" w:type="dxa"/>
                  <w:vAlign w:val="bottom"/>
                </w:tcPr>
                <w:p w14:paraId="017DFBF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8.80 </w:t>
                  </w:r>
                </w:p>
              </w:tc>
            </w:tr>
            <w:tr w14:paraId="5BDFA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3B399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73</w:t>
                  </w:r>
                </w:p>
              </w:tc>
              <w:tc>
                <w:tcPr>
                  <w:tcW w:w="741" w:type="pct"/>
                  <w:vAlign w:val="center"/>
                </w:tcPr>
                <w:p w14:paraId="777B6D6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（22,1.5）</w:t>
                  </w:r>
                </w:p>
              </w:tc>
              <w:tc>
                <w:tcPr>
                  <w:tcW w:w="1096" w:type="dxa"/>
                  <w:vAlign w:val="bottom"/>
                </w:tcPr>
                <w:p w14:paraId="6D71DAC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376.57 </w:t>
                  </w:r>
                </w:p>
              </w:tc>
              <w:tc>
                <w:tcPr>
                  <w:tcW w:w="991" w:type="dxa"/>
                  <w:vAlign w:val="bottom"/>
                </w:tcPr>
                <w:p w14:paraId="7A53B18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12.69 </w:t>
                  </w:r>
                </w:p>
              </w:tc>
              <w:tc>
                <w:tcPr>
                  <w:tcW w:w="1097" w:type="dxa"/>
                  <w:vAlign w:val="bottom"/>
                </w:tcPr>
                <w:p w14:paraId="78F22CC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256.83 </w:t>
                  </w:r>
                </w:p>
              </w:tc>
              <w:tc>
                <w:tcPr>
                  <w:tcW w:w="991" w:type="dxa"/>
                  <w:vAlign w:val="bottom"/>
                </w:tcPr>
                <w:p w14:paraId="29E7129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12.04 </w:t>
                  </w:r>
                </w:p>
              </w:tc>
              <w:tc>
                <w:tcPr>
                  <w:tcW w:w="1245" w:type="dxa"/>
                  <w:vAlign w:val="bottom"/>
                </w:tcPr>
                <w:p w14:paraId="117381B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309.42 </w:t>
                  </w:r>
                </w:p>
              </w:tc>
              <w:tc>
                <w:tcPr>
                  <w:tcW w:w="1114" w:type="dxa"/>
                  <w:vAlign w:val="bottom"/>
                </w:tcPr>
                <w:p w14:paraId="4D5F3EE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8.38 </w:t>
                  </w:r>
                </w:p>
              </w:tc>
            </w:tr>
            <w:tr w14:paraId="519C1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D9DDC8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74</w:t>
                  </w:r>
                </w:p>
              </w:tc>
              <w:tc>
                <w:tcPr>
                  <w:tcW w:w="741" w:type="pct"/>
                  <w:vAlign w:val="center"/>
                </w:tcPr>
                <w:p w14:paraId="767983F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（23,1.5）</w:t>
                  </w:r>
                </w:p>
              </w:tc>
              <w:tc>
                <w:tcPr>
                  <w:tcW w:w="1096" w:type="dxa"/>
                  <w:vAlign w:val="bottom"/>
                </w:tcPr>
                <w:p w14:paraId="6886054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419.59 </w:t>
                  </w:r>
                </w:p>
              </w:tc>
              <w:tc>
                <w:tcPr>
                  <w:tcW w:w="991" w:type="dxa"/>
                  <w:vAlign w:val="bottom"/>
                </w:tcPr>
                <w:p w14:paraId="1956B6D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11.74 </w:t>
                  </w:r>
                </w:p>
              </w:tc>
              <w:tc>
                <w:tcPr>
                  <w:tcW w:w="1097" w:type="dxa"/>
                  <w:vAlign w:val="bottom"/>
                </w:tcPr>
                <w:p w14:paraId="442DDD6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304.14 </w:t>
                  </w:r>
                </w:p>
              </w:tc>
              <w:tc>
                <w:tcPr>
                  <w:tcW w:w="991" w:type="dxa"/>
                  <w:vAlign w:val="bottom"/>
                </w:tcPr>
                <w:p w14:paraId="3AEED40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11.19 </w:t>
                  </w:r>
                </w:p>
              </w:tc>
              <w:tc>
                <w:tcPr>
                  <w:tcW w:w="1245" w:type="dxa"/>
                  <w:vAlign w:val="bottom"/>
                </w:tcPr>
                <w:p w14:paraId="6B3D978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235.55 </w:t>
                  </w:r>
                </w:p>
              </w:tc>
              <w:tc>
                <w:tcPr>
                  <w:tcW w:w="1114" w:type="dxa"/>
                  <w:vAlign w:val="bottom"/>
                </w:tcPr>
                <w:p w14:paraId="1D67933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7.98 </w:t>
                  </w:r>
                </w:p>
              </w:tc>
            </w:tr>
            <w:tr w14:paraId="3B434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24C5114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75</w:t>
                  </w:r>
                </w:p>
              </w:tc>
              <w:tc>
                <w:tcPr>
                  <w:tcW w:w="741" w:type="pct"/>
                  <w:vAlign w:val="center"/>
                </w:tcPr>
                <w:p w14:paraId="37E8BE4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（24,1.5）</w:t>
                  </w:r>
                </w:p>
              </w:tc>
              <w:tc>
                <w:tcPr>
                  <w:tcW w:w="1096" w:type="dxa"/>
                  <w:vAlign w:val="bottom"/>
                </w:tcPr>
                <w:p w14:paraId="33791F0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452.51 </w:t>
                  </w:r>
                </w:p>
              </w:tc>
              <w:tc>
                <w:tcPr>
                  <w:tcW w:w="991" w:type="dxa"/>
                  <w:vAlign w:val="bottom"/>
                </w:tcPr>
                <w:p w14:paraId="3EEFD6C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10.88 </w:t>
                  </w:r>
                </w:p>
              </w:tc>
              <w:tc>
                <w:tcPr>
                  <w:tcW w:w="1097" w:type="dxa"/>
                  <w:vAlign w:val="bottom"/>
                </w:tcPr>
                <w:p w14:paraId="5D93D6D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344.98 </w:t>
                  </w:r>
                </w:p>
              </w:tc>
              <w:tc>
                <w:tcPr>
                  <w:tcW w:w="991" w:type="dxa"/>
                  <w:vAlign w:val="bottom"/>
                </w:tcPr>
                <w:p w14:paraId="38A9D91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10.41 </w:t>
                  </w:r>
                </w:p>
              </w:tc>
              <w:tc>
                <w:tcPr>
                  <w:tcW w:w="1245" w:type="dxa"/>
                  <w:vAlign w:val="bottom"/>
                </w:tcPr>
                <w:p w14:paraId="3F45F90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173.03 </w:t>
                  </w:r>
                </w:p>
              </w:tc>
              <w:tc>
                <w:tcPr>
                  <w:tcW w:w="1114" w:type="dxa"/>
                  <w:vAlign w:val="bottom"/>
                </w:tcPr>
                <w:p w14:paraId="46BD276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7.59 </w:t>
                  </w:r>
                </w:p>
              </w:tc>
            </w:tr>
            <w:tr w14:paraId="7C4D7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B9D1F5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76</w:t>
                  </w:r>
                </w:p>
              </w:tc>
              <w:tc>
                <w:tcPr>
                  <w:tcW w:w="741" w:type="pct"/>
                  <w:vAlign w:val="center"/>
                </w:tcPr>
                <w:p w14:paraId="385ACC0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（25,1.5）</w:t>
                  </w:r>
                </w:p>
              </w:tc>
              <w:tc>
                <w:tcPr>
                  <w:tcW w:w="1096" w:type="dxa"/>
                  <w:vAlign w:val="bottom"/>
                </w:tcPr>
                <w:p w14:paraId="39B40D0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476.05 </w:t>
                  </w:r>
                </w:p>
              </w:tc>
              <w:tc>
                <w:tcPr>
                  <w:tcW w:w="991" w:type="dxa"/>
                  <w:vAlign w:val="bottom"/>
                </w:tcPr>
                <w:p w14:paraId="052D07F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10.11 </w:t>
                  </w:r>
                </w:p>
              </w:tc>
              <w:tc>
                <w:tcPr>
                  <w:tcW w:w="1097" w:type="dxa"/>
                  <w:vAlign w:val="bottom"/>
                </w:tcPr>
                <w:p w14:paraId="590FC4D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377.30 </w:t>
                  </w:r>
                </w:p>
              </w:tc>
              <w:tc>
                <w:tcPr>
                  <w:tcW w:w="991" w:type="dxa"/>
                  <w:vAlign w:val="bottom"/>
                </w:tcPr>
                <w:p w14:paraId="26045D1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9.70 </w:t>
                  </w:r>
                </w:p>
              </w:tc>
              <w:tc>
                <w:tcPr>
                  <w:tcW w:w="1245" w:type="dxa"/>
                  <w:vAlign w:val="bottom"/>
                </w:tcPr>
                <w:p w14:paraId="60D20D0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122.99 </w:t>
                  </w:r>
                </w:p>
              </w:tc>
              <w:tc>
                <w:tcPr>
                  <w:tcW w:w="1114" w:type="dxa"/>
                  <w:vAlign w:val="bottom"/>
                </w:tcPr>
                <w:p w14:paraId="0147094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7.22 </w:t>
                  </w:r>
                </w:p>
              </w:tc>
            </w:tr>
            <w:tr w14:paraId="1860E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0101B5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77</w:t>
                  </w:r>
                </w:p>
              </w:tc>
              <w:tc>
                <w:tcPr>
                  <w:tcW w:w="741" w:type="pct"/>
                  <w:vAlign w:val="center"/>
                </w:tcPr>
                <w:p w14:paraId="73333EB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（26,1.5）</w:t>
                  </w:r>
                </w:p>
              </w:tc>
              <w:tc>
                <w:tcPr>
                  <w:tcW w:w="1096" w:type="dxa"/>
                  <w:vAlign w:val="bottom"/>
                </w:tcPr>
                <w:p w14:paraId="400BEA2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491.62 </w:t>
                  </w:r>
                </w:p>
              </w:tc>
              <w:tc>
                <w:tcPr>
                  <w:tcW w:w="991" w:type="dxa"/>
                  <w:vAlign w:val="bottom"/>
                </w:tcPr>
                <w:p w14:paraId="24F0EBA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9.41 </w:t>
                  </w:r>
                </w:p>
              </w:tc>
              <w:tc>
                <w:tcPr>
                  <w:tcW w:w="1097" w:type="dxa"/>
                  <w:vAlign w:val="bottom"/>
                </w:tcPr>
                <w:p w14:paraId="21FC952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401.53 </w:t>
                  </w:r>
                </w:p>
              </w:tc>
              <w:tc>
                <w:tcPr>
                  <w:tcW w:w="991" w:type="dxa"/>
                  <w:vAlign w:val="bottom"/>
                </w:tcPr>
                <w:p w14:paraId="73714D4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9.06 </w:t>
                  </w:r>
                </w:p>
              </w:tc>
              <w:tc>
                <w:tcPr>
                  <w:tcW w:w="1245" w:type="dxa"/>
                  <w:vAlign w:val="bottom"/>
                </w:tcPr>
                <w:p w14:paraId="58EEAD3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88.96 </w:t>
                  </w:r>
                </w:p>
              </w:tc>
              <w:tc>
                <w:tcPr>
                  <w:tcW w:w="1114" w:type="dxa"/>
                  <w:vAlign w:val="bottom"/>
                </w:tcPr>
                <w:p w14:paraId="707DF17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6.87 </w:t>
                  </w:r>
                </w:p>
              </w:tc>
            </w:tr>
            <w:tr w14:paraId="5645B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7BAF0A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78</w:t>
                  </w:r>
                </w:p>
              </w:tc>
              <w:tc>
                <w:tcPr>
                  <w:tcW w:w="741" w:type="pct"/>
                  <w:vAlign w:val="center"/>
                </w:tcPr>
                <w:p w14:paraId="75D3F5C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（27,1.5）</w:t>
                  </w:r>
                </w:p>
              </w:tc>
              <w:tc>
                <w:tcPr>
                  <w:tcW w:w="1096" w:type="dxa"/>
                  <w:vAlign w:val="bottom"/>
                </w:tcPr>
                <w:p w14:paraId="5AC2EE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500.65 </w:t>
                  </w:r>
                </w:p>
              </w:tc>
              <w:tc>
                <w:tcPr>
                  <w:tcW w:w="991" w:type="dxa"/>
                  <w:vAlign w:val="bottom"/>
                </w:tcPr>
                <w:p w14:paraId="1D36FAA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8.78 </w:t>
                  </w:r>
                </w:p>
              </w:tc>
              <w:tc>
                <w:tcPr>
                  <w:tcW w:w="1097" w:type="dxa"/>
                  <w:vAlign w:val="bottom"/>
                </w:tcPr>
                <w:p w14:paraId="7C61E38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418.76 </w:t>
                  </w:r>
                </w:p>
              </w:tc>
              <w:tc>
                <w:tcPr>
                  <w:tcW w:w="991" w:type="dxa"/>
                  <w:vAlign w:val="bottom"/>
                </w:tcPr>
                <w:p w14:paraId="35A8DFA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8.48 </w:t>
                  </w:r>
                </w:p>
              </w:tc>
              <w:tc>
                <w:tcPr>
                  <w:tcW w:w="1245" w:type="dxa"/>
                  <w:vAlign w:val="bottom"/>
                </w:tcPr>
                <w:p w14:paraId="5D92479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76.78 </w:t>
                  </w:r>
                </w:p>
              </w:tc>
              <w:tc>
                <w:tcPr>
                  <w:tcW w:w="1114" w:type="dxa"/>
                  <w:vAlign w:val="bottom"/>
                </w:tcPr>
                <w:p w14:paraId="3EAFD46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6.54 </w:t>
                  </w:r>
                </w:p>
              </w:tc>
            </w:tr>
            <w:tr w14:paraId="4025B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46663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79</w:t>
                  </w:r>
                </w:p>
              </w:tc>
              <w:tc>
                <w:tcPr>
                  <w:tcW w:w="741" w:type="pct"/>
                  <w:vAlign w:val="center"/>
                </w:tcPr>
                <w:p w14:paraId="55AAF12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（28,1.5）</w:t>
                  </w:r>
                </w:p>
              </w:tc>
              <w:tc>
                <w:tcPr>
                  <w:tcW w:w="1096" w:type="dxa"/>
                  <w:vAlign w:val="bottom"/>
                </w:tcPr>
                <w:p w14:paraId="64858A4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504.45 </w:t>
                  </w:r>
                </w:p>
              </w:tc>
              <w:tc>
                <w:tcPr>
                  <w:tcW w:w="991" w:type="dxa"/>
                  <w:vAlign w:val="bottom"/>
                </w:tcPr>
                <w:p w14:paraId="58D2424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8.21 </w:t>
                  </w:r>
                </w:p>
              </w:tc>
              <w:tc>
                <w:tcPr>
                  <w:tcW w:w="1097" w:type="dxa"/>
                  <w:vAlign w:val="bottom"/>
                </w:tcPr>
                <w:p w14:paraId="7FB1EF5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430.14 </w:t>
                  </w:r>
                </w:p>
              </w:tc>
              <w:tc>
                <w:tcPr>
                  <w:tcW w:w="991" w:type="dxa"/>
                  <w:vAlign w:val="bottom"/>
                </w:tcPr>
                <w:p w14:paraId="1EB94FF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7.94 </w:t>
                  </w:r>
                </w:p>
              </w:tc>
              <w:tc>
                <w:tcPr>
                  <w:tcW w:w="1245" w:type="dxa"/>
                  <w:vAlign w:val="bottom"/>
                </w:tcPr>
                <w:p w14:paraId="7433B97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85.23 </w:t>
                  </w:r>
                </w:p>
              </w:tc>
              <w:tc>
                <w:tcPr>
                  <w:tcW w:w="1114" w:type="dxa"/>
                  <w:vAlign w:val="bottom"/>
                </w:tcPr>
                <w:p w14:paraId="59D6C08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6.22 </w:t>
                  </w:r>
                </w:p>
              </w:tc>
            </w:tr>
            <w:tr w14:paraId="79E00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AA113A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80</w:t>
                  </w:r>
                </w:p>
              </w:tc>
              <w:tc>
                <w:tcPr>
                  <w:tcW w:w="741" w:type="pct"/>
                  <w:vAlign w:val="center"/>
                </w:tcPr>
                <w:p w14:paraId="23EC779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（29,1.5）</w:t>
                  </w:r>
                </w:p>
              </w:tc>
              <w:tc>
                <w:tcPr>
                  <w:tcW w:w="1096" w:type="dxa"/>
                  <w:vAlign w:val="bottom"/>
                </w:tcPr>
                <w:p w14:paraId="04D0B3A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504.11 </w:t>
                  </w:r>
                </w:p>
              </w:tc>
              <w:tc>
                <w:tcPr>
                  <w:tcW w:w="991" w:type="dxa"/>
                  <w:vAlign w:val="bottom"/>
                </w:tcPr>
                <w:p w14:paraId="6CC3CDD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7.69 </w:t>
                  </w:r>
                </w:p>
              </w:tc>
              <w:tc>
                <w:tcPr>
                  <w:tcW w:w="1097" w:type="dxa"/>
                  <w:vAlign w:val="bottom"/>
                </w:tcPr>
                <w:p w14:paraId="4AAC447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436.74 </w:t>
                  </w:r>
                </w:p>
              </w:tc>
              <w:tc>
                <w:tcPr>
                  <w:tcW w:w="991" w:type="dxa"/>
                  <w:vAlign w:val="bottom"/>
                </w:tcPr>
                <w:p w14:paraId="5264E19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7.46 </w:t>
                  </w:r>
                </w:p>
              </w:tc>
              <w:tc>
                <w:tcPr>
                  <w:tcW w:w="1245" w:type="dxa"/>
                  <w:vAlign w:val="bottom"/>
                </w:tcPr>
                <w:p w14:paraId="17FD66B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103.43 </w:t>
                  </w:r>
                </w:p>
              </w:tc>
              <w:tc>
                <w:tcPr>
                  <w:tcW w:w="1114" w:type="dxa"/>
                  <w:vAlign w:val="bottom"/>
                </w:tcPr>
                <w:p w14:paraId="082C441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5.93 </w:t>
                  </w:r>
                </w:p>
              </w:tc>
            </w:tr>
            <w:tr w14:paraId="598A1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7AB361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81</w:t>
                  </w:r>
                </w:p>
              </w:tc>
              <w:tc>
                <w:tcPr>
                  <w:tcW w:w="741" w:type="pct"/>
                  <w:vAlign w:val="center"/>
                </w:tcPr>
                <w:p w14:paraId="52DC663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（30,1.5）</w:t>
                  </w:r>
                </w:p>
              </w:tc>
              <w:tc>
                <w:tcPr>
                  <w:tcW w:w="1096" w:type="dxa"/>
                  <w:vAlign w:val="bottom"/>
                </w:tcPr>
                <w:p w14:paraId="1FB0B2A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500.54 </w:t>
                  </w:r>
                </w:p>
              </w:tc>
              <w:tc>
                <w:tcPr>
                  <w:tcW w:w="991" w:type="dxa"/>
                  <w:vAlign w:val="bottom"/>
                </w:tcPr>
                <w:p w14:paraId="3D04A2D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7.22 </w:t>
                  </w:r>
                </w:p>
              </w:tc>
              <w:tc>
                <w:tcPr>
                  <w:tcW w:w="1097" w:type="dxa"/>
                  <w:vAlign w:val="bottom"/>
                </w:tcPr>
                <w:p w14:paraId="054F9F9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439.47 </w:t>
                  </w:r>
                </w:p>
              </w:tc>
              <w:tc>
                <w:tcPr>
                  <w:tcW w:w="991" w:type="dxa"/>
                  <w:vAlign w:val="bottom"/>
                </w:tcPr>
                <w:p w14:paraId="2F327F2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7.01 </w:t>
                  </w:r>
                </w:p>
              </w:tc>
              <w:tc>
                <w:tcPr>
                  <w:tcW w:w="1245" w:type="dxa"/>
                  <w:vAlign w:val="bottom"/>
                </w:tcPr>
                <w:p w14:paraId="4EBB1F5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123.46 </w:t>
                  </w:r>
                </w:p>
              </w:tc>
              <w:tc>
                <w:tcPr>
                  <w:tcW w:w="1114" w:type="dxa"/>
                  <w:vAlign w:val="bottom"/>
                </w:tcPr>
                <w:p w14:paraId="10CE1E8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5.65 </w:t>
                  </w:r>
                </w:p>
              </w:tc>
            </w:tr>
            <w:tr w14:paraId="2D125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2428067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82</w:t>
                  </w:r>
                </w:p>
              </w:tc>
              <w:tc>
                <w:tcPr>
                  <w:tcW w:w="741" w:type="pct"/>
                  <w:vAlign w:val="center"/>
                </w:tcPr>
                <w:p w14:paraId="052C3A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（31,1.5）</w:t>
                  </w:r>
                </w:p>
              </w:tc>
              <w:tc>
                <w:tcPr>
                  <w:tcW w:w="1096" w:type="dxa"/>
                  <w:vAlign w:val="bottom"/>
                </w:tcPr>
                <w:p w14:paraId="1AA6E81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494.48 </w:t>
                  </w:r>
                </w:p>
              </w:tc>
              <w:tc>
                <w:tcPr>
                  <w:tcW w:w="991" w:type="dxa"/>
                  <w:vAlign w:val="bottom"/>
                </w:tcPr>
                <w:p w14:paraId="15F0F08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6.78 </w:t>
                  </w:r>
                </w:p>
              </w:tc>
              <w:tc>
                <w:tcPr>
                  <w:tcW w:w="1097" w:type="dxa"/>
                  <w:vAlign w:val="bottom"/>
                </w:tcPr>
                <w:p w14:paraId="5338FF9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439.10 </w:t>
                  </w:r>
                </w:p>
              </w:tc>
              <w:tc>
                <w:tcPr>
                  <w:tcW w:w="991" w:type="dxa"/>
                  <w:vAlign w:val="bottom"/>
                </w:tcPr>
                <w:p w14:paraId="7EB9BDC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6.60 </w:t>
                  </w:r>
                </w:p>
              </w:tc>
              <w:tc>
                <w:tcPr>
                  <w:tcW w:w="1245" w:type="dxa"/>
                  <w:vAlign w:val="bottom"/>
                </w:tcPr>
                <w:p w14:paraId="254D65F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142.26 </w:t>
                  </w:r>
                </w:p>
              </w:tc>
              <w:tc>
                <w:tcPr>
                  <w:tcW w:w="1114" w:type="dxa"/>
                  <w:vAlign w:val="bottom"/>
                </w:tcPr>
                <w:p w14:paraId="0F39580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5.38 </w:t>
                  </w:r>
                </w:p>
              </w:tc>
            </w:tr>
            <w:tr w14:paraId="4118F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42C7C1F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83</w:t>
                  </w:r>
                </w:p>
              </w:tc>
              <w:tc>
                <w:tcPr>
                  <w:tcW w:w="741" w:type="pct"/>
                  <w:vAlign w:val="center"/>
                </w:tcPr>
                <w:p w14:paraId="28CA718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（32,1.5）</w:t>
                  </w:r>
                </w:p>
              </w:tc>
              <w:tc>
                <w:tcPr>
                  <w:tcW w:w="1096" w:type="dxa"/>
                  <w:vAlign w:val="bottom"/>
                </w:tcPr>
                <w:p w14:paraId="6BC0C87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486.52 </w:t>
                  </w:r>
                </w:p>
              </w:tc>
              <w:tc>
                <w:tcPr>
                  <w:tcW w:w="991" w:type="dxa"/>
                  <w:vAlign w:val="bottom"/>
                </w:tcPr>
                <w:p w14:paraId="75DED7D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6.39 </w:t>
                  </w:r>
                </w:p>
              </w:tc>
              <w:tc>
                <w:tcPr>
                  <w:tcW w:w="1097" w:type="dxa"/>
                  <w:vAlign w:val="bottom"/>
                </w:tcPr>
                <w:p w14:paraId="1B561AE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436.29 </w:t>
                  </w:r>
                </w:p>
              </w:tc>
              <w:tc>
                <w:tcPr>
                  <w:tcW w:w="991" w:type="dxa"/>
                  <w:vAlign w:val="bottom"/>
                </w:tcPr>
                <w:p w14:paraId="04D4962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6.23 </w:t>
                  </w:r>
                </w:p>
              </w:tc>
              <w:tc>
                <w:tcPr>
                  <w:tcW w:w="1245" w:type="dxa"/>
                  <w:vAlign w:val="bottom"/>
                </w:tcPr>
                <w:p w14:paraId="36F27FC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158.86 </w:t>
                  </w:r>
                </w:p>
              </w:tc>
              <w:tc>
                <w:tcPr>
                  <w:tcW w:w="1114" w:type="dxa"/>
                  <w:vAlign w:val="bottom"/>
                </w:tcPr>
                <w:p w14:paraId="3C371E0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5.13 </w:t>
                  </w:r>
                </w:p>
              </w:tc>
            </w:tr>
            <w:tr w14:paraId="65203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5E032E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84</w:t>
                  </w:r>
                </w:p>
              </w:tc>
              <w:tc>
                <w:tcPr>
                  <w:tcW w:w="741" w:type="pct"/>
                  <w:vAlign w:val="center"/>
                </w:tcPr>
                <w:p w14:paraId="37AB138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（33,1.5）</w:t>
                  </w:r>
                </w:p>
              </w:tc>
              <w:tc>
                <w:tcPr>
                  <w:tcW w:w="1096" w:type="dxa"/>
                  <w:vAlign w:val="bottom"/>
                </w:tcPr>
                <w:p w14:paraId="6BDD373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477.15 </w:t>
                  </w:r>
                </w:p>
              </w:tc>
              <w:tc>
                <w:tcPr>
                  <w:tcW w:w="991" w:type="dxa"/>
                  <w:vAlign w:val="bottom"/>
                </w:tcPr>
                <w:p w14:paraId="7F4D7F2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6.02 </w:t>
                  </w:r>
                </w:p>
              </w:tc>
              <w:tc>
                <w:tcPr>
                  <w:tcW w:w="1097" w:type="dxa"/>
                  <w:vAlign w:val="bottom"/>
                </w:tcPr>
                <w:p w14:paraId="47D12F2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431.55 </w:t>
                  </w:r>
                </w:p>
              </w:tc>
              <w:tc>
                <w:tcPr>
                  <w:tcW w:w="991" w:type="dxa"/>
                  <w:vAlign w:val="bottom"/>
                </w:tcPr>
                <w:p w14:paraId="4EFABFB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5.88 </w:t>
                  </w:r>
                </w:p>
              </w:tc>
              <w:tc>
                <w:tcPr>
                  <w:tcW w:w="1245" w:type="dxa"/>
                  <w:vAlign w:val="bottom"/>
                </w:tcPr>
                <w:p w14:paraId="6492533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173.05 </w:t>
                  </w:r>
                </w:p>
              </w:tc>
              <w:tc>
                <w:tcPr>
                  <w:tcW w:w="1114" w:type="dxa"/>
                  <w:vAlign w:val="bottom"/>
                </w:tcPr>
                <w:p w14:paraId="4EE5679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4.90 </w:t>
                  </w:r>
                </w:p>
              </w:tc>
            </w:tr>
            <w:tr w14:paraId="4CF76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4C8C31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85</w:t>
                  </w:r>
                </w:p>
              </w:tc>
              <w:tc>
                <w:tcPr>
                  <w:tcW w:w="741" w:type="pct"/>
                  <w:vAlign w:val="center"/>
                </w:tcPr>
                <w:p w14:paraId="1AAEF23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（34,1.5）</w:t>
                  </w:r>
                </w:p>
              </w:tc>
              <w:tc>
                <w:tcPr>
                  <w:tcW w:w="1096" w:type="dxa"/>
                  <w:vAlign w:val="bottom"/>
                </w:tcPr>
                <w:p w14:paraId="6E19268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466.75 </w:t>
                  </w:r>
                </w:p>
              </w:tc>
              <w:tc>
                <w:tcPr>
                  <w:tcW w:w="991" w:type="dxa"/>
                  <w:vAlign w:val="bottom"/>
                </w:tcPr>
                <w:p w14:paraId="6E78BD66">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5.69 </w:t>
                  </w:r>
                </w:p>
              </w:tc>
              <w:tc>
                <w:tcPr>
                  <w:tcW w:w="1097" w:type="dxa"/>
                  <w:vAlign w:val="bottom"/>
                </w:tcPr>
                <w:p w14:paraId="34F0B3C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425.32 </w:t>
                  </w:r>
                </w:p>
              </w:tc>
              <w:tc>
                <w:tcPr>
                  <w:tcW w:w="991" w:type="dxa"/>
                  <w:vAlign w:val="bottom"/>
                </w:tcPr>
                <w:p w14:paraId="5614DD0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5.56 </w:t>
                  </w:r>
                </w:p>
              </w:tc>
              <w:tc>
                <w:tcPr>
                  <w:tcW w:w="1245" w:type="dxa"/>
                  <w:vAlign w:val="bottom"/>
                </w:tcPr>
                <w:p w14:paraId="0B7679A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184.92 </w:t>
                  </w:r>
                </w:p>
              </w:tc>
              <w:tc>
                <w:tcPr>
                  <w:tcW w:w="1114" w:type="dxa"/>
                  <w:vAlign w:val="bottom"/>
                </w:tcPr>
                <w:p w14:paraId="5282489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4.68 </w:t>
                  </w:r>
                </w:p>
              </w:tc>
            </w:tr>
            <w:tr w14:paraId="10C58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2541D55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86</w:t>
                  </w:r>
                </w:p>
              </w:tc>
              <w:tc>
                <w:tcPr>
                  <w:tcW w:w="741" w:type="pct"/>
                  <w:vAlign w:val="center"/>
                </w:tcPr>
                <w:p w14:paraId="6DD7675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（35,1.5）</w:t>
                  </w:r>
                </w:p>
              </w:tc>
              <w:tc>
                <w:tcPr>
                  <w:tcW w:w="1096" w:type="dxa"/>
                  <w:vAlign w:val="bottom"/>
                </w:tcPr>
                <w:p w14:paraId="6181110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455.63 </w:t>
                  </w:r>
                </w:p>
              </w:tc>
              <w:tc>
                <w:tcPr>
                  <w:tcW w:w="991" w:type="dxa"/>
                  <w:vAlign w:val="bottom"/>
                </w:tcPr>
                <w:p w14:paraId="40F052E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5.38 </w:t>
                  </w:r>
                </w:p>
              </w:tc>
              <w:tc>
                <w:tcPr>
                  <w:tcW w:w="1097" w:type="dxa"/>
                  <w:vAlign w:val="bottom"/>
                </w:tcPr>
                <w:p w14:paraId="0D52304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417.96 </w:t>
                  </w:r>
                </w:p>
              </w:tc>
              <w:tc>
                <w:tcPr>
                  <w:tcW w:w="991" w:type="dxa"/>
                  <w:vAlign w:val="bottom"/>
                </w:tcPr>
                <w:p w14:paraId="29E9709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5.27 </w:t>
                  </w:r>
                </w:p>
              </w:tc>
              <w:tc>
                <w:tcPr>
                  <w:tcW w:w="1245" w:type="dxa"/>
                  <w:vAlign w:val="bottom"/>
                </w:tcPr>
                <w:p w14:paraId="270AFCD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194.67 </w:t>
                  </w:r>
                </w:p>
              </w:tc>
              <w:tc>
                <w:tcPr>
                  <w:tcW w:w="1114" w:type="dxa"/>
                  <w:vAlign w:val="bottom"/>
                </w:tcPr>
                <w:p w14:paraId="124F056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4.47 </w:t>
                  </w:r>
                </w:p>
              </w:tc>
            </w:tr>
            <w:tr w14:paraId="55ACF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1C78A6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87</w:t>
                  </w:r>
                </w:p>
              </w:tc>
              <w:tc>
                <w:tcPr>
                  <w:tcW w:w="741" w:type="pct"/>
                  <w:vAlign w:val="center"/>
                </w:tcPr>
                <w:p w14:paraId="3011E51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（36,1.5）</w:t>
                  </w:r>
                </w:p>
              </w:tc>
              <w:tc>
                <w:tcPr>
                  <w:tcW w:w="1096" w:type="dxa"/>
                  <w:vAlign w:val="bottom"/>
                </w:tcPr>
                <w:p w14:paraId="46D901F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444.03 </w:t>
                  </w:r>
                </w:p>
              </w:tc>
              <w:tc>
                <w:tcPr>
                  <w:tcW w:w="991" w:type="dxa"/>
                  <w:vAlign w:val="bottom"/>
                </w:tcPr>
                <w:p w14:paraId="7A62214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5.10 </w:t>
                  </w:r>
                </w:p>
              </w:tc>
              <w:tc>
                <w:tcPr>
                  <w:tcW w:w="1097" w:type="dxa"/>
                  <w:vAlign w:val="bottom"/>
                </w:tcPr>
                <w:p w14:paraId="0808229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409.74 </w:t>
                  </w:r>
                </w:p>
              </w:tc>
              <w:tc>
                <w:tcPr>
                  <w:tcW w:w="991" w:type="dxa"/>
                  <w:vAlign w:val="bottom"/>
                </w:tcPr>
                <w:p w14:paraId="07CA202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5.00 </w:t>
                  </w:r>
                </w:p>
              </w:tc>
              <w:tc>
                <w:tcPr>
                  <w:tcW w:w="1245" w:type="dxa"/>
                  <w:vAlign w:val="bottom"/>
                </w:tcPr>
                <w:p w14:paraId="51A39CF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202.50 </w:t>
                  </w:r>
                </w:p>
              </w:tc>
              <w:tc>
                <w:tcPr>
                  <w:tcW w:w="1114" w:type="dxa"/>
                  <w:vAlign w:val="bottom"/>
                </w:tcPr>
                <w:p w14:paraId="0ED5FEB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4.28 </w:t>
                  </w:r>
                </w:p>
              </w:tc>
            </w:tr>
            <w:tr w14:paraId="61194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40DD07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88</w:t>
                  </w:r>
                </w:p>
              </w:tc>
              <w:tc>
                <w:tcPr>
                  <w:tcW w:w="741" w:type="pct"/>
                  <w:vAlign w:val="center"/>
                </w:tcPr>
                <w:p w14:paraId="262A137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（37,1.5）</w:t>
                  </w:r>
                </w:p>
              </w:tc>
              <w:tc>
                <w:tcPr>
                  <w:tcW w:w="1096" w:type="dxa"/>
                  <w:vAlign w:val="bottom"/>
                </w:tcPr>
                <w:p w14:paraId="2FA1F0C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432.16 </w:t>
                  </w:r>
                </w:p>
              </w:tc>
              <w:tc>
                <w:tcPr>
                  <w:tcW w:w="991" w:type="dxa"/>
                  <w:vAlign w:val="bottom"/>
                </w:tcPr>
                <w:p w14:paraId="7BDA4B0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4.83 </w:t>
                  </w:r>
                </w:p>
              </w:tc>
              <w:tc>
                <w:tcPr>
                  <w:tcW w:w="1097" w:type="dxa"/>
                  <w:vAlign w:val="bottom"/>
                </w:tcPr>
                <w:p w14:paraId="41F02E9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400.91 </w:t>
                  </w:r>
                </w:p>
              </w:tc>
              <w:tc>
                <w:tcPr>
                  <w:tcW w:w="991" w:type="dxa"/>
                  <w:vAlign w:val="bottom"/>
                </w:tcPr>
                <w:p w14:paraId="6D0FA44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4.74 </w:t>
                  </w:r>
                </w:p>
              </w:tc>
              <w:tc>
                <w:tcPr>
                  <w:tcW w:w="1245" w:type="dxa"/>
                  <w:vAlign w:val="bottom"/>
                </w:tcPr>
                <w:p w14:paraId="3E97501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208.65 </w:t>
                  </w:r>
                </w:p>
              </w:tc>
              <w:tc>
                <w:tcPr>
                  <w:tcW w:w="1114" w:type="dxa"/>
                  <w:vAlign w:val="bottom"/>
                </w:tcPr>
                <w:p w14:paraId="7012DAA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4.09 </w:t>
                  </w:r>
                </w:p>
              </w:tc>
            </w:tr>
            <w:tr w14:paraId="39F4D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41F29E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89</w:t>
                  </w:r>
                </w:p>
              </w:tc>
              <w:tc>
                <w:tcPr>
                  <w:tcW w:w="741" w:type="pct"/>
                  <w:vAlign w:val="center"/>
                </w:tcPr>
                <w:p w14:paraId="3A5968C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（38,1.5）</w:t>
                  </w:r>
                </w:p>
              </w:tc>
              <w:tc>
                <w:tcPr>
                  <w:tcW w:w="1096" w:type="dxa"/>
                  <w:vAlign w:val="bottom"/>
                </w:tcPr>
                <w:p w14:paraId="5710246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420.15 </w:t>
                  </w:r>
                </w:p>
              </w:tc>
              <w:tc>
                <w:tcPr>
                  <w:tcW w:w="991" w:type="dxa"/>
                  <w:vAlign w:val="bottom"/>
                </w:tcPr>
                <w:p w14:paraId="0EBE088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4.59 </w:t>
                  </w:r>
                </w:p>
              </w:tc>
              <w:tc>
                <w:tcPr>
                  <w:tcW w:w="1097" w:type="dxa"/>
                  <w:vAlign w:val="bottom"/>
                </w:tcPr>
                <w:p w14:paraId="52712B68">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391.65 </w:t>
                  </w:r>
                </w:p>
              </w:tc>
              <w:tc>
                <w:tcPr>
                  <w:tcW w:w="991" w:type="dxa"/>
                  <w:vAlign w:val="bottom"/>
                </w:tcPr>
                <w:p w14:paraId="2DE795A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4.51 </w:t>
                  </w:r>
                </w:p>
              </w:tc>
              <w:tc>
                <w:tcPr>
                  <w:tcW w:w="1245" w:type="dxa"/>
                  <w:vAlign w:val="bottom"/>
                </w:tcPr>
                <w:p w14:paraId="7B197C3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213.32 </w:t>
                  </w:r>
                </w:p>
              </w:tc>
              <w:tc>
                <w:tcPr>
                  <w:tcW w:w="1114" w:type="dxa"/>
                  <w:vAlign w:val="bottom"/>
                </w:tcPr>
                <w:p w14:paraId="209B38B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3.92 </w:t>
                  </w:r>
                </w:p>
              </w:tc>
            </w:tr>
            <w:tr w14:paraId="187DC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E70694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90</w:t>
                  </w:r>
                </w:p>
              </w:tc>
              <w:tc>
                <w:tcPr>
                  <w:tcW w:w="741" w:type="pct"/>
                  <w:vAlign w:val="center"/>
                </w:tcPr>
                <w:p w14:paraId="00B0BD1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（39,1.5）</w:t>
                  </w:r>
                </w:p>
              </w:tc>
              <w:tc>
                <w:tcPr>
                  <w:tcW w:w="1096" w:type="dxa"/>
                  <w:vAlign w:val="bottom"/>
                </w:tcPr>
                <w:p w14:paraId="09EF5F7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408.14 </w:t>
                  </w:r>
                </w:p>
              </w:tc>
              <w:tc>
                <w:tcPr>
                  <w:tcW w:w="991" w:type="dxa"/>
                  <w:vAlign w:val="bottom"/>
                </w:tcPr>
                <w:p w14:paraId="72EB479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4.36 </w:t>
                  </w:r>
                </w:p>
              </w:tc>
              <w:tc>
                <w:tcPr>
                  <w:tcW w:w="1097" w:type="dxa"/>
                  <w:vAlign w:val="bottom"/>
                </w:tcPr>
                <w:p w14:paraId="5E9A6D7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382.11 </w:t>
                  </w:r>
                </w:p>
              </w:tc>
              <w:tc>
                <w:tcPr>
                  <w:tcW w:w="991" w:type="dxa"/>
                  <w:vAlign w:val="bottom"/>
                </w:tcPr>
                <w:p w14:paraId="781AE05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4.29 </w:t>
                  </w:r>
                </w:p>
              </w:tc>
              <w:tc>
                <w:tcPr>
                  <w:tcW w:w="1245" w:type="dxa"/>
                  <w:vAlign w:val="bottom"/>
                </w:tcPr>
                <w:p w14:paraId="47A913A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216.70 </w:t>
                  </w:r>
                </w:p>
              </w:tc>
              <w:tc>
                <w:tcPr>
                  <w:tcW w:w="1114" w:type="dxa"/>
                  <w:vAlign w:val="bottom"/>
                </w:tcPr>
                <w:p w14:paraId="31F5E7E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3.75 </w:t>
                  </w:r>
                </w:p>
              </w:tc>
            </w:tr>
            <w:tr w14:paraId="0D1FF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0679AF7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91</w:t>
                  </w:r>
                </w:p>
              </w:tc>
              <w:tc>
                <w:tcPr>
                  <w:tcW w:w="741" w:type="pct"/>
                  <w:vAlign w:val="center"/>
                </w:tcPr>
                <w:p w14:paraId="675B0EF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（40,1.5）</w:t>
                  </w:r>
                </w:p>
              </w:tc>
              <w:tc>
                <w:tcPr>
                  <w:tcW w:w="1096" w:type="dxa"/>
                  <w:vAlign w:val="bottom"/>
                </w:tcPr>
                <w:p w14:paraId="628C5B2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396.22 </w:t>
                  </w:r>
                </w:p>
              </w:tc>
              <w:tc>
                <w:tcPr>
                  <w:tcW w:w="991" w:type="dxa"/>
                  <w:vAlign w:val="bottom"/>
                </w:tcPr>
                <w:p w14:paraId="188F4D8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4.15 </w:t>
                  </w:r>
                </w:p>
              </w:tc>
              <w:tc>
                <w:tcPr>
                  <w:tcW w:w="1097" w:type="dxa"/>
                  <w:vAlign w:val="bottom"/>
                </w:tcPr>
                <w:p w14:paraId="1225AB8B">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372.42 </w:t>
                  </w:r>
                </w:p>
              </w:tc>
              <w:tc>
                <w:tcPr>
                  <w:tcW w:w="991" w:type="dxa"/>
                  <w:vAlign w:val="bottom"/>
                </w:tcPr>
                <w:p w14:paraId="00787B7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4.09 </w:t>
                  </w:r>
                </w:p>
              </w:tc>
              <w:tc>
                <w:tcPr>
                  <w:tcW w:w="1245" w:type="dxa"/>
                  <w:vAlign w:val="bottom"/>
                </w:tcPr>
                <w:p w14:paraId="181FBE9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218.97 </w:t>
                  </w:r>
                </w:p>
              </w:tc>
              <w:tc>
                <w:tcPr>
                  <w:tcW w:w="1114" w:type="dxa"/>
                  <w:vAlign w:val="bottom"/>
                </w:tcPr>
                <w:p w14:paraId="20259B1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3.60 </w:t>
                  </w:r>
                </w:p>
              </w:tc>
            </w:tr>
            <w:tr w14:paraId="76FEB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C4D702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92</w:t>
                  </w:r>
                </w:p>
              </w:tc>
              <w:tc>
                <w:tcPr>
                  <w:tcW w:w="741" w:type="pct"/>
                  <w:vAlign w:val="center"/>
                </w:tcPr>
                <w:p w14:paraId="258DCBE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（41,1.5）</w:t>
                  </w:r>
                </w:p>
              </w:tc>
              <w:tc>
                <w:tcPr>
                  <w:tcW w:w="1096" w:type="dxa"/>
                  <w:vAlign w:val="bottom"/>
                </w:tcPr>
                <w:p w14:paraId="4608016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384.46 </w:t>
                  </w:r>
                </w:p>
              </w:tc>
              <w:tc>
                <w:tcPr>
                  <w:tcW w:w="991" w:type="dxa"/>
                  <w:vAlign w:val="bottom"/>
                </w:tcPr>
                <w:p w14:paraId="72DEA15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3.96 </w:t>
                  </w:r>
                </w:p>
              </w:tc>
              <w:tc>
                <w:tcPr>
                  <w:tcW w:w="1097" w:type="dxa"/>
                  <w:vAlign w:val="bottom"/>
                </w:tcPr>
                <w:p w14:paraId="0FE2F76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362.67 </w:t>
                  </w:r>
                </w:p>
              </w:tc>
              <w:tc>
                <w:tcPr>
                  <w:tcW w:w="991" w:type="dxa"/>
                  <w:vAlign w:val="bottom"/>
                </w:tcPr>
                <w:p w14:paraId="27A6468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3.90 </w:t>
                  </w:r>
                </w:p>
              </w:tc>
              <w:tc>
                <w:tcPr>
                  <w:tcW w:w="1245" w:type="dxa"/>
                  <w:vAlign w:val="bottom"/>
                </w:tcPr>
                <w:p w14:paraId="56E869A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220.28 </w:t>
                  </w:r>
                </w:p>
              </w:tc>
              <w:tc>
                <w:tcPr>
                  <w:tcW w:w="1114" w:type="dxa"/>
                  <w:vAlign w:val="bottom"/>
                </w:tcPr>
                <w:p w14:paraId="5A13E27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3.45 </w:t>
                  </w:r>
                </w:p>
              </w:tc>
            </w:tr>
            <w:tr w14:paraId="01019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84F2F7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93</w:t>
                  </w:r>
                </w:p>
              </w:tc>
              <w:tc>
                <w:tcPr>
                  <w:tcW w:w="741" w:type="pct"/>
                  <w:vAlign w:val="center"/>
                </w:tcPr>
                <w:p w14:paraId="5A1515F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（42,1.5）</w:t>
                  </w:r>
                </w:p>
              </w:tc>
              <w:tc>
                <w:tcPr>
                  <w:tcW w:w="1096" w:type="dxa"/>
                  <w:vAlign w:val="bottom"/>
                </w:tcPr>
                <w:p w14:paraId="61404F3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372.91 </w:t>
                  </w:r>
                </w:p>
              </w:tc>
              <w:tc>
                <w:tcPr>
                  <w:tcW w:w="991" w:type="dxa"/>
                  <w:vAlign w:val="bottom"/>
                </w:tcPr>
                <w:p w14:paraId="6D4A0A4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3.78 </w:t>
                  </w:r>
                </w:p>
              </w:tc>
              <w:tc>
                <w:tcPr>
                  <w:tcW w:w="1097" w:type="dxa"/>
                  <w:vAlign w:val="bottom"/>
                </w:tcPr>
                <w:p w14:paraId="2AC8663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352.94 </w:t>
                  </w:r>
                </w:p>
              </w:tc>
              <w:tc>
                <w:tcPr>
                  <w:tcW w:w="991" w:type="dxa"/>
                  <w:vAlign w:val="bottom"/>
                </w:tcPr>
                <w:p w14:paraId="3B797DA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3.72 </w:t>
                  </w:r>
                </w:p>
              </w:tc>
              <w:tc>
                <w:tcPr>
                  <w:tcW w:w="1245" w:type="dxa"/>
                  <w:vAlign w:val="bottom"/>
                </w:tcPr>
                <w:p w14:paraId="7142AB5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220.76 </w:t>
                  </w:r>
                </w:p>
              </w:tc>
              <w:tc>
                <w:tcPr>
                  <w:tcW w:w="1114" w:type="dxa"/>
                  <w:vAlign w:val="bottom"/>
                </w:tcPr>
                <w:p w14:paraId="30FCEA4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3.31 </w:t>
                  </w:r>
                </w:p>
              </w:tc>
            </w:tr>
            <w:tr w14:paraId="73360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080C20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94</w:t>
                  </w:r>
                </w:p>
              </w:tc>
              <w:tc>
                <w:tcPr>
                  <w:tcW w:w="741" w:type="pct"/>
                  <w:vAlign w:val="center"/>
                </w:tcPr>
                <w:p w14:paraId="17770DF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（43,1.5）</w:t>
                  </w:r>
                </w:p>
              </w:tc>
              <w:tc>
                <w:tcPr>
                  <w:tcW w:w="1096" w:type="dxa"/>
                  <w:vAlign w:val="bottom"/>
                </w:tcPr>
                <w:p w14:paraId="192003A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361.61 </w:t>
                  </w:r>
                </w:p>
              </w:tc>
              <w:tc>
                <w:tcPr>
                  <w:tcW w:w="991" w:type="dxa"/>
                  <w:vAlign w:val="bottom"/>
                </w:tcPr>
                <w:p w14:paraId="3C2E11C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3.61 </w:t>
                  </w:r>
                </w:p>
              </w:tc>
              <w:tc>
                <w:tcPr>
                  <w:tcW w:w="1097" w:type="dxa"/>
                  <w:vAlign w:val="bottom"/>
                </w:tcPr>
                <w:p w14:paraId="05A04E1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343.30 </w:t>
                  </w:r>
                </w:p>
              </w:tc>
              <w:tc>
                <w:tcPr>
                  <w:tcW w:w="991" w:type="dxa"/>
                  <w:vAlign w:val="bottom"/>
                </w:tcPr>
                <w:p w14:paraId="54FD0EA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3.56 </w:t>
                  </w:r>
                </w:p>
              </w:tc>
              <w:tc>
                <w:tcPr>
                  <w:tcW w:w="1245" w:type="dxa"/>
                  <w:vAlign w:val="bottom"/>
                </w:tcPr>
                <w:p w14:paraId="7D31349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220.54 </w:t>
                  </w:r>
                </w:p>
              </w:tc>
              <w:tc>
                <w:tcPr>
                  <w:tcW w:w="1114" w:type="dxa"/>
                  <w:vAlign w:val="bottom"/>
                </w:tcPr>
                <w:p w14:paraId="2CE1D5D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3.18 </w:t>
                  </w:r>
                </w:p>
              </w:tc>
            </w:tr>
            <w:tr w14:paraId="233C3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5768014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95</w:t>
                  </w:r>
                </w:p>
              </w:tc>
              <w:tc>
                <w:tcPr>
                  <w:tcW w:w="741" w:type="pct"/>
                  <w:vAlign w:val="center"/>
                </w:tcPr>
                <w:p w14:paraId="7AED24F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（44,1.5）</w:t>
                  </w:r>
                </w:p>
              </w:tc>
              <w:tc>
                <w:tcPr>
                  <w:tcW w:w="1096" w:type="dxa"/>
                  <w:vAlign w:val="bottom"/>
                </w:tcPr>
                <w:p w14:paraId="536FAA9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350.60 </w:t>
                  </w:r>
                </w:p>
              </w:tc>
              <w:tc>
                <w:tcPr>
                  <w:tcW w:w="991" w:type="dxa"/>
                  <w:vAlign w:val="bottom"/>
                </w:tcPr>
                <w:p w14:paraId="574F08D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3.45 </w:t>
                  </w:r>
                </w:p>
              </w:tc>
              <w:tc>
                <w:tcPr>
                  <w:tcW w:w="1097" w:type="dxa"/>
                  <w:vAlign w:val="bottom"/>
                </w:tcPr>
                <w:p w14:paraId="781A702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333.78 </w:t>
                  </w:r>
                </w:p>
              </w:tc>
              <w:tc>
                <w:tcPr>
                  <w:tcW w:w="991" w:type="dxa"/>
                  <w:vAlign w:val="bottom"/>
                </w:tcPr>
                <w:p w14:paraId="235274A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3.40 </w:t>
                  </w:r>
                </w:p>
              </w:tc>
              <w:tc>
                <w:tcPr>
                  <w:tcW w:w="1245" w:type="dxa"/>
                  <w:vAlign w:val="bottom"/>
                </w:tcPr>
                <w:p w14:paraId="713264B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219.72 </w:t>
                  </w:r>
                </w:p>
              </w:tc>
              <w:tc>
                <w:tcPr>
                  <w:tcW w:w="1114" w:type="dxa"/>
                  <w:vAlign w:val="bottom"/>
                </w:tcPr>
                <w:p w14:paraId="1F5997F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3.06 </w:t>
                  </w:r>
                </w:p>
              </w:tc>
            </w:tr>
            <w:tr w14:paraId="324EB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7837FC0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96</w:t>
                  </w:r>
                </w:p>
              </w:tc>
              <w:tc>
                <w:tcPr>
                  <w:tcW w:w="741" w:type="pct"/>
                  <w:vAlign w:val="center"/>
                </w:tcPr>
                <w:p w14:paraId="3557E5B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（45,1.5）</w:t>
                  </w:r>
                </w:p>
              </w:tc>
              <w:tc>
                <w:tcPr>
                  <w:tcW w:w="1096" w:type="dxa"/>
                  <w:vAlign w:val="bottom"/>
                </w:tcPr>
                <w:p w14:paraId="2DBB7F3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339.89 </w:t>
                  </w:r>
                </w:p>
              </w:tc>
              <w:tc>
                <w:tcPr>
                  <w:tcW w:w="991" w:type="dxa"/>
                  <w:vAlign w:val="bottom"/>
                </w:tcPr>
                <w:p w14:paraId="3C29321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3.30 </w:t>
                  </w:r>
                </w:p>
              </w:tc>
              <w:tc>
                <w:tcPr>
                  <w:tcW w:w="1097" w:type="dxa"/>
                  <w:vAlign w:val="bottom"/>
                </w:tcPr>
                <w:p w14:paraId="61C95AF0">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324.43 </w:t>
                  </w:r>
                </w:p>
              </w:tc>
              <w:tc>
                <w:tcPr>
                  <w:tcW w:w="991" w:type="dxa"/>
                  <w:vAlign w:val="bottom"/>
                </w:tcPr>
                <w:p w14:paraId="2C255453">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3.26 </w:t>
                  </w:r>
                </w:p>
              </w:tc>
              <w:tc>
                <w:tcPr>
                  <w:tcW w:w="1245" w:type="dxa"/>
                  <w:vAlign w:val="bottom"/>
                </w:tcPr>
                <w:p w14:paraId="01BD26F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218.39 </w:t>
                  </w:r>
                </w:p>
              </w:tc>
              <w:tc>
                <w:tcPr>
                  <w:tcW w:w="1114" w:type="dxa"/>
                  <w:vAlign w:val="bottom"/>
                </w:tcPr>
                <w:p w14:paraId="1E2EB69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2.94 </w:t>
                  </w:r>
                </w:p>
              </w:tc>
            </w:tr>
            <w:tr w14:paraId="79BB1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1B65B30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97</w:t>
                  </w:r>
                </w:p>
              </w:tc>
              <w:tc>
                <w:tcPr>
                  <w:tcW w:w="741" w:type="pct"/>
                  <w:vAlign w:val="center"/>
                </w:tcPr>
                <w:p w14:paraId="4DD637D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（46,1.5）</w:t>
                  </w:r>
                </w:p>
              </w:tc>
              <w:tc>
                <w:tcPr>
                  <w:tcW w:w="1096" w:type="dxa"/>
                  <w:vAlign w:val="bottom"/>
                </w:tcPr>
                <w:p w14:paraId="31D57DC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329.51 </w:t>
                  </w:r>
                </w:p>
              </w:tc>
              <w:tc>
                <w:tcPr>
                  <w:tcW w:w="991" w:type="dxa"/>
                  <w:vAlign w:val="bottom"/>
                </w:tcPr>
                <w:p w14:paraId="32BF2C8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3.16 </w:t>
                  </w:r>
                </w:p>
              </w:tc>
              <w:tc>
                <w:tcPr>
                  <w:tcW w:w="1097" w:type="dxa"/>
                  <w:vAlign w:val="bottom"/>
                </w:tcPr>
                <w:p w14:paraId="7BF4387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315.27 </w:t>
                  </w:r>
                </w:p>
              </w:tc>
              <w:tc>
                <w:tcPr>
                  <w:tcW w:w="991" w:type="dxa"/>
                  <w:vAlign w:val="bottom"/>
                </w:tcPr>
                <w:p w14:paraId="1197A15F">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3.12 </w:t>
                  </w:r>
                </w:p>
              </w:tc>
              <w:tc>
                <w:tcPr>
                  <w:tcW w:w="1245" w:type="dxa"/>
                  <w:vAlign w:val="bottom"/>
                </w:tcPr>
                <w:p w14:paraId="041542F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216.64 </w:t>
                  </w:r>
                </w:p>
              </w:tc>
              <w:tc>
                <w:tcPr>
                  <w:tcW w:w="1114" w:type="dxa"/>
                  <w:vAlign w:val="bottom"/>
                </w:tcPr>
                <w:p w14:paraId="3F80288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2.83 </w:t>
                  </w:r>
                </w:p>
              </w:tc>
            </w:tr>
            <w:tr w14:paraId="284BD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4ED52E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98</w:t>
                  </w:r>
                </w:p>
              </w:tc>
              <w:tc>
                <w:tcPr>
                  <w:tcW w:w="741" w:type="pct"/>
                  <w:vAlign w:val="center"/>
                </w:tcPr>
                <w:p w14:paraId="63F365A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（47,1.5）</w:t>
                  </w:r>
                </w:p>
              </w:tc>
              <w:tc>
                <w:tcPr>
                  <w:tcW w:w="1096" w:type="dxa"/>
                  <w:vAlign w:val="bottom"/>
                </w:tcPr>
                <w:p w14:paraId="42F53FF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319.45 </w:t>
                  </w:r>
                </w:p>
              </w:tc>
              <w:tc>
                <w:tcPr>
                  <w:tcW w:w="991" w:type="dxa"/>
                  <w:vAlign w:val="bottom"/>
                </w:tcPr>
                <w:p w14:paraId="2D0785B5">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3.03 </w:t>
                  </w:r>
                </w:p>
              </w:tc>
              <w:tc>
                <w:tcPr>
                  <w:tcW w:w="1097" w:type="dxa"/>
                  <w:vAlign w:val="bottom"/>
                </w:tcPr>
                <w:p w14:paraId="321B88FC">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306.32 </w:t>
                  </w:r>
                </w:p>
              </w:tc>
              <w:tc>
                <w:tcPr>
                  <w:tcW w:w="991" w:type="dxa"/>
                  <w:vAlign w:val="bottom"/>
                </w:tcPr>
                <w:p w14:paraId="2B2735E2">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2.99 </w:t>
                  </w:r>
                </w:p>
              </w:tc>
              <w:tc>
                <w:tcPr>
                  <w:tcW w:w="1245" w:type="dxa"/>
                  <w:vAlign w:val="bottom"/>
                </w:tcPr>
                <w:p w14:paraId="5B70920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214.52 </w:t>
                  </w:r>
                </w:p>
              </w:tc>
              <w:tc>
                <w:tcPr>
                  <w:tcW w:w="1114" w:type="dxa"/>
                  <w:vAlign w:val="bottom"/>
                </w:tcPr>
                <w:p w14:paraId="72D816D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2.72 </w:t>
                  </w:r>
                </w:p>
              </w:tc>
            </w:tr>
            <w:tr w14:paraId="612F3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6424BFE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99</w:t>
                  </w:r>
                </w:p>
              </w:tc>
              <w:tc>
                <w:tcPr>
                  <w:tcW w:w="741" w:type="pct"/>
                  <w:vAlign w:val="center"/>
                </w:tcPr>
                <w:p w14:paraId="533C979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（48,1.5）</w:t>
                  </w:r>
                </w:p>
              </w:tc>
              <w:tc>
                <w:tcPr>
                  <w:tcW w:w="1096" w:type="dxa"/>
                  <w:vAlign w:val="bottom"/>
                </w:tcPr>
                <w:p w14:paraId="254CF80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309.72 </w:t>
                  </w:r>
                </w:p>
              </w:tc>
              <w:tc>
                <w:tcPr>
                  <w:tcW w:w="991" w:type="dxa"/>
                  <w:vAlign w:val="bottom"/>
                </w:tcPr>
                <w:p w14:paraId="6C71EF67">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2.90 </w:t>
                  </w:r>
                </w:p>
              </w:tc>
              <w:tc>
                <w:tcPr>
                  <w:tcW w:w="1097" w:type="dxa"/>
                  <w:vAlign w:val="bottom"/>
                </w:tcPr>
                <w:p w14:paraId="20C25DF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297.61 </w:t>
                  </w:r>
                </w:p>
              </w:tc>
              <w:tc>
                <w:tcPr>
                  <w:tcW w:w="991" w:type="dxa"/>
                  <w:vAlign w:val="bottom"/>
                </w:tcPr>
                <w:p w14:paraId="4D127B7D">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2.87 </w:t>
                  </w:r>
                </w:p>
              </w:tc>
              <w:tc>
                <w:tcPr>
                  <w:tcW w:w="1245" w:type="dxa"/>
                  <w:vAlign w:val="bottom"/>
                </w:tcPr>
                <w:p w14:paraId="748F401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212.11 </w:t>
                  </w:r>
                </w:p>
              </w:tc>
              <w:tc>
                <w:tcPr>
                  <w:tcW w:w="1114" w:type="dxa"/>
                  <w:vAlign w:val="bottom"/>
                </w:tcPr>
                <w:p w14:paraId="2EAD640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2.62 </w:t>
                  </w:r>
                </w:p>
              </w:tc>
            </w:tr>
            <w:tr w14:paraId="79371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20" w:type="pct"/>
                  <w:vAlign w:val="center"/>
                </w:tcPr>
                <w:p w14:paraId="70AFA75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100</w:t>
                  </w:r>
                </w:p>
              </w:tc>
              <w:tc>
                <w:tcPr>
                  <w:tcW w:w="741" w:type="pct"/>
                  <w:vAlign w:val="center"/>
                </w:tcPr>
                <w:p w14:paraId="4F1DBDF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（49,1.5）</w:t>
                  </w:r>
                </w:p>
              </w:tc>
              <w:tc>
                <w:tcPr>
                  <w:tcW w:w="1096" w:type="dxa"/>
                  <w:vAlign w:val="bottom"/>
                </w:tcPr>
                <w:p w14:paraId="7BB37D3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300.32 </w:t>
                  </w:r>
                </w:p>
              </w:tc>
              <w:tc>
                <w:tcPr>
                  <w:tcW w:w="991" w:type="dxa"/>
                  <w:vAlign w:val="bottom"/>
                </w:tcPr>
                <w:p w14:paraId="647E3C0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2.79 </w:t>
                  </w:r>
                </w:p>
              </w:tc>
              <w:tc>
                <w:tcPr>
                  <w:tcW w:w="1097" w:type="dxa"/>
                  <w:vAlign w:val="bottom"/>
                </w:tcPr>
                <w:p w14:paraId="3DA9D4E9">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289.14 </w:t>
                  </w:r>
                </w:p>
              </w:tc>
              <w:tc>
                <w:tcPr>
                  <w:tcW w:w="991" w:type="dxa"/>
                  <w:vAlign w:val="bottom"/>
                </w:tcPr>
                <w:p w14:paraId="3A5A2AC4">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2.76 </w:t>
                  </w:r>
                </w:p>
              </w:tc>
              <w:tc>
                <w:tcPr>
                  <w:tcW w:w="1245" w:type="dxa"/>
                  <w:vAlign w:val="bottom"/>
                </w:tcPr>
                <w:p w14:paraId="5638A09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209.46 </w:t>
                  </w:r>
                </w:p>
              </w:tc>
              <w:tc>
                <w:tcPr>
                  <w:tcW w:w="1114" w:type="dxa"/>
                  <w:vAlign w:val="bottom"/>
                </w:tcPr>
                <w:p w14:paraId="08266B9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2.53 </w:t>
                  </w:r>
                </w:p>
              </w:tc>
            </w:tr>
            <w:tr w14:paraId="16A76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Align w:val="center"/>
                </w:tcPr>
                <w:p w14:paraId="3F91486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101</w:t>
                  </w:r>
                </w:p>
              </w:tc>
              <w:tc>
                <w:tcPr>
                  <w:tcW w:w="741" w:type="pct"/>
                  <w:vAlign w:val="center"/>
                </w:tcPr>
                <w:p w14:paraId="292000C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eastAsia="zh-CN" w:bidi="ar"/>
                      <w14:textFill>
                        <w14:solidFill>
                          <w14:schemeClr w14:val="tx1"/>
                        </w14:solidFill>
                      </w14:textFill>
                    </w:rPr>
                    <w:t>（50,1.5）</w:t>
                  </w:r>
                </w:p>
              </w:tc>
              <w:tc>
                <w:tcPr>
                  <w:tcW w:w="1096" w:type="dxa"/>
                  <w:vAlign w:val="bottom"/>
                </w:tcPr>
                <w:p w14:paraId="3D055B7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291.24 </w:t>
                  </w:r>
                </w:p>
              </w:tc>
              <w:tc>
                <w:tcPr>
                  <w:tcW w:w="991" w:type="dxa"/>
                  <w:vAlign w:val="bottom"/>
                </w:tcPr>
                <w:p w14:paraId="5D3AB66E">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2.68 </w:t>
                  </w:r>
                </w:p>
              </w:tc>
              <w:tc>
                <w:tcPr>
                  <w:tcW w:w="1097" w:type="dxa"/>
                  <w:vAlign w:val="bottom"/>
                </w:tcPr>
                <w:p w14:paraId="3D1794E1">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280.91 </w:t>
                  </w:r>
                </w:p>
              </w:tc>
              <w:tc>
                <w:tcPr>
                  <w:tcW w:w="991" w:type="dxa"/>
                  <w:vAlign w:val="bottom"/>
                </w:tcPr>
                <w:p w14:paraId="36B937FA">
                  <w:pPr>
                    <w:keepNext w:val="0"/>
                    <w:keepLines w:val="0"/>
                    <w:widowControl/>
                    <w:suppressLineNumbers w:val="0"/>
                    <w:spacing w:before="0" w:beforeAutospacing="0" w:after="0" w:afterAutospacing="0"/>
                    <w:ind w:left="0" w:right="0"/>
                    <w:jc w:val="center"/>
                    <w:textAlignment w:val="bottom"/>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2.65 </w:t>
                  </w:r>
                </w:p>
              </w:tc>
              <w:tc>
                <w:tcPr>
                  <w:tcW w:w="1245" w:type="dxa"/>
                  <w:vAlign w:val="bottom"/>
                </w:tcPr>
                <w:p w14:paraId="35D50A9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206.60 </w:t>
                  </w:r>
                </w:p>
              </w:tc>
              <w:tc>
                <w:tcPr>
                  <w:tcW w:w="1114" w:type="dxa"/>
                  <w:vAlign w:val="bottom"/>
                </w:tcPr>
                <w:p w14:paraId="6D18C80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bidi="ar"/>
                      <w14:textFill>
                        <w14:solidFill>
                          <w14:schemeClr w14:val="tx1"/>
                        </w14:solidFill>
                      </w14:textFill>
                    </w:rPr>
                    <w:t xml:space="preserve">2.44 </w:t>
                  </w:r>
                </w:p>
              </w:tc>
            </w:tr>
          </w:tbl>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3"/>
              <w:gridCol w:w="4133"/>
            </w:tblGrid>
            <w:tr w14:paraId="7FBB0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9" w:type="pct"/>
                </w:tcPr>
                <w:p w14:paraId="551592A4">
                  <w:pPr>
                    <w:keepNext w:val="0"/>
                    <w:keepLines w:val="0"/>
                    <w:suppressLineNumbers w:val="0"/>
                    <w:spacing w:before="0" w:beforeAutospacing="0" w:after="0" w:afterAutospacing="0"/>
                    <w:ind w:left="0" w:right="0"/>
                    <w:jc w:val="center"/>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515870" cy="1517015"/>
                        <wp:effectExtent l="0" t="0" r="17780" b="6985"/>
                        <wp:docPr id="8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9"/>
                                <pic:cNvPicPr>
                                  <a:picLocks noChangeAspect="1"/>
                                </pic:cNvPicPr>
                              </pic:nvPicPr>
                              <pic:blipFill>
                                <a:blip r:embed="rId59"/>
                                <a:stretch>
                                  <a:fillRect/>
                                </a:stretch>
                              </pic:blipFill>
                              <pic:spPr>
                                <a:xfrm>
                                  <a:off x="0" y="0"/>
                                  <a:ext cx="2515870" cy="1517015"/>
                                </a:xfrm>
                                <a:prstGeom prst="rect">
                                  <a:avLst/>
                                </a:prstGeom>
                                <a:noFill/>
                                <a:ln>
                                  <a:noFill/>
                                </a:ln>
                              </pic:spPr>
                            </pic:pic>
                          </a:graphicData>
                        </a:graphic>
                      </wp:inline>
                    </w:drawing>
                  </w:r>
                </w:p>
              </w:tc>
              <w:tc>
                <w:tcPr>
                  <w:tcW w:w="2490" w:type="pct"/>
                </w:tcPr>
                <w:p w14:paraId="3A8F7849">
                  <w:pPr>
                    <w:keepNext w:val="0"/>
                    <w:keepLines w:val="0"/>
                    <w:suppressLineNumbers w:val="0"/>
                    <w:spacing w:before="0" w:beforeAutospacing="0" w:after="0" w:afterAutospacing="0"/>
                    <w:ind w:left="0" w:right="0"/>
                    <w:jc w:val="center"/>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353310" cy="1441450"/>
                        <wp:effectExtent l="0" t="0" r="8890" b="6350"/>
                        <wp:docPr id="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0"/>
                                <pic:cNvPicPr>
                                  <a:picLocks noChangeAspect="1"/>
                                </pic:cNvPicPr>
                              </pic:nvPicPr>
                              <pic:blipFill>
                                <a:blip r:embed="rId60"/>
                                <a:stretch>
                                  <a:fillRect/>
                                </a:stretch>
                              </pic:blipFill>
                              <pic:spPr>
                                <a:xfrm>
                                  <a:off x="0" y="0"/>
                                  <a:ext cx="2353310" cy="1441450"/>
                                </a:xfrm>
                                <a:prstGeom prst="rect">
                                  <a:avLst/>
                                </a:prstGeom>
                                <a:noFill/>
                                <a:ln>
                                  <a:noFill/>
                                </a:ln>
                              </pic:spPr>
                            </pic:pic>
                          </a:graphicData>
                        </a:graphic>
                      </wp:inline>
                    </w:drawing>
                  </w:r>
                </w:p>
              </w:tc>
            </w:tr>
            <w:tr w14:paraId="76BEF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9" w:type="pct"/>
                </w:tcPr>
                <w:p w14:paraId="11FF0DBE">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工频电场强度</w:t>
                  </w:r>
                </w:p>
              </w:tc>
              <w:tc>
                <w:tcPr>
                  <w:tcW w:w="2490" w:type="pct"/>
                </w:tcPr>
                <w:p w14:paraId="7EA39C15">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磁感应强度</w:t>
                  </w:r>
                </w:p>
              </w:tc>
            </w:tr>
            <w:tr w14:paraId="6CEEA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14:paraId="7A254C67">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（非居民区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6.5m</w:t>
                  </w:r>
                  <w:r>
                    <w:rPr>
                      <w:rFonts w:hint="eastAsia"/>
                      <w:color w:val="000000" w:themeColor="text1"/>
                      <w:szCs w:val="21"/>
                      <w14:textFill>
                        <w14:solidFill>
                          <w14:schemeClr w14:val="tx1"/>
                        </w14:solidFill>
                      </w14:textFill>
                    </w:rPr>
                    <w:t>）</w:t>
                  </w:r>
                </w:p>
              </w:tc>
            </w:tr>
            <w:tr w14:paraId="4E5D0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9" w:type="pct"/>
                </w:tcPr>
                <w:p w14:paraId="3D925576">
                  <w:pPr>
                    <w:keepNext w:val="0"/>
                    <w:keepLines w:val="0"/>
                    <w:suppressLineNumbers w:val="0"/>
                    <w:spacing w:before="0" w:beforeAutospacing="0" w:after="0" w:afterAutospacing="0"/>
                    <w:ind w:left="0" w:right="0"/>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555240" cy="1541145"/>
                        <wp:effectExtent l="0" t="0" r="16510" b="1905"/>
                        <wp:docPr id="8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1"/>
                                <pic:cNvPicPr>
                                  <a:picLocks noChangeAspect="1"/>
                                </pic:cNvPicPr>
                              </pic:nvPicPr>
                              <pic:blipFill>
                                <a:blip r:embed="rId61"/>
                                <a:stretch>
                                  <a:fillRect/>
                                </a:stretch>
                              </pic:blipFill>
                              <pic:spPr>
                                <a:xfrm>
                                  <a:off x="0" y="0"/>
                                  <a:ext cx="2555240" cy="1541145"/>
                                </a:xfrm>
                                <a:prstGeom prst="rect">
                                  <a:avLst/>
                                </a:prstGeom>
                                <a:noFill/>
                                <a:ln>
                                  <a:noFill/>
                                </a:ln>
                              </pic:spPr>
                            </pic:pic>
                          </a:graphicData>
                        </a:graphic>
                      </wp:inline>
                    </w:drawing>
                  </w:r>
                </w:p>
              </w:tc>
              <w:tc>
                <w:tcPr>
                  <w:tcW w:w="2490" w:type="pct"/>
                </w:tcPr>
                <w:p w14:paraId="7F0B448F">
                  <w:pPr>
                    <w:keepNext w:val="0"/>
                    <w:keepLines w:val="0"/>
                    <w:suppressLineNumbers w:val="0"/>
                    <w:spacing w:before="0" w:beforeAutospacing="0" w:after="0" w:afterAutospacing="0"/>
                    <w:ind w:left="0" w:right="0"/>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480945" cy="1521460"/>
                        <wp:effectExtent l="0" t="0" r="14605" b="2540"/>
                        <wp:docPr id="9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2"/>
                                <pic:cNvPicPr>
                                  <a:picLocks noChangeAspect="1"/>
                                </pic:cNvPicPr>
                              </pic:nvPicPr>
                              <pic:blipFill>
                                <a:blip r:embed="rId62"/>
                                <a:stretch>
                                  <a:fillRect/>
                                </a:stretch>
                              </pic:blipFill>
                              <pic:spPr>
                                <a:xfrm>
                                  <a:off x="0" y="0"/>
                                  <a:ext cx="2480945" cy="1521460"/>
                                </a:xfrm>
                                <a:prstGeom prst="rect">
                                  <a:avLst/>
                                </a:prstGeom>
                                <a:noFill/>
                                <a:ln>
                                  <a:noFill/>
                                </a:ln>
                              </pic:spPr>
                            </pic:pic>
                          </a:graphicData>
                        </a:graphic>
                      </wp:inline>
                    </w:drawing>
                  </w:r>
                </w:p>
              </w:tc>
            </w:tr>
            <w:tr w14:paraId="300BF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9" w:type="pct"/>
                </w:tcPr>
                <w:p w14:paraId="312D4E06">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工频电场强度</w:t>
                  </w:r>
                </w:p>
              </w:tc>
              <w:tc>
                <w:tcPr>
                  <w:tcW w:w="2490" w:type="pct"/>
                </w:tcPr>
                <w:p w14:paraId="5E0240C8">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磁感应强度</w:t>
                  </w:r>
                </w:p>
              </w:tc>
            </w:tr>
            <w:tr w14:paraId="48FEB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14:paraId="7EAAF112">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（居民区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7.5m</w:t>
                  </w:r>
                  <w:r>
                    <w:rPr>
                      <w:rFonts w:hint="eastAsia"/>
                      <w:color w:val="000000" w:themeColor="text1"/>
                      <w:szCs w:val="21"/>
                      <w14:textFill>
                        <w14:solidFill>
                          <w14:schemeClr w14:val="tx1"/>
                        </w14:solidFill>
                      </w14:textFill>
                    </w:rPr>
                    <w:t>）</w:t>
                  </w:r>
                </w:p>
              </w:tc>
            </w:tr>
            <w:tr w14:paraId="6E2A2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9" w:type="pct"/>
                </w:tcPr>
                <w:p w14:paraId="708B3A5B">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default"/>
                    </w:rPr>
                    <w:drawing>
                      <wp:inline distT="0" distB="0" distL="114300" distR="114300">
                        <wp:extent cx="2600325" cy="1557655"/>
                        <wp:effectExtent l="0" t="0" r="9525" b="4445"/>
                        <wp:docPr id="9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3"/>
                                <pic:cNvPicPr>
                                  <a:picLocks noChangeAspect="1"/>
                                </pic:cNvPicPr>
                              </pic:nvPicPr>
                              <pic:blipFill>
                                <a:blip r:embed="rId63"/>
                                <a:stretch>
                                  <a:fillRect/>
                                </a:stretch>
                              </pic:blipFill>
                              <pic:spPr>
                                <a:xfrm>
                                  <a:off x="0" y="0"/>
                                  <a:ext cx="2600325" cy="1557655"/>
                                </a:xfrm>
                                <a:prstGeom prst="rect">
                                  <a:avLst/>
                                </a:prstGeom>
                                <a:noFill/>
                                <a:ln>
                                  <a:noFill/>
                                </a:ln>
                              </pic:spPr>
                            </pic:pic>
                          </a:graphicData>
                        </a:graphic>
                      </wp:inline>
                    </w:drawing>
                  </w:r>
                </w:p>
              </w:tc>
              <w:tc>
                <w:tcPr>
                  <w:tcW w:w="2490" w:type="pct"/>
                </w:tcPr>
                <w:p w14:paraId="4FA14D9D">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default"/>
                    </w:rPr>
                    <w:drawing>
                      <wp:inline distT="0" distB="0" distL="114300" distR="114300">
                        <wp:extent cx="2479040" cy="1490980"/>
                        <wp:effectExtent l="0" t="0" r="16510" b="13970"/>
                        <wp:docPr id="9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4"/>
                                <pic:cNvPicPr>
                                  <a:picLocks noChangeAspect="1"/>
                                </pic:cNvPicPr>
                              </pic:nvPicPr>
                              <pic:blipFill>
                                <a:blip r:embed="rId64"/>
                                <a:stretch>
                                  <a:fillRect/>
                                </a:stretch>
                              </pic:blipFill>
                              <pic:spPr>
                                <a:xfrm>
                                  <a:off x="0" y="0"/>
                                  <a:ext cx="2479040" cy="1490980"/>
                                </a:xfrm>
                                <a:prstGeom prst="rect">
                                  <a:avLst/>
                                </a:prstGeom>
                                <a:noFill/>
                                <a:ln>
                                  <a:noFill/>
                                </a:ln>
                              </pic:spPr>
                            </pic:pic>
                          </a:graphicData>
                        </a:graphic>
                      </wp:inline>
                    </w:drawing>
                  </w:r>
                </w:p>
              </w:tc>
            </w:tr>
            <w:tr w14:paraId="11497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9" w:type="pct"/>
                  <w:vAlign w:val="top"/>
                </w:tcPr>
                <w:p w14:paraId="5E9F8936">
                  <w:pPr>
                    <w:keepNext w:val="0"/>
                    <w:keepLines w:val="0"/>
                    <w:suppressLineNumbers w:val="0"/>
                    <w:spacing w:before="0" w:beforeAutospacing="0" w:after="0" w:afterAutospacing="0"/>
                    <w:ind w:left="0" w:leftChars="0" w:right="0" w:rightChars="0"/>
                    <w:jc w:val="center"/>
                    <w:rPr>
                      <w:rFonts w:hint="eastAsia"/>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工频电场强度</w:t>
                  </w:r>
                </w:p>
              </w:tc>
              <w:tc>
                <w:tcPr>
                  <w:tcW w:w="2490" w:type="pct"/>
                  <w:vAlign w:val="top"/>
                </w:tcPr>
                <w:p w14:paraId="7D489B55">
                  <w:pPr>
                    <w:keepNext w:val="0"/>
                    <w:keepLines w:val="0"/>
                    <w:suppressLineNumbers w:val="0"/>
                    <w:spacing w:before="0" w:beforeAutospacing="0" w:after="0" w:afterAutospacing="0"/>
                    <w:ind w:left="0" w:leftChars="0" w:right="0" w:rightChars="0"/>
                    <w:jc w:val="center"/>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磁感应强度</w:t>
                  </w:r>
                </w:p>
              </w:tc>
            </w:tr>
            <w:tr w14:paraId="5279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14:paraId="57A712A3">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实际距离</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14.0m</w:t>
                  </w:r>
                  <w:r>
                    <w:rPr>
                      <w:rFonts w:hint="eastAsia"/>
                      <w:color w:val="000000" w:themeColor="text1"/>
                      <w:szCs w:val="21"/>
                      <w14:textFill>
                        <w14:solidFill>
                          <w14:schemeClr w14:val="tx1"/>
                        </w14:solidFill>
                      </w14:textFill>
                    </w:rPr>
                    <w:t>）</w:t>
                  </w:r>
                </w:p>
              </w:tc>
            </w:tr>
          </w:tbl>
          <w:p w14:paraId="172E2573">
            <w:pPr>
              <w:pStyle w:val="74"/>
              <w:keepNext w:val="0"/>
              <w:keepLines w:val="0"/>
              <w:suppressLineNumbers w:val="0"/>
              <w:spacing w:before="0" w:beforeAutospacing="0" w:after="0" w:afterAutospacing="0" w:line="240" w:lineRule="auto"/>
              <w:ind w:left="0" w:right="0" w:firstLine="42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图 7 </w:t>
            </w:r>
            <w:r>
              <w:rPr>
                <w:rFonts w:hint="eastAsia" w:cs="Times New Roman"/>
                <w:b/>
                <w:bCs/>
                <w:color w:val="000000" w:themeColor="text1"/>
                <w:kern w:val="2"/>
                <w:sz w:val="24"/>
                <w:szCs w:val="24"/>
                <w:lang w:val="en-US" w:eastAsia="zh-CN" w:bidi="ar-SA"/>
                <w14:textFill>
                  <w14:solidFill>
                    <w14:schemeClr w14:val="tx1"/>
                  </w14:solidFill>
                </w14:textFill>
              </w:rPr>
              <w:t>22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0kV输电线路（SDJ）磁感应强度分布趋势图</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9"/>
              <w:gridCol w:w="4177"/>
            </w:tblGrid>
            <w:tr w14:paraId="02EC9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82" w:type="pct"/>
                </w:tcPr>
                <w:p w14:paraId="1AC2BDA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2"/>
                      <w:sz w:val="24"/>
                      <w:szCs w:val="24"/>
                      <w:vertAlign w:val="baseline"/>
                      <w:lang w:val="en-US" w:eastAsia="zh-CN" w:bidi="ar-SA"/>
                      <w14:textFill>
                        <w14:solidFill>
                          <w14:schemeClr w14:val="tx1"/>
                        </w14:solidFill>
                      </w14:textFill>
                    </w:rPr>
                  </w:pPr>
                  <w:r>
                    <w:rPr>
                      <w:rFonts w:hint="default"/>
                    </w:rPr>
                    <w:drawing>
                      <wp:inline distT="0" distB="0" distL="114300" distR="114300">
                        <wp:extent cx="2553970" cy="1249045"/>
                        <wp:effectExtent l="0" t="0" r="17780" b="8255"/>
                        <wp:docPr id="12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4"/>
                                <pic:cNvPicPr>
                                  <a:picLocks noChangeAspect="1"/>
                                </pic:cNvPicPr>
                              </pic:nvPicPr>
                              <pic:blipFill>
                                <a:blip r:embed="rId65"/>
                                <a:stretch>
                                  <a:fillRect/>
                                </a:stretch>
                              </pic:blipFill>
                              <pic:spPr>
                                <a:xfrm>
                                  <a:off x="0" y="0"/>
                                  <a:ext cx="2553970" cy="1249045"/>
                                </a:xfrm>
                                <a:prstGeom prst="rect">
                                  <a:avLst/>
                                </a:prstGeom>
                                <a:noFill/>
                                <a:ln>
                                  <a:noFill/>
                                </a:ln>
                              </pic:spPr>
                            </pic:pic>
                          </a:graphicData>
                        </a:graphic>
                      </wp:inline>
                    </w:drawing>
                  </w:r>
                </w:p>
              </w:tc>
              <w:tc>
                <w:tcPr>
                  <w:tcW w:w="2517" w:type="pct"/>
                </w:tcPr>
                <w:p w14:paraId="34C4AB5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2"/>
                      <w:sz w:val="24"/>
                      <w:szCs w:val="24"/>
                      <w:vertAlign w:val="baseline"/>
                      <w:lang w:val="en-US" w:eastAsia="zh-CN" w:bidi="ar-SA"/>
                      <w14:textFill>
                        <w14:solidFill>
                          <w14:schemeClr w14:val="tx1"/>
                        </w14:solidFill>
                      </w14:textFill>
                    </w:rPr>
                  </w:pPr>
                  <w:r>
                    <w:rPr>
                      <w:rFonts w:hint="default"/>
                    </w:rPr>
                    <w:drawing>
                      <wp:inline distT="0" distB="0" distL="114300" distR="114300">
                        <wp:extent cx="2491740" cy="1243965"/>
                        <wp:effectExtent l="0" t="0" r="3810" b="13335"/>
                        <wp:docPr id="12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5"/>
                                <pic:cNvPicPr>
                                  <a:picLocks noChangeAspect="1"/>
                                </pic:cNvPicPr>
                              </pic:nvPicPr>
                              <pic:blipFill>
                                <a:blip r:embed="rId66"/>
                                <a:stretch>
                                  <a:fillRect/>
                                </a:stretch>
                              </pic:blipFill>
                              <pic:spPr>
                                <a:xfrm>
                                  <a:off x="0" y="0"/>
                                  <a:ext cx="2491740" cy="1243965"/>
                                </a:xfrm>
                                <a:prstGeom prst="rect">
                                  <a:avLst/>
                                </a:prstGeom>
                                <a:noFill/>
                                <a:ln>
                                  <a:noFill/>
                                </a:ln>
                              </pic:spPr>
                            </pic:pic>
                          </a:graphicData>
                        </a:graphic>
                      </wp:inline>
                    </w:drawing>
                  </w:r>
                </w:p>
              </w:tc>
            </w:tr>
            <w:tr w14:paraId="20B07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4F60624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6.5m</w:t>
                  </w:r>
                </w:p>
              </w:tc>
              <w:tc>
                <w:tcPr>
                  <w:tcW w:w="2517" w:type="pct"/>
                  <w:vAlign w:val="top"/>
                </w:tcPr>
                <w:p w14:paraId="7E3F730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6.5</w:t>
                  </w:r>
                  <w:r>
                    <w:rPr>
                      <w:rFonts w:hint="default" w:ascii="Times New Roman" w:hAnsi="Times New Roman" w:eastAsia="宋体" w:cs="Times New Roman"/>
                      <w:color w:val="000000" w:themeColor="text1"/>
                      <w:lang w:val="en-US" w:eastAsia="zh-CN"/>
                      <w14:textFill>
                        <w14:solidFill>
                          <w14:schemeClr w14:val="tx1"/>
                        </w14:solidFill>
                      </w14:textFill>
                    </w:rPr>
                    <w:t>m</w:t>
                  </w:r>
                </w:p>
              </w:tc>
            </w:tr>
            <w:tr w14:paraId="15B2B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5C693F73">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rPr>
                    <w:drawing>
                      <wp:inline distT="0" distB="0" distL="114300" distR="114300">
                        <wp:extent cx="2475230" cy="1247140"/>
                        <wp:effectExtent l="0" t="0" r="1270" b="10160"/>
                        <wp:docPr id="12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7"/>
                                <pic:cNvPicPr>
                                  <a:picLocks noChangeAspect="1"/>
                                </pic:cNvPicPr>
                              </pic:nvPicPr>
                              <pic:blipFill>
                                <a:blip r:embed="rId67"/>
                                <a:stretch>
                                  <a:fillRect/>
                                </a:stretch>
                              </pic:blipFill>
                              <pic:spPr>
                                <a:xfrm>
                                  <a:off x="0" y="0"/>
                                  <a:ext cx="2475230" cy="1247140"/>
                                </a:xfrm>
                                <a:prstGeom prst="rect">
                                  <a:avLst/>
                                </a:prstGeom>
                                <a:noFill/>
                                <a:ln>
                                  <a:noFill/>
                                </a:ln>
                              </pic:spPr>
                            </pic:pic>
                          </a:graphicData>
                        </a:graphic>
                      </wp:inline>
                    </w:drawing>
                  </w:r>
                </w:p>
              </w:tc>
              <w:tc>
                <w:tcPr>
                  <w:tcW w:w="2517" w:type="pct"/>
                  <w:vAlign w:val="top"/>
                </w:tcPr>
                <w:p w14:paraId="626DF087">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rPr>
                    <w:drawing>
                      <wp:inline distT="0" distB="0" distL="114300" distR="114300">
                        <wp:extent cx="2510155" cy="1258570"/>
                        <wp:effectExtent l="0" t="0" r="4445" b="17780"/>
                        <wp:docPr id="12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6"/>
                                <pic:cNvPicPr>
                                  <a:picLocks noChangeAspect="1"/>
                                </pic:cNvPicPr>
                              </pic:nvPicPr>
                              <pic:blipFill>
                                <a:blip r:embed="rId68"/>
                                <a:stretch>
                                  <a:fillRect/>
                                </a:stretch>
                              </pic:blipFill>
                              <pic:spPr>
                                <a:xfrm>
                                  <a:off x="0" y="0"/>
                                  <a:ext cx="2510155" cy="1258570"/>
                                </a:xfrm>
                                <a:prstGeom prst="rect">
                                  <a:avLst/>
                                </a:prstGeom>
                                <a:noFill/>
                                <a:ln>
                                  <a:noFill/>
                                </a:ln>
                              </pic:spPr>
                            </pic:pic>
                          </a:graphicData>
                        </a:graphic>
                      </wp:inline>
                    </w:drawing>
                  </w:r>
                </w:p>
              </w:tc>
            </w:tr>
            <w:tr w14:paraId="56CE2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31904430">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7.5m</w:t>
                  </w:r>
                </w:p>
              </w:tc>
              <w:tc>
                <w:tcPr>
                  <w:tcW w:w="2517" w:type="pct"/>
                  <w:vAlign w:val="top"/>
                </w:tcPr>
                <w:p w14:paraId="6DE26644">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7.5</w:t>
                  </w:r>
                  <w:r>
                    <w:rPr>
                      <w:rFonts w:hint="default" w:ascii="Times New Roman" w:hAnsi="Times New Roman" w:eastAsia="宋体" w:cs="Times New Roman"/>
                      <w:color w:val="000000" w:themeColor="text1"/>
                      <w:lang w:val="en-US" w:eastAsia="zh-CN"/>
                      <w14:textFill>
                        <w14:solidFill>
                          <w14:schemeClr w14:val="tx1"/>
                        </w14:solidFill>
                      </w14:textFill>
                    </w:rPr>
                    <w:t>m</w:t>
                  </w:r>
                </w:p>
              </w:tc>
            </w:tr>
            <w:tr w14:paraId="487AC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5EA2D07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rPr>
                    <w:drawing>
                      <wp:inline distT="0" distB="0" distL="114300" distR="114300">
                        <wp:extent cx="2478405" cy="1237615"/>
                        <wp:effectExtent l="0" t="0" r="17145" b="635"/>
                        <wp:docPr id="12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8"/>
                                <pic:cNvPicPr>
                                  <a:picLocks noChangeAspect="1"/>
                                </pic:cNvPicPr>
                              </pic:nvPicPr>
                              <pic:blipFill>
                                <a:blip r:embed="rId69"/>
                                <a:stretch>
                                  <a:fillRect/>
                                </a:stretch>
                              </pic:blipFill>
                              <pic:spPr>
                                <a:xfrm>
                                  <a:off x="0" y="0"/>
                                  <a:ext cx="2478405" cy="1237615"/>
                                </a:xfrm>
                                <a:prstGeom prst="rect">
                                  <a:avLst/>
                                </a:prstGeom>
                                <a:noFill/>
                                <a:ln>
                                  <a:noFill/>
                                </a:ln>
                              </pic:spPr>
                            </pic:pic>
                          </a:graphicData>
                        </a:graphic>
                      </wp:inline>
                    </w:drawing>
                  </w:r>
                </w:p>
              </w:tc>
              <w:tc>
                <w:tcPr>
                  <w:tcW w:w="2517" w:type="pct"/>
                  <w:vAlign w:val="top"/>
                </w:tcPr>
                <w:p w14:paraId="4E0A386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rPr>
                    <w:drawing>
                      <wp:inline distT="0" distB="0" distL="114300" distR="114300">
                        <wp:extent cx="2499995" cy="1259840"/>
                        <wp:effectExtent l="0" t="0" r="14605" b="16510"/>
                        <wp:docPr id="12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9"/>
                                <pic:cNvPicPr>
                                  <a:picLocks noChangeAspect="1"/>
                                </pic:cNvPicPr>
                              </pic:nvPicPr>
                              <pic:blipFill>
                                <a:blip r:embed="rId70"/>
                                <a:stretch>
                                  <a:fillRect/>
                                </a:stretch>
                              </pic:blipFill>
                              <pic:spPr>
                                <a:xfrm>
                                  <a:off x="0" y="0"/>
                                  <a:ext cx="2499995" cy="1259840"/>
                                </a:xfrm>
                                <a:prstGeom prst="rect">
                                  <a:avLst/>
                                </a:prstGeom>
                                <a:noFill/>
                                <a:ln>
                                  <a:noFill/>
                                </a:ln>
                              </pic:spPr>
                            </pic:pic>
                          </a:graphicData>
                        </a:graphic>
                      </wp:inline>
                    </w:drawing>
                  </w:r>
                </w:p>
              </w:tc>
            </w:tr>
            <w:tr w14:paraId="3CB81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25680D7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14.0m</w:t>
                  </w:r>
                </w:p>
              </w:tc>
              <w:tc>
                <w:tcPr>
                  <w:tcW w:w="2517" w:type="pct"/>
                  <w:vAlign w:val="top"/>
                </w:tcPr>
                <w:p w14:paraId="0F4DE3D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14.0</w:t>
                  </w:r>
                  <w:r>
                    <w:rPr>
                      <w:rFonts w:hint="default" w:ascii="Times New Roman" w:hAnsi="Times New Roman" w:eastAsia="宋体" w:cs="Times New Roman"/>
                      <w:color w:val="000000" w:themeColor="text1"/>
                      <w:lang w:val="en-US" w:eastAsia="zh-CN"/>
                      <w14:textFill>
                        <w14:solidFill>
                          <w14:schemeClr w14:val="tx1"/>
                        </w14:solidFill>
                      </w14:textFill>
                    </w:rPr>
                    <w:t>m</w:t>
                  </w:r>
                </w:p>
              </w:tc>
            </w:tr>
          </w:tbl>
          <w:p w14:paraId="44507AE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图 8 </w:t>
            </w:r>
            <w:r>
              <w:rPr>
                <w:rFonts w:hint="eastAsia" w:cs="Times New Roman"/>
                <w:b/>
                <w:bCs/>
                <w:color w:val="000000" w:themeColor="text1"/>
                <w:kern w:val="2"/>
                <w:sz w:val="24"/>
                <w:szCs w:val="24"/>
                <w:lang w:val="en-US" w:eastAsia="zh-CN" w:bidi="ar-SA"/>
                <w14:textFill>
                  <w14:solidFill>
                    <w14:schemeClr w14:val="tx1"/>
                  </w14:solidFill>
                </w14:textFill>
              </w:rPr>
              <w:t>22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0kV输电线路（SDJ）电磁等值线图</w:t>
            </w:r>
          </w:p>
          <w:p w14:paraId="03F3C99D">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根据</w:t>
            </w:r>
            <w:r>
              <w:rPr>
                <w:rFonts w:hint="eastAsia" w:cs="Times New Roman"/>
                <w:b w:val="0"/>
                <w:bCs w:val="0"/>
                <w:color w:val="000000" w:themeColor="text1"/>
                <w:kern w:val="2"/>
                <w:sz w:val="24"/>
                <w:szCs w:val="24"/>
                <w:lang w:val="en-US" w:eastAsia="zh-CN" w:bidi="ar-SA"/>
                <w14:textFill>
                  <w14:solidFill>
                    <w14:schemeClr w14:val="tx1"/>
                  </w14:solidFill>
                </w14:textFill>
              </w:rPr>
              <w:t>理论计算结果</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可知</w:t>
            </w:r>
            <w:r>
              <w:rPr>
                <w:rFonts w:hint="eastAsia" w:cs="Times New Roman"/>
                <w:b w:val="0"/>
                <w:bCs w:val="0"/>
                <w:color w:val="000000" w:themeColor="text1"/>
                <w:kern w:val="2"/>
                <w:sz w:val="24"/>
                <w:szCs w:val="24"/>
                <w:lang w:val="en-US" w:eastAsia="zh-CN" w:bidi="ar-SA"/>
                <w14:textFill>
                  <w14:solidFill>
                    <w14:schemeClr w14:val="tx1"/>
                  </w14:solidFill>
                </w14:textFill>
              </w:rPr>
              <w:t>：</w:t>
            </w:r>
          </w:p>
          <w:p w14:paraId="1A2C8EFD">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FF0000"/>
                <w:sz w:val="24"/>
                <w:szCs w:val="24"/>
                <w:lang w:val="en-US" w:eastAsia="zh-CN"/>
              </w:rPr>
            </w:pPr>
            <w:r>
              <w:rPr>
                <w:rFonts w:hint="eastAsia" w:cs="Times New Roman"/>
                <w:b w:val="0"/>
                <w:bCs w:val="0"/>
                <w:color w:val="FF0000"/>
                <w:sz w:val="24"/>
                <w:szCs w:val="24"/>
                <w:lang w:val="en-US" w:eastAsia="zh-CN"/>
              </w:rPr>
              <w:t>SDJ：在</w:t>
            </w:r>
            <w:r>
              <w:rPr>
                <w:rFonts w:hint="default" w:ascii="Times New Roman" w:hAnsi="Times New Roman" w:cs="Times New Roman"/>
                <w:b w:val="0"/>
                <w:bCs w:val="0"/>
                <w:color w:val="FF0000"/>
                <w:sz w:val="24"/>
                <w:szCs w:val="24"/>
                <w:lang w:val="en-US" w:eastAsia="zh-CN"/>
              </w:rPr>
              <w:t>预测高度为6.</w:t>
            </w:r>
            <w:r>
              <w:rPr>
                <w:rFonts w:hint="eastAsia" w:cs="Times New Roman"/>
                <w:b w:val="0"/>
                <w:bCs w:val="0"/>
                <w:color w:val="FF0000"/>
                <w:sz w:val="24"/>
                <w:szCs w:val="24"/>
                <w:lang w:val="en-US" w:eastAsia="zh-CN"/>
              </w:rPr>
              <w:t>5</w:t>
            </w:r>
            <w:r>
              <w:rPr>
                <w:rFonts w:hint="default" w:ascii="Times New Roman" w:hAnsi="Times New Roman" w:cs="Times New Roman"/>
                <w:b w:val="0"/>
                <w:bCs w:val="0"/>
                <w:color w:val="FF0000"/>
                <w:sz w:val="24"/>
                <w:szCs w:val="24"/>
                <w:lang w:val="en-US" w:eastAsia="zh-CN"/>
              </w:rPr>
              <w:t>m的情况下，</w:t>
            </w:r>
            <w:r>
              <w:rPr>
                <w:rFonts w:hint="eastAsia" w:ascii="Times New Roman" w:hAnsi="Times New Roman" w:eastAsia="宋体" w:cs="Times New Roman"/>
                <w:b w:val="0"/>
                <w:bCs w:val="0"/>
                <w:color w:val="FF0000"/>
                <w:kern w:val="2"/>
                <w:sz w:val="24"/>
                <w:szCs w:val="24"/>
                <w:lang w:val="en-US" w:eastAsia="zh-CN" w:bidi="ar-SA"/>
              </w:rPr>
              <w:t>本工程</w:t>
            </w:r>
            <w:r>
              <w:rPr>
                <w:rFonts w:hint="eastAsia" w:cs="Times New Roman"/>
                <w:b w:val="0"/>
                <w:bCs w:val="0"/>
                <w:color w:val="FF0000"/>
                <w:kern w:val="2"/>
                <w:sz w:val="24"/>
                <w:szCs w:val="24"/>
                <w:lang w:val="en-US" w:eastAsia="zh-CN" w:bidi="ar-SA"/>
              </w:rPr>
              <w:t>220kV双回路</w:t>
            </w:r>
            <w:r>
              <w:rPr>
                <w:rFonts w:hint="eastAsia" w:ascii="Times New Roman" w:hAnsi="Times New Roman" w:eastAsia="宋体" w:cs="Times New Roman"/>
                <w:b w:val="0"/>
                <w:bCs w:val="0"/>
                <w:color w:val="FF0000"/>
                <w:kern w:val="2"/>
                <w:sz w:val="24"/>
                <w:szCs w:val="24"/>
                <w:lang w:val="en-US" w:eastAsia="zh-CN" w:bidi="ar-SA"/>
              </w:rPr>
              <w:t>架空</w:t>
            </w:r>
            <w:r>
              <w:rPr>
                <w:rFonts w:hint="eastAsia" w:cs="Times New Roman"/>
                <w:b w:val="0"/>
                <w:bCs w:val="0"/>
                <w:color w:val="FF0000"/>
                <w:kern w:val="2"/>
                <w:sz w:val="24"/>
                <w:szCs w:val="24"/>
                <w:lang w:val="en-US" w:eastAsia="zh-CN" w:bidi="ar-SA"/>
              </w:rPr>
              <w:t>新建</w:t>
            </w:r>
            <w:r>
              <w:rPr>
                <w:rFonts w:hint="eastAsia" w:ascii="Times New Roman" w:hAnsi="Times New Roman" w:eastAsia="宋体" w:cs="Times New Roman"/>
                <w:b w:val="0"/>
                <w:bCs w:val="0"/>
                <w:color w:val="FF0000"/>
                <w:kern w:val="2"/>
                <w:sz w:val="24"/>
                <w:szCs w:val="24"/>
                <w:lang w:val="en-US" w:eastAsia="zh-CN" w:bidi="ar-SA"/>
              </w:rPr>
              <w:t>线路对地1.5m高度预测产生的电场强度最大为5718.52V/m，磁感应强度最大为37.46</w:t>
            </w:r>
            <w:r>
              <w:rPr>
                <w:rFonts w:hint="default" w:ascii="Times New Roman" w:hAnsi="Times New Roman" w:eastAsia="宋体" w:cs="Times New Roman"/>
                <w:b w:val="0"/>
                <w:bCs w:val="0"/>
                <w:color w:val="FF0000"/>
                <w:kern w:val="2"/>
                <w:sz w:val="24"/>
                <w:szCs w:val="24"/>
                <w:lang w:val="en-US" w:eastAsia="zh-CN" w:bidi="ar-SA"/>
              </w:rPr>
              <w:t>μT</w:t>
            </w:r>
            <w:r>
              <w:rPr>
                <w:rFonts w:hint="eastAsia" w:cs="Times New Roman"/>
                <w:b w:val="0"/>
                <w:bCs w:val="0"/>
                <w:color w:val="FF0000"/>
                <w:kern w:val="2"/>
                <w:sz w:val="24"/>
                <w:szCs w:val="24"/>
                <w:lang w:val="en-US" w:eastAsia="zh-CN" w:bidi="ar-SA"/>
              </w:rPr>
              <w:t>，满足《电磁环境控制限值》（GB 8702-2014）中耕地、园地、牧草地、畜禽饲养地、养殖水面、道路等非居民区场所工频电场强度10kV/m、磁感应强度100µT的限值要求。</w:t>
            </w:r>
            <w:r>
              <w:rPr>
                <w:rFonts w:hint="eastAsia" w:cs="Times New Roman"/>
                <w:b w:val="0"/>
                <w:bCs w:val="0"/>
                <w:color w:val="FF0000"/>
                <w:sz w:val="24"/>
                <w:szCs w:val="24"/>
                <w:lang w:val="en-US" w:eastAsia="zh-CN"/>
              </w:rPr>
              <w:t>在</w:t>
            </w:r>
            <w:r>
              <w:rPr>
                <w:rFonts w:hint="default" w:ascii="Times New Roman" w:hAnsi="Times New Roman" w:cs="Times New Roman"/>
                <w:b w:val="0"/>
                <w:bCs w:val="0"/>
                <w:color w:val="FF0000"/>
                <w:sz w:val="24"/>
                <w:szCs w:val="24"/>
                <w:lang w:val="en-US" w:eastAsia="zh-CN"/>
              </w:rPr>
              <w:t>预测高度为</w:t>
            </w:r>
            <w:r>
              <w:rPr>
                <w:rFonts w:hint="eastAsia" w:cs="Times New Roman"/>
                <w:b w:val="0"/>
                <w:bCs w:val="0"/>
                <w:color w:val="FF0000"/>
                <w:sz w:val="24"/>
                <w:szCs w:val="24"/>
                <w:lang w:val="en-US" w:eastAsia="zh-CN"/>
              </w:rPr>
              <w:t>7.5</w:t>
            </w:r>
            <w:r>
              <w:rPr>
                <w:rFonts w:hint="default" w:ascii="Times New Roman" w:hAnsi="Times New Roman" w:cs="Times New Roman"/>
                <w:b w:val="0"/>
                <w:bCs w:val="0"/>
                <w:color w:val="FF0000"/>
                <w:sz w:val="24"/>
                <w:szCs w:val="24"/>
                <w:lang w:val="en-US" w:eastAsia="zh-CN"/>
              </w:rPr>
              <w:t>m的情况下，</w:t>
            </w:r>
            <w:r>
              <w:rPr>
                <w:rFonts w:hint="eastAsia" w:ascii="Times New Roman" w:hAnsi="Times New Roman" w:eastAsia="宋体" w:cs="Times New Roman"/>
                <w:b w:val="0"/>
                <w:bCs w:val="0"/>
                <w:color w:val="FF0000"/>
                <w:kern w:val="2"/>
                <w:sz w:val="24"/>
                <w:szCs w:val="24"/>
                <w:lang w:val="en-US" w:eastAsia="zh-CN" w:bidi="ar-SA"/>
              </w:rPr>
              <w:t>本工程</w:t>
            </w:r>
            <w:r>
              <w:rPr>
                <w:rFonts w:hint="eastAsia" w:cs="Times New Roman"/>
                <w:b w:val="0"/>
                <w:bCs w:val="0"/>
                <w:color w:val="FF0000"/>
                <w:kern w:val="2"/>
                <w:sz w:val="24"/>
                <w:szCs w:val="24"/>
                <w:lang w:val="en-US" w:eastAsia="zh-CN" w:bidi="ar-SA"/>
              </w:rPr>
              <w:t>220双回路</w:t>
            </w:r>
            <w:r>
              <w:rPr>
                <w:rFonts w:hint="eastAsia" w:ascii="Times New Roman" w:hAnsi="Times New Roman" w:eastAsia="宋体" w:cs="Times New Roman"/>
                <w:b w:val="0"/>
                <w:bCs w:val="0"/>
                <w:color w:val="FF0000"/>
                <w:kern w:val="2"/>
                <w:sz w:val="24"/>
                <w:szCs w:val="24"/>
                <w:lang w:val="en-US" w:eastAsia="zh-CN" w:bidi="ar-SA"/>
              </w:rPr>
              <w:t>架空</w:t>
            </w:r>
            <w:r>
              <w:rPr>
                <w:rFonts w:hint="eastAsia" w:cs="Times New Roman"/>
                <w:b w:val="0"/>
                <w:bCs w:val="0"/>
                <w:color w:val="FF0000"/>
                <w:kern w:val="2"/>
                <w:sz w:val="24"/>
                <w:szCs w:val="24"/>
                <w:lang w:val="en-US" w:eastAsia="zh-CN" w:bidi="ar-SA"/>
              </w:rPr>
              <w:t>新建</w:t>
            </w:r>
            <w:r>
              <w:rPr>
                <w:rFonts w:hint="eastAsia" w:ascii="Times New Roman" w:hAnsi="Times New Roman" w:eastAsia="宋体" w:cs="Times New Roman"/>
                <w:b w:val="0"/>
                <w:bCs w:val="0"/>
                <w:color w:val="FF0000"/>
                <w:kern w:val="2"/>
                <w:sz w:val="24"/>
                <w:szCs w:val="24"/>
                <w:lang w:val="en-US" w:eastAsia="zh-CN" w:bidi="ar-SA"/>
              </w:rPr>
              <w:t>线路对地1.5m高度预测产生的电场强度最大为4661.91V/m，磁感应强度最大为30.11</w:t>
            </w:r>
            <w:r>
              <w:rPr>
                <w:rFonts w:hint="default" w:ascii="Times New Roman" w:hAnsi="Times New Roman" w:eastAsia="宋体" w:cs="Times New Roman"/>
                <w:b w:val="0"/>
                <w:bCs w:val="0"/>
                <w:color w:val="FF0000"/>
                <w:kern w:val="2"/>
                <w:sz w:val="24"/>
                <w:szCs w:val="24"/>
                <w:lang w:val="en-US" w:eastAsia="zh-CN" w:bidi="ar-SA"/>
              </w:rPr>
              <w:t>μT</w:t>
            </w:r>
            <w:r>
              <w:rPr>
                <w:rFonts w:hint="eastAsia" w:cs="Times New Roman"/>
                <w:b w:val="0"/>
                <w:bCs w:val="0"/>
                <w:color w:val="FF0000"/>
                <w:kern w:val="2"/>
                <w:sz w:val="24"/>
                <w:szCs w:val="24"/>
                <w:lang w:val="en-US" w:eastAsia="zh-CN" w:bidi="ar-SA"/>
              </w:rPr>
              <w:t>，不</w:t>
            </w:r>
            <w:r>
              <w:rPr>
                <w:rFonts w:hint="eastAsia" w:ascii="Times New Roman" w:hAnsi="Times New Roman" w:eastAsia="宋体" w:cs="Times New Roman"/>
                <w:b w:val="0"/>
                <w:bCs w:val="0"/>
                <w:color w:val="FF0000"/>
                <w:sz w:val="24"/>
                <w:szCs w:val="24"/>
                <w:lang w:val="en-US" w:eastAsia="zh-CN"/>
              </w:rPr>
              <w:t>满足《电磁环境控制限值》（GB 8702-2014）要求电场强度</w:t>
            </w:r>
            <w:r>
              <w:rPr>
                <w:rFonts w:hint="eastAsia" w:cs="Times New Roman"/>
                <w:b w:val="0"/>
                <w:bCs w:val="0"/>
                <w:color w:val="FF0000"/>
                <w:sz w:val="24"/>
                <w:szCs w:val="24"/>
                <w:lang w:val="en-US" w:eastAsia="zh-CN"/>
              </w:rPr>
              <w:t>4000</w:t>
            </w:r>
            <w:r>
              <w:rPr>
                <w:rFonts w:hint="eastAsia" w:ascii="Times New Roman" w:hAnsi="Times New Roman" w:eastAsia="宋体" w:cs="Times New Roman"/>
                <w:b w:val="0"/>
                <w:bCs w:val="0"/>
                <w:color w:val="FF0000"/>
                <w:sz w:val="24"/>
                <w:szCs w:val="24"/>
                <w:lang w:val="en-US" w:eastAsia="zh-CN"/>
              </w:rPr>
              <w:t>V/m，满足《电磁环境控制限值》（GB 8702-2014）要求磁感应强度100</w:t>
            </w:r>
            <w:r>
              <w:rPr>
                <w:rFonts w:hint="default" w:ascii="Times New Roman" w:hAnsi="Times New Roman" w:eastAsia="宋体" w:cs="Times New Roman"/>
                <w:b w:val="0"/>
                <w:bCs w:val="0"/>
                <w:color w:val="FF0000"/>
                <w:sz w:val="24"/>
                <w:szCs w:val="24"/>
                <w:lang w:val="en-US" w:eastAsia="zh-CN"/>
              </w:rPr>
              <w:t>μT</w:t>
            </w:r>
            <w:r>
              <w:rPr>
                <w:rFonts w:hint="eastAsia" w:ascii="Times New Roman" w:hAnsi="Times New Roman" w:eastAsia="宋体" w:cs="Times New Roman"/>
                <w:b w:val="0"/>
                <w:bCs w:val="0"/>
                <w:color w:val="FF0000"/>
                <w:sz w:val="24"/>
                <w:szCs w:val="24"/>
                <w:lang w:val="en-US" w:eastAsia="zh-CN"/>
              </w:rPr>
              <w:t>。</w:t>
            </w:r>
          </w:p>
          <w:p w14:paraId="6D75D0F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FF0000"/>
                <w:sz w:val="24"/>
                <w:szCs w:val="24"/>
                <w:lang w:val="en-US" w:eastAsia="zh-CN"/>
              </w:rPr>
            </w:pPr>
            <w:r>
              <w:rPr>
                <w:rFonts w:hint="eastAsia" w:ascii="Times New Roman" w:hAnsi="Times New Roman" w:eastAsia="宋体" w:cs="Times New Roman"/>
                <w:b w:val="0"/>
                <w:bCs w:val="0"/>
                <w:color w:val="FF0000"/>
                <w:sz w:val="24"/>
                <w:szCs w:val="24"/>
                <w:lang w:val="en-US" w:eastAsia="zh-CN"/>
              </w:rPr>
              <w:t>本项目</w:t>
            </w:r>
            <w:r>
              <w:rPr>
                <w:rFonts w:hint="eastAsia" w:cs="Times New Roman"/>
                <w:b w:val="0"/>
                <w:bCs w:val="0"/>
                <w:color w:val="FF0000"/>
                <w:sz w:val="24"/>
                <w:szCs w:val="24"/>
                <w:lang w:val="en-US" w:eastAsia="zh-CN"/>
              </w:rPr>
              <w:t>在实际</w:t>
            </w:r>
            <w:r>
              <w:rPr>
                <w:rFonts w:hint="default" w:ascii="Times New Roman" w:hAnsi="Times New Roman" w:cs="Times New Roman"/>
                <w:b w:val="0"/>
                <w:bCs w:val="0"/>
                <w:color w:val="FF0000"/>
                <w:sz w:val="24"/>
                <w:szCs w:val="24"/>
                <w:lang w:val="en-US" w:eastAsia="zh-CN"/>
              </w:rPr>
              <w:t>高度为</w:t>
            </w:r>
            <w:r>
              <w:rPr>
                <w:rFonts w:hint="eastAsia" w:cs="Times New Roman"/>
                <w:b w:val="0"/>
                <w:bCs w:val="0"/>
                <w:color w:val="FF0000"/>
                <w:sz w:val="24"/>
                <w:szCs w:val="24"/>
                <w:highlight w:val="none"/>
                <w:lang w:val="en-US" w:eastAsia="zh-CN"/>
              </w:rPr>
              <w:t>14.0</w:t>
            </w:r>
            <w:r>
              <w:rPr>
                <w:rFonts w:hint="default" w:ascii="Times New Roman" w:hAnsi="Times New Roman" w:cs="Times New Roman"/>
                <w:b w:val="0"/>
                <w:bCs w:val="0"/>
                <w:color w:val="FF0000"/>
                <w:sz w:val="24"/>
                <w:szCs w:val="24"/>
                <w:highlight w:val="none"/>
                <w:lang w:val="en-US" w:eastAsia="zh-CN"/>
              </w:rPr>
              <w:t>m</w:t>
            </w:r>
            <w:r>
              <w:rPr>
                <w:rFonts w:hint="default" w:ascii="Times New Roman" w:hAnsi="Times New Roman" w:cs="Times New Roman"/>
                <w:b w:val="0"/>
                <w:bCs w:val="0"/>
                <w:color w:val="FF0000"/>
                <w:sz w:val="24"/>
                <w:szCs w:val="24"/>
                <w:lang w:val="en-US" w:eastAsia="zh-CN"/>
              </w:rPr>
              <w:t>的情况下，</w:t>
            </w:r>
            <w:r>
              <w:rPr>
                <w:rFonts w:hint="eastAsia" w:ascii="Times New Roman" w:hAnsi="Times New Roman" w:eastAsia="宋体" w:cs="Times New Roman"/>
                <w:b w:val="0"/>
                <w:bCs w:val="0"/>
                <w:color w:val="FF0000"/>
                <w:kern w:val="2"/>
                <w:sz w:val="24"/>
                <w:szCs w:val="24"/>
                <w:lang w:val="en-US" w:eastAsia="zh-CN" w:bidi="ar-SA"/>
              </w:rPr>
              <w:t>本工程</w:t>
            </w:r>
            <w:r>
              <w:rPr>
                <w:rFonts w:hint="eastAsia" w:cs="Times New Roman"/>
                <w:b w:val="0"/>
                <w:bCs w:val="0"/>
                <w:color w:val="FF0000"/>
                <w:kern w:val="2"/>
                <w:sz w:val="24"/>
                <w:szCs w:val="24"/>
                <w:lang w:val="en-US" w:eastAsia="zh-CN" w:bidi="ar-SA"/>
              </w:rPr>
              <w:t>220kV双回路</w:t>
            </w:r>
            <w:r>
              <w:rPr>
                <w:rFonts w:hint="eastAsia" w:ascii="Times New Roman" w:hAnsi="Times New Roman" w:eastAsia="宋体" w:cs="Times New Roman"/>
                <w:b w:val="0"/>
                <w:bCs w:val="0"/>
                <w:color w:val="FF0000"/>
                <w:kern w:val="2"/>
                <w:sz w:val="24"/>
                <w:szCs w:val="24"/>
                <w:lang w:val="en-US" w:eastAsia="zh-CN" w:bidi="ar-SA"/>
              </w:rPr>
              <w:t>架空</w:t>
            </w:r>
            <w:r>
              <w:rPr>
                <w:rFonts w:hint="eastAsia" w:cs="Times New Roman"/>
                <w:b w:val="0"/>
                <w:bCs w:val="0"/>
                <w:color w:val="FF0000"/>
                <w:kern w:val="2"/>
                <w:sz w:val="24"/>
                <w:szCs w:val="24"/>
                <w:lang w:val="en-US" w:eastAsia="zh-CN" w:bidi="ar-SA"/>
              </w:rPr>
              <w:t>新建</w:t>
            </w:r>
            <w:r>
              <w:rPr>
                <w:rFonts w:hint="eastAsia" w:ascii="Times New Roman" w:hAnsi="Times New Roman" w:eastAsia="宋体" w:cs="Times New Roman"/>
                <w:b w:val="0"/>
                <w:bCs w:val="0"/>
                <w:color w:val="FF0000"/>
                <w:kern w:val="2"/>
                <w:sz w:val="24"/>
                <w:szCs w:val="24"/>
                <w:lang w:val="en-US" w:eastAsia="zh-CN" w:bidi="ar-SA"/>
              </w:rPr>
              <w:t>线路对地1.5m高度预测产生的电场强度最大为2178.06V/m，磁感应强度最大为12.95</w:t>
            </w:r>
            <w:r>
              <w:rPr>
                <w:rFonts w:hint="default" w:ascii="Times New Roman" w:hAnsi="Times New Roman" w:eastAsia="宋体" w:cs="Times New Roman"/>
                <w:b w:val="0"/>
                <w:bCs w:val="0"/>
                <w:color w:val="FF0000"/>
                <w:kern w:val="2"/>
                <w:sz w:val="24"/>
                <w:szCs w:val="24"/>
                <w:lang w:val="en-US" w:eastAsia="zh-CN" w:bidi="ar-SA"/>
              </w:rPr>
              <w:t>μT</w:t>
            </w:r>
            <w:r>
              <w:rPr>
                <w:rFonts w:hint="eastAsia" w:cs="Times New Roman"/>
                <w:b w:val="0"/>
                <w:bCs w:val="0"/>
                <w:color w:val="FF0000"/>
                <w:kern w:val="2"/>
                <w:sz w:val="24"/>
                <w:szCs w:val="24"/>
                <w:lang w:val="en-US" w:eastAsia="zh-CN" w:bidi="ar-SA"/>
              </w:rPr>
              <w:t>，</w:t>
            </w:r>
            <w:r>
              <w:rPr>
                <w:rFonts w:hint="eastAsia" w:ascii="Times New Roman" w:hAnsi="Times New Roman" w:eastAsia="宋体" w:cs="Times New Roman"/>
                <w:b w:val="0"/>
                <w:bCs w:val="0"/>
                <w:color w:val="FF0000"/>
                <w:sz w:val="24"/>
                <w:szCs w:val="24"/>
                <w:lang w:val="en-US" w:eastAsia="zh-CN"/>
              </w:rPr>
              <w:t>满足《电磁环境控制限值》（GB 8702-2014）要求（电场强度</w:t>
            </w:r>
            <w:r>
              <w:rPr>
                <w:rFonts w:hint="eastAsia" w:cs="Times New Roman"/>
                <w:b w:val="0"/>
                <w:bCs w:val="0"/>
                <w:color w:val="FF0000"/>
                <w:sz w:val="24"/>
                <w:szCs w:val="24"/>
                <w:lang w:val="en-US" w:eastAsia="zh-CN"/>
              </w:rPr>
              <w:t>4000</w:t>
            </w:r>
            <w:r>
              <w:rPr>
                <w:rFonts w:hint="eastAsia" w:ascii="Times New Roman" w:hAnsi="Times New Roman" w:eastAsia="宋体" w:cs="Times New Roman"/>
                <w:b w:val="0"/>
                <w:bCs w:val="0"/>
                <w:color w:val="FF0000"/>
                <w:sz w:val="24"/>
                <w:szCs w:val="24"/>
                <w:lang w:val="en-US" w:eastAsia="zh-CN"/>
              </w:rPr>
              <w:t>V/m，磁感应强度100</w:t>
            </w:r>
            <w:r>
              <w:rPr>
                <w:rFonts w:hint="default" w:ascii="Times New Roman" w:hAnsi="Times New Roman" w:eastAsia="宋体" w:cs="Times New Roman"/>
                <w:b w:val="0"/>
                <w:bCs w:val="0"/>
                <w:color w:val="FF0000"/>
                <w:sz w:val="24"/>
                <w:szCs w:val="24"/>
                <w:lang w:val="en-US" w:eastAsia="zh-CN"/>
              </w:rPr>
              <w:t>μT</w:t>
            </w:r>
            <w:r>
              <w:rPr>
                <w:rFonts w:hint="eastAsia" w:ascii="Times New Roman" w:hAnsi="Times New Roman" w:eastAsia="宋体" w:cs="Times New Roman"/>
                <w:b w:val="0"/>
                <w:bCs w:val="0"/>
                <w:color w:val="FF0000"/>
                <w:sz w:val="24"/>
                <w:szCs w:val="24"/>
                <w:lang w:val="en-US" w:eastAsia="zh-CN"/>
              </w:rPr>
              <w:t>）。</w:t>
            </w:r>
          </w:p>
          <w:p w14:paraId="6AF910B8">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③22</w:t>
            </w:r>
            <w:r>
              <w:rPr>
                <w:rFonts w:hint="default"/>
                <w:color w:val="000000" w:themeColor="text1"/>
                <w:sz w:val="24"/>
                <w:highlight w:val="none"/>
                <w14:textFill>
                  <w14:solidFill>
                    <w14:schemeClr w14:val="tx1"/>
                  </w14:solidFill>
                </w14:textFill>
              </w:rPr>
              <w:t>0kV</w:t>
            </w:r>
            <w:r>
              <w:rPr>
                <w:rFonts w:hint="eastAsia"/>
                <w:color w:val="000000" w:themeColor="text1"/>
                <w:sz w:val="24"/>
                <w:highlight w:val="none"/>
                <w:lang w:val="en-US" w:eastAsia="zh-CN"/>
                <w14:textFill>
                  <w14:solidFill>
                    <w14:schemeClr w14:val="tx1"/>
                  </w14:solidFill>
                </w14:textFill>
              </w:rPr>
              <w:t>改造</w:t>
            </w:r>
            <w:r>
              <w:rPr>
                <w:rFonts w:hint="default"/>
                <w:color w:val="000000" w:themeColor="text1"/>
                <w:sz w:val="24"/>
                <w:highlight w:val="none"/>
                <w14:textFill>
                  <w14:solidFill>
                    <w14:schemeClr w14:val="tx1"/>
                  </w14:solidFill>
                </w14:textFill>
              </w:rPr>
              <w:t>输电线路</w:t>
            </w:r>
            <w:r>
              <w:rPr>
                <w:rFonts w:hint="eastAsia"/>
                <w:color w:val="000000" w:themeColor="text1"/>
                <w:sz w:val="24"/>
                <w:highlight w:val="none"/>
                <w14:textFill>
                  <w14:solidFill>
                    <w14:schemeClr w14:val="tx1"/>
                  </w14:solidFill>
                </w14:textFill>
              </w:rPr>
              <w:t>（220-ED21D-DJ）</w:t>
            </w:r>
            <w:r>
              <w:rPr>
                <w:rFonts w:hint="default"/>
                <w:color w:val="000000" w:themeColor="text1"/>
                <w:sz w:val="24"/>
                <w:highlight w:val="none"/>
                <w14:textFill>
                  <w14:solidFill>
                    <w14:schemeClr w14:val="tx1"/>
                  </w14:solidFill>
                </w14:textFill>
              </w:rPr>
              <w:t>工频电场、工频磁感应强度值理论计算见</w:t>
            </w:r>
            <w:r>
              <w:rPr>
                <w:rFonts w:hint="eastAsia"/>
                <w:color w:val="000000" w:themeColor="text1"/>
                <w:sz w:val="24"/>
                <w:highlight w:val="none"/>
                <w14:textFill>
                  <w14:solidFill>
                    <w14:schemeClr w14:val="tx1"/>
                  </w14:solidFill>
                </w14:textFill>
              </w:rPr>
              <w:t>下表，根据计算结果绘制的工频电场强度、工频磁感应强度分布趋势图</w:t>
            </w:r>
            <w:r>
              <w:rPr>
                <w:rFonts w:hint="default"/>
                <w:color w:val="000000" w:themeColor="text1"/>
                <w:sz w:val="24"/>
                <w:highlight w:val="none"/>
                <w14:textFill>
                  <w14:solidFill>
                    <w14:schemeClr w14:val="tx1"/>
                  </w14:solidFill>
                </w14:textFill>
              </w:rPr>
              <w:t>。</w:t>
            </w:r>
          </w:p>
          <w:p w14:paraId="49246334">
            <w:pPr>
              <w:pStyle w:val="2"/>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color w:val="000000" w:themeColor="text1"/>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表 </w:t>
            </w:r>
            <w:r>
              <w:rPr>
                <w:rFonts w:hint="eastAsia" w:eastAsia="宋体" w:cs="Times New Roman"/>
                <w:b/>
                <w:bCs/>
                <w:color w:val="000000" w:themeColor="text1"/>
                <w:kern w:val="2"/>
                <w:sz w:val="24"/>
                <w:szCs w:val="24"/>
                <w:lang w:val="en-US" w:eastAsia="zh-CN" w:bidi="ar-SA"/>
                <w14:textFill>
                  <w14:solidFill>
                    <w14:schemeClr w14:val="tx1"/>
                  </w14:solidFill>
                </w14:textFill>
              </w:rPr>
              <w:t>11</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拟</w:t>
            </w:r>
            <w:r>
              <w:rPr>
                <w:rFonts w:hint="eastAsia" w:eastAsia="宋体" w:cs="Times New Roman"/>
                <w:b/>
                <w:bCs/>
                <w:color w:val="000000" w:themeColor="text1"/>
                <w:kern w:val="2"/>
                <w:sz w:val="24"/>
                <w:szCs w:val="24"/>
                <w:lang w:val="en-US" w:eastAsia="zh-CN" w:bidi="ar-SA"/>
                <w14:textFill>
                  <w14:solidFill>
                    <w14:schemeClr w14:val="tx1"/>
                  </w14:solidFill>
                </w14:textFill>
              </w:rPr>
              <w:t>改造</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输电线路工频电场、工频磁感应强度理论计算结果</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2"/>
              <w:gridCol w:w="1256"/>
              <w:gridCol w:w="1139"/>
              <w:gridCol w:w="1027"/>
              <w:gridCol w:w="1139"/>
              <w:gridCol w:w="1027"/>
              <w:gridCol w:w="1139"/>
              <w:gridCol w:w="1027"/>
            </w:tblGrid>
            <w:tr w14:paraId="0415C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Merge w:val="restart"/>
                  <w:vAlign w:val="center"/>
                </w:tcPr>
                <w:p w14:paraId="13EBB6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序号</w:t>
                  </w:r>
                </w:p>
              </w:tc>
              <w:tc>
                <w:tcPr>
                  <w:tcW w:w="1256" w:type="dxa"/>
                  <w:vAlign w:val="center"/>
                </w:tcPr>
                <w:p w14:paraId="5C8C07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预测塔型</w:t>
                  </w:r>
                </w:p>
              </w:tc>
              <w:tc>
                <w:tcPr>
                  <w:tcW w:w="6498" w:type="dxa"/>
                  <w:gridSpan w:val="6"/>
                  <w:vAlign w:val="center"/>
                </w:tcPr>
                <w:p w14:paraId="2521B7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耐张</w:t>
                  </w:r>
                  <w:r>
                    <w:rPr>
                      <w:rFonts w:hint="eastAsia" w:ascii="Times New Roman" w:hAnsi="Times New Roman" w:eastAsia="宋体" w:cs="Times New Roman"/>
                      <w:color w:val="000000" w:themeColor="text1"/>
                      <w:szCs w:val="21"/>
                      <w14:textFill>
                        <w14:solidFill>
                          <w14:schemeClr w14:val="tx1"/>
                        </w14:solidFill>
                      </w14:textFill>
                    </w:rPr>
                    <w:t>塔：220-ED21D-DJ</w:t>
                  </w:r>
                </w:p>
              </w:tc>
            </w:tr>
            <w:tr w14:paraId="34774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Merge w:val="continue"/>
                  <w:vAlign w:val="center"/>
                </w:tcPr>
                <w:p w14:paraId="438DD7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p>
              </w:tc>
              <w:tc>
                <w:tcPr>
                  <w:tcW w:w="1256" w:type="dxa"/>
                  <w:vAlign w:val="center"/>
                </w:tcPr>
                <w:p w14:paraId="69C661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最小垂直距离</w:t>
                  </w:r>
                </w:p>
              </w:tc>
              <w:tc>
                <w:tcPr>
                  <w:tcW w:w="2166" w:type="dxa"/>
                  <w:gridSpan w:val="2"/>
                  <w:vAlign w:val="center"/>
                </w:tcPr>
                <w:p w14:paraId="2D099F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w:t>
                  </w:r>
                  <w:r>
                    <w:rPr>
                      <w:rFonts w:hint="default" w:ascii="Times New Roman" w:hAnsi="Times New Roman" w:eastAsia="宋体" w:cs="Times New Roman"/>
                      <w:color w:val="000000" w:themeColor="text1"/>
                      <w:szCs w:val="21"/>
                      <w14:textFill>
                        <w14:solidFill>
                          <w14:schemeClr w14:val="tx1"/>
                        </w14:solidFill>
                      </w14:textFill>
                    </w:rPr>
                    <w:t>0kV线路：</w:t>
                  </w:r>
                  <w:r>
                    <w:rPr>
                      <w:rFonts w:hint="eastAsia" w:ascii="Times New Roman" w:hAnsi="Times New Roman" w:eastAsia="宋体" w:cs="Times New Roman"/>
                      <w:color w:val="000000" w:themeColor="text1"/>
                      <w:szCs w:val="21"/>
                      <w14:textFill>
                        <w14:solidFill>
                          <w14:schemeClr w14:val="tx1"/>
                        </w14:solidFill>
                      </w14:textFill>
                    </w:rPr>
                    <w:t>6.</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14:textFill>
                        <w14:solidFill>
                          <w14:schemeClr w14:val="tx1"/>
                        </w14:solidFill>
                      </w14:textFill>
                    </w:rPr>
                    <w:t>m</w:t>
                  </w:r>
                </w:p>
                <w:p w14:paraId="550FE6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（非居民区）</w:t>
                  </w:r>
                </w:p>
              </w:tc>
              <w:tc>
                <w:tcPr>
                  <w:tcW w:w="2166" w:type="dxa"/>
                  <w:gridSpan w:val="2"/>
                  <w:vAlign w:val="center"/>
                </w:tcPr>
                <w:p w14:paraId="158CC1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220</w:t>
                  </w:r>
                  <w:r>
                    <w:rPr>
                      <w:rFonts w:hint="default" w:ascii="Times New Roman" w:hAnsi="Times New Roman" w:eastAsia="宋体" w:cs="Times New Roman"/>
                      <w:color w:val="000000" w:themeColor="text1"/>
                      <w:szCs w:val="21"/>
                      <w14:textFill>
                        <w14:solidFill>
                          <w14:schemeClr w14:val="tx1"/>
                        </w14:solidFill>
                      </w14:textFill>
                    </w:rPr>
                    <w:t>kV线路：</w:t>
                  </w:r>
                  <w:r>
                    <w:rPr>
                      <w:rFonts w:hint="eastAsia" w:ascii="Times New Roman" w:hAnsi="Times New Roman" w:eastAsia="宋体" w:cs="Times New Roman"/>
                      <w:color w:val="000000" w:themeColor="text1"/>
                      <w:szCs w:val="21"/>
                      <w14:textFill>
                        <w14:solidFill>
                          <w14:schemeClr w14:val="tx1"/>
                        </w14:solidFill>
                      </w14:textFill>
                    </w:rPr>
                    <w:t>7.</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14:textFill>
                        <w14:solidFill>
                          <w14:schemeClr w14:val="tx1"/>
                        </w14:solidFill>
                      </w14:textFill>
                    </w:rPr>
                    <w:t>m</w:t>
                  </w:r>
                </w:p>
                <w:p w14:paraId="2EE34C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（居民区）</w:t>
                  </w:r>
                </w:p>
              </w:tc>
              <w:tc>
                <w:tcPr>
                  <w:tcW w:w="2166" w:type="dxa"/>
                  <w:gridSpan w:val="2"/>
                  <w:vAlign w:val="center"/>
                </w:tcPr>
                <w:p w14:paraId="1399134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w:t>
                  </w:r>
                  <w:r>
                    <w:rPr>
                      <w:rFonts w:hint="default" w:ascii="Times New Roman" w:hAnsi="Times New Roman" w:eastAsia="宋体" w:cs="Times New Roman"/>
                      <w:color w:val="000000" w:themeColor="text1"/>
                      <w:szCs w:val="21"/>
                      <w14:textFill>
                        <w14:solidFill>
                          <w14:schemeClr w14:val="tx1"/>
                        </w14:solidFill>
                      </w14:textFill>
                    </w:rPr>
                    <w:t>0kV线路：</w:t>
                  </w:r>
                  <w:r>
                    <w:rPr>
                      <w:rFonts w:hint="eastAsia" w:ascii="Times New Roman" w:hAnsi="Times New Roman" w:eastAsia="宋体" w:cs="Times New Roman"/>
                      <w:color w:val="000000" w:themeColor="text1"/>
                      <w:szCs w:val="21"/>
                      <w:lang w:val="en-US" w:eastAsia="zh-CN"/>
                      <w14:textFill>
                        <w14:solidFill>
                          <w14:schemeClr w14:val="tx1"/>
                        </w14:solidFill>
                      </w14:textFill>
                    </w:rPr>
                    <w:t>16.0</w:t>
                  </w:r>
                  <w:r>
                    <w:rPr>
                      <w:rFonts w:hint="default" w:ascii="Times New Roman" w:hAnsi="Times New Roman" w:eastAsia="宋体" w:cs="Times New Roman"/>
                      <w:color w:val="000000" w:themeColor="text1"/>
                      <w:szCs w:val="21"/>
                      <w14:textFill>
                        <w14:solidFill>
                          <w14:schemeClr w14:val="tx1"/>
                        </w14:solidFill>
                      </w14:textFill>
                    </w:rPr>
                    <w:t>m</w:t>
                  </w:r>
                  <w:r>
                    <w:rPr>
                      <w:rFonts w:hint="eastAsia" w:ascii="Times New Roman" w:hAnsi="Times New Roman" w:eastAsia="宋体" w:cs="Times New Roman"/>
                      <w:color w:val="000000" w:themeColor="text1"/>
                      <w:szCs w:val="21"/>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实际</w:t>
                  </w:r>
                  <w:r>
                    <w:rPr>
                      <w:rFonts w:hint="eastAsia" w:ascii="Times New Roman" w:hAnsi="Times New Roman" w:eastAsia="宋体" w:cs="Times New Roman"/>
                      <w:color w:val="000000" w:themeColor="text1"/>
                      <w:szCs w:val="21"/>
                      <w14:textFill>
                        <w14:solidFill>
                          <w14:schemeClr w14:val="tx1"/>
                        </w14:solidFill>
                      </w14:textFill>
                    </w:rPr>
                    <w:t>）</w:t>
                  </w:r>
                </w:p>
              </w:tc>
            </w:tr>
            <w:tr w14:paraId="0E9D3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Merge w:val="continue"/>
                  <w:vAlign w:val="center"/>
                </w:tcPr>
                <w:p w14:paraId="1348A8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p>
              </w:tc>
              <w:tc>
                <w:tcPr>
                  <w:tcW w:w="1256" w:type="dxa"/>
                  <w:vAlign w:val="center"/>
                </w:tcPr>
                <w:p w14:paraId="05A653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线路中心距离</w:t>
                  </w:r>
                </w:p>
              </w:tc>
              <w:tc>
                <w:tcPr>
                  <w:tcW w:w="1139" w:type="dxa"/>
                  <w:vAlign w:val="center"/>
                </w:tcPr>
                <w:p w14:paraId="2E9E9A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工频电场强度（V/m）</w:t>
                  </w:r>
                </w:p>
              </w:tc>
              <w:tc>
                <w:tcPr>
                  <w:tcW w:w="1027" w:type="dxa"/>
                  <w:vAlign w:val="center"/>
                </w:tcPr>
                <w:p w14:paraId="4410ED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工频磁感应强度（μT）</w:t>
                  </w:r>
                </w:p>
              </w:tc>
              <w:tc>
                <w:tcPr>
                  <w:tcW w:w="1139" w:type="dxa"/>
                  <w:vAlign w:val="center"/>
                </w:tcPr>
                <w:p w14:paraId="727872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工频电场强度（V/m）</w:t>
                  </w:r>
                </w:p>
              </w:tc>
              <w:tc>
                <w:tcPr>
                  <w:tcW w:w="1027" w:type="dxa"/>
                  <w:vAlign w:val="center"/>
                </w:tcPr>
                <w:p w14:paraId="32CA94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工频磁感应强度（μT）</w:t>
                  </w:r>
                </w:p>
              </w:tc>
              <w:tc>
                <w:tcPr>
                  <w:tcW w:w="1139" w:type="dxa"/>
                  <w:vAlign w:val="center"/>
                </w:tcPr>
                <w:p w14:paraId="27A757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工频电场强度（V/m）</w:t>
                  </w:r>
                </w:p>
              </w:tc>
              <w:tc>
                <w:tcPr>
                  <w:tcW w:w="1027" w:type="dxa"/>
                  <w:vAlign w:val="center"/>
                </w:tcPr>
                <w:p w14:paraId="223902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工频磁感应强度（μT）</w:t>
                  </w:r>
                </w:p>
              </w:tc>
            </w:tr>
            <w:tr w14:paraId="20E80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542" w:type="dxa"/>
                  <w:vAlign w:val="center"/>
                </w:tcPr>
                <w:p w14:paraId="61CD97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w:t>
                  </w:r>
                </w:p>
              </w:tc>
              <w:tc>
                <w:tcPr>
                  <w:tcW w:w="1256" w:type="dxa"/>
                  <w:vAlign w:val="center"/>
                </w:tcPr>
                <w:p w14:paraId="4A9D7C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-50,1.5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DF1B8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85.06 </w:t>
                  </w:r>
                </w:p>
              </w:tc>
              <w:tc>
                <w:tcPr>
                  <w:tcW w:w="1027" w:type="dxa"/>
                  <w:vAlign w:val="bottom"/>
                </w:tcPr>
                <w:p w14:paraId="4CEAC1D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1.32 </w:t>
                  </w:r>
                </w:p>
              </w:tc>
              <w:tc>
                <w:tcPr>
                  <w:tcW w:w="1139" w:type="dxa"/>
                  <w:vAlign w:val="bottom"/>
                </w:tcPr>
                <w:p w14:paraId="1BF30CA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86.64 </w:t>
                  </w:r>
                </w:p>
              </w:tc>
              <w:tc>
                <w:tcPr>
                  <w:tcW w:w="1027" w:type="dxa"/>
                  <w:vAlign w:val="bottom"/>
                </w:tcPr>
                <w:p w14:paraId="6B8D60A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1.31 </w:t>
                  </w:r>
                </w:p>
              </w:tc>
              <w:tc>
                <w:tcPr>
                  <w:tcW w:w="1139" w:type="dxa"/>
                  <w:vAlign w:val="bottom"/>
                </w:tcPr>
                <w:p w14:paraId="358EAE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108.90 </w:t>
                  </w:r>
                </w:p>
              </w:tc>
              <w:tc>
                <w:tcPr>
                  <w:tcW w:w="1027" w:type="dxa"/>
                  <w:vAlign w:val="bottom"/>
                </w:tcPr>
                <w:p w14:paraId="14C6B5C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1.22 </w:t>
                  </w:r>
                </w:p>
              </w:tc>
            </w:tr>
            <w:tr w14:paraId="20E8D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0BDDA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w:t>
                  </w:r>
                </w:p>
              </w:tc>
              <w:tc>
                <w:tcPr>
                  <w:tcW w:w="1256" w:type="dxa"/>
                  <w:vAlign w:val="center"/>
                </w:tcPr>
                <w:p w14:paraId="6972A7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-49,1.5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61C82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88.74 </w:t>
                  </w:r>
                </w:p>
              </w:tc>
              <w:tc>
                <w:tcPr>
                  <w:tcW w:w="1027" w:type="dxa"/>
                  <w:vAlign w:val="bottom"/>
                </w:tcPr>
                <w:p w14:paraId="70D59FA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1.38 </w:t>
                  </w:r>
                </w:p>
              </w:tc>
              <w:tc>
                <w:tcPr>
                  <w:tcW w:w="1139" w:type="dxa"/>
                  <w:vAlign w:val="bottom"/>
                </w:tcPr>
                <w:p w14:paraId="14452D8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90.50 </w:t>
                  </w:r>
                </w:p>
              </w:tc>
              <w:tc>
                <w:tcPr>
                  <w:tcW w:w="1027" w:type="dxa"/>
                  <w:vAlign w:val="bottom"/>
                </w:tcPr>
                <w:p w14:paraId="0C77F84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1.37 </w:t>
                  </w:r>
                </w:p>
              </w:tc>
              <w:tc>
                <w:tcPr>
                  <w:tcW w:w="1139" w:type="dxa"/>
                  <w:vAlign w:val="bottom"/>
                </w:tcPr>
                <w:p w14:paraId="437F19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114.32 </w:t>
                  </w:r>
                </w:p>
              </w:tc>
              <w:tc>
                <w:tcPr>
                  <w:tcW w:w="1027" w:type="dxa"/>
                  <w:vAlign w:val="bottom"/>
                </w:tcPr>
                <w:p w14:paraId="4F9CA0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1.27 </w:t>
                  </w:r>
                </w:p>
              </w:tc>
            </w:tr>
            <w:tr w14:paraId="36FD7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51DF7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w:t>
                  </w:r>
                </w:p>
              </w:tc>
              <w:tc>
                <w:tcPr>
                  <w:tcW w:w="1256" w:type="dxa"/>
                  <w:vAlign w:val="center"/>
                </w:tcPr>
                <w:p w14:paraId="020D6A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-48,1.5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85E81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92.68 </w:t>
                  </w:r>
                </w:p>
              </w:tc>
              <w:tc>
                <w:tcPr>
                  <w:tcW w:w="1027" w:type="dxa"/>
                  <w:vAlign w:val="bottom"/>
                </w:tcPr>
                <w:p w14:paraId="17EF1E7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1.43 </w:t>
                  </w:r>
                </w:p>
              </w:tc>
              <w:tc>
                <w:tcPr>
                  <w:tcW w:w="1139" w:type="dxa"/>
                  <w:vAlign w:val="bottom"/>
                </w:tcPr>
                <w:p w14:paraId="214EC78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94.63 </w:t>
                  </w:r>
                </w:p>
              </w:tc>
              <w:tc>
                <w:tcPr>
                  <w:tcW w:w="1027" w:type="dxa"/>
                  <w:vAlign w:val="bottom"/>
                </w:tcPr>
                <w:p w14:paraId="7210F6F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1.43 </w:t>
                  </w:r>
                </w:p>
              </w:tc>
              <w:tc>
                <w:tcPr>
                  <w:tcW w:w="1139" w:type="dxa"/>
                  <w:vAlign w:val="bottom"/>
                </w:tcPr>
                <w:p w14:paraId="5846E4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120.13 </w:t>
                  </w:r>
                </w:p>
              </w:tc>
              <w:tc>
                <w:tcPr>
                  <w:tcW w:w="1027" w:type="dxa"/>
                  <w:vAlign w:val="bottom"/>
                </w:tcPr>
                <w:p w14:paraId="221999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1.31 </w:t>
                  </w:r>
                </w:p>
              </w:tc>
            </w:tr>
            <w:tr w14:paraId="18456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CFD9C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w:t>
                  </w:r>
                </w:p>
              </w:tc>
              <w:tc>
                <w:tcPr>
                  <w:tcW w:w="1256" w:type="dxa"/>
                  <w:vAlign w:val="center"/>
                </w:tcPr>
                <w:p w14:paraId="76E093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289AA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96.89 </w:t>
                  </w:r>
                </w:p>
              </w:tc>
              <w:tc>
                <w:tcPr>
                  <w:tcW w:w="1027" w:type="dxa"/>
                  <w:vAlign w:val="bottom"/>
                </w:tcPr>
                <w:p w14:paraId="38FF84D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1.50 </w:t>
                  </w:r>
                </w:p>
              </w:tc>
              <w:tc>
                <w:tcPr>
                  <w:tcW w:w="1139" w:type="dxa"/>
                  <w:vAlign w:val="bottom"/>
                </w:tcPr>
                <w:p w14:paraId="40754AC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99.06 </w:t>
                  </w:r>
                </w:p>
              </w:tc>
              <w:tc>
                <w:tcPr>
                  <w:tcW w:w="1027" w:type="dxa"/>
                  <w:vAlign w:val="bottom"/>
                </w:tcPr>
                <w:p w14:paraId="610297F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1.49 </w:t>
                  </w:r>
                </w:p>
              </w:tc>
              <w:tc>
                <w:tcPr>
                  <w:tcW w:w="1139" w:type="dxa"/>
                  <w:vAlign w:val="bottom"/>
                </w:tcPr>
                <w:p w14:paraId="76D8F3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126.37 </w:t>
                  </w:r>
                </w:p>
              </w:tc>
              <w:tc>
                <w:tcPr>
                  <w:tcW w:w="1027" w:type="dxa"/>
                  <w:vAlign w:val="bottom"/>
                </w:tcPr>
                <w:p w14:paraId="4B724F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1.37 </w:t>
                  </w:r>
                </w:p>
              </w:tc>
            </w:tr>
            <w:tr w14:paraId="7243F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91EAF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w:t>
                  </w:r>
                </w:p>
              </w:tc>
              <w:tc>
                <w:tcPr>
                  <w:tcW w:w="1256" w:type="dxa"/>
                  <w:vAlign w:val="center"/>
                </w:tcPr>
                <w:p w14:paraId="073B115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-46,1.5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A15C4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101.41 </w:t>
                  </w:r>
                </w:p>
              </w:tc>
              <w:tc>
                <w:tcPr>
                  <w:tcW w:w="1027" w:type="dxa"/>
                  <w:vAlign w:val="bottom"/>
                </w:tcPr>
                <w:p w14:paraId="456D582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1.56 </w:t>
                  </w:r>
                </w:p>
              </w:tc>
              <w:tc>
                <w:tcPr>
                  <w:tcW w:w="1139" w:type="dxa"/>
                  <w:vAlign w:val="bottom"/>
                </w:tcPr>
                <w:p w14:paraId="1DEA9B9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103.82 </w:t>
                  </w:r>
                </w:p>
              </w:tc>
              <w:tc>
                <w:tcPr>
                  <w:tcW w:w="1027" w:type="dxa"/>
                  <w:vAlign w:val="bottom"/>
                </w:tcPr>
                <w:p w14:paraId="3002C83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1.55 </w:t>
                  </w:r>
                </w:p>
              </w:tc>
              <w:tc>
                <w:tcPr>
                  <w:tcW w:w="1139" w:type="dxa"/>
                  <w:vAlign w:val="bottom"/>
                </w:tcPr>
                <w:p w14:paraId="63ED4F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133.07 </w:t>
                  </w:r>
                </w:p>
              </w:tc>
              <w:tc>
                <w:tcPr>
                  <w:tcW w:w="1027" w:type="dxa"/>
                  <w:vAlign w:val="bottom"/>
                </w:tcPr>
                <w:p w14:paraId="18E951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1.42 </w:t>
                  </w:r>
                </w:p>
              </w:tc>
            </w:tr>
            <w:tr w14:paraId="11623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8718C8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w:t>
                  </w:r>
                </w:p>
              </w:tc>
              <w:tc>
                <w:tcPr>
                  <w:tcW w:w="1256" w:type="dxa"/>
                  <w:vAlign w:val="center"/>
                </w:tcPr>
                <w:p w14:paraId="75C6A88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7973E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106.27 </w:t>
                  </w:r>
                </w:p>
              </w:tc>
              <w:tc>
                <w:tcPr>
                  <w:tcW w:w="1027" w:type="dxa"/>
                  <w:vAlign w:val="bottom"/>
                </w:tcPr>
                <w:p w14:paraId="1D42CF7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1.63 </w:t>
                  </w:r>
                </w:p>
              </w:tc>
              <w:tc>
                <w:tcPr>
                  <w:tcW w:w="1139" w:type="dxa"/>
                  <w:vAlign w:val="bottom"/>
                </w:tcPr>
                <w:p w14:paraId="0322C8F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108.95 </w:t>
                  </w:r>
                </w:p>
              </w:tc>
              <w:tc>
                <w:tcPr>
                  <w:tcW w:w="1027" w:type="dxa"/>
                  <w:vAlign w:val="bottom"/>
                </w:tcPr>
                <w:p w14:paraId="0C5CF87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1.62 </w:t>
                  </w:r>
                </w:p>
              </w:tc>
              <w:tc>
                <w:tcPr>
                  <w:tcW w:w="1139" w:type="dxa"/>
                  <w:vAlign w:val="bottom"/>
                </w:tcPr>
                <w:p w14:paraId="2355A7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140.27 </w:t>
                  </w:r>
                </w:p>
              </w:tc>
              <w:tc>
                <w:tcPr>
                  <w:tcW w:w="1027" w:type="dxa"/>
                  <w:vAlign w:val="bottom"/>
                </w:tcPr>
                <w:p w14:paraId="485BEC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1.48 </w:t>
                  </w:r>
                </w:p>
              </w:tc>
            </w:tr>
            <w:tr w14:paraId="36FAF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5DEFD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w:t>
                  </w:r>
                </w:p>
              </w:tc>
              <w:tc>
                <w:tcPr>
                  <w:tcW w:w="1256" w:type="dxa"/>
                  <w:vAlign w:val="center"/>
                </w:tcPr>
                <w:p w14:paraId="151480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-44,1.5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7BB01D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111.50 </w:t>
                  </w:r>
                </w:p>
              </w:tc>
              <w:tc>
                <w:tcPr>
                  <w:tcW w:w="1027" w:type="dxa"/>
                  <w:vAlign w:val="bottom"/>
                </w:tcPr>
                <w:p w14:paraId="572D7A7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1.71 </w:t>
                  </w:r>
                </w:p>
              </w:tc>
              <w:tc>
                <w:tcPr>
                  <w:tcW w:w="1139" w:type="dxa"/>
                  <w:vAlign w:val="bottom"/>
                </w:tcPr>
                <w:p w14:paraId="0C68E57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114.48 </w:t>
                  </w:r>
                </w:p>
              </w:tc>
              <w:tc>
                <w:tcPr>
                  <w:tcW w:w="1027" w:type="dxa"/>
                  <w:vAlign w:val="bottom"/>
                </w:tcPr>
                <w:p w14:paraId="1C4AF08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1.69 </w:t>
                  </w:r>
                </w:p>
              </w:tc>
              <w:tc>
                <w:tcPr>
                  <w:tcW w:w="1139" w:type="dxa"/>
                  <w:vAlign w:val="bottom"/>
                </w:tcPr>
                <w:p w14:paraId="1ADD08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148.03 </w:t>
                  </w:r>
                </w:p>
              </w:tc>
              <w:tc>
                <w:tcPr>
                  <w:tcW w:w="1027" w:type="dxa"/>
                  <w:vAlign w:val="bottom"/>
                </w:tcPr>
                <w:p w14:paraId="676BF58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1.54 </w:t>
                  </w:r>
                </w:p>
              </w:tc>
            </w:tr>
            <w:tr w14:paraId="01942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9CDC9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w:t>
                  </w:r>
                </w:p>
              </w:tc>
              <w:tc>
                <w:tcPr>
                  <w:tcW w:w="1256" w:type="dxa"/>
                  <w:vAlign w:val="center"/>
                </w:tcPr>
                <w:p w14:paraId="077EA1B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1F787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117.14 </w:t>
                  </w:r>
                </w:p>
              </w:tc>
              <w:tc>
                <w:tcPr>
                  <w:tcW w:w="1027" w:type="dxa"/>
                  <w:vAlign w:val="bottom"/>
                </w:tcPr>
                <w:p w14:paraId="1BE6907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1.79 </w:t>
                  </w:r>
                </w:p>
              </w:tc>
              <w:tc>
                <w:tcPr>
                  <w:tcW w:w="1139" w:type="dxa"/>
                  <w:vAlign w:val="bottom"/>
                </w:tcPr>
                <w:p w14:paraId="2703A35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120.47 </w:t>
                  </w:r>
                </w:p>
              </w:tc>
              <w:tc>
                <w:tcPr>
                  <w:tcW w:w="1027" w:type="dxa"/>
                  <w:vAlign w:val="bottom"/>
                </w:tcPr>
                <w:p w14:paraId="37A379E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1.77 </w:t>
                  </w:r>
                </w:p>
              </w:tc>
              <w:tc>
                <w:tcPr>
                  <w:tcW w:w="1139" w:type="dxa"/>
                  <w:vAlign w:val="bottom"/>
                </w:tcPr>
                <w:p w14:paraId="59C35D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156.40 </w:t>
                  </w:r>
                </w:p>
              </w:tc>
              <w:tc>
                <w:tcPr>
                  <w:tcW w:w="1027" w:type="dxa"/>
                  <w:vAlign w:val="bottom"/>
                </w:tcPr>
                <w:p w14:paraId="21D800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1.60 </w:t>
                  </w:r>
                </w:p>
              </w:tc>
            </w:tr>
            <w:tr w14:paraId="39839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246E50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w:t>
                  </w:r>
                </w:p>
              </w:tc>
              <w:tc>
                <w:tcPr>
                  <w:tcW w:w="1256" w:type="dxa"/>
                  <w:vAlign w:val="center"/>
                </w:tcPr>
                <w:p w14:paraId="705D3A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-42,1.5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31715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123.24 </w:t>
                  </w:r>
                </w:p>
              </w:tc>
              <w:tc>
                <w:tcPr>
                  <w:tcW w:w="1027" w:type="dxa"/>
                  <w:vAlign w:val="bottom"/>
                </w:tcPr>
                <w:p w14:paraId="7E8D616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1.87 </w:t>
                  </w:r>
                </w:p>
              </w:tc>
              <w:tc>
                <w:tcPr>
                  <w:tcW w:w="1139" w:type="dxa"/>
                  <w:vAlign w:val="bottom"/>
                </w:tcPr>
                <w:p w14:paraId="501C024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126.95 </w:t>
                  </w:r>
                </w:p>
              </w:tc>
              <w:tc>
                <w:tcPr>
                  <w:tcW w:w="1027" w:type="dxa"/>
                  <w:vAlign w:val="bottom"/>
                </w:tcPr>
                <w:p w14:paraId="1EA00B0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1.86 </w:t>
                  </w:r>
                </w:p>
              </w:tc>
              <w:tc>
                <w:tcPr>
                  <w:tcW w:w="1139" w:type="dxa"/>
                  <w:vAlign w:val="bottom"/>
                </w:tcPr>
                <w:p w14:paraId="15DDEB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165.43 </w:t>
                  </w:r>
                </w:p>
              </w:tc>
              <w:tc>
                <w:tcPr>
                  <w:tcW w:w="1027" w:type="dxa"/>
                  <w:vAlign w:val="bottom"/>
                </w:tcPr>
                <w:p w14:paraId="70CEF6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1.67 </w:t>
                  </w:r>
                </w:p>
              </w:tc>
            </w:tr>
            <w:tr w14:paraId="45696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8200E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10</w:t>
                  </w:r>
                </w:p>
              </w:tc>
              <w:tc>
                <w:tcPr>
                  <w:tcW w:w="1256" w:type="dxa"/>
                  <w:vAlign w:val="center"/>
                </w:tcPr>
                <w:p w14:paraId="452BB6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5BFE1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129.86 </w:t>
                  </w:r>
                </w:p>
              </w:tc>
              <w:tc>
                <w:tcPr>
                  <w:tcW w:w="1027" w:type="dxa"/>
                  <w:vAlign w:val="bottom"/>
                </w:tcPr>
                <w:p w14:paraId="4F37AFA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1.96 </w:t>
                  </w:r>
                </w:p>
              </w:tc>
              <w:tc>
                <w:tcPr>
                  <w:tcW w:w="1139" w:type="dxa"/>
                  <w:vAlign w:val="bottom"/>
                </w:tcPr>
                <w:p w14:paraId="3C0F2FB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134.01 </w:t>
                  </w:r>
                </w:p>
              </w:tc>
              <w:tc>
                <w:tcPr>
                  <w:tcW w:w="1027" w:type="dxa"/>
                  <w:vAlign w:val="bottom"/>
                </w:tcPr>
                <w:p w14:paraId="1832010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1.95 </w:t>
                  </w:r>
                </w:p>
              </w:tc>
              <w:tc>
                <w:tcPr>
                  <w:tcW w:w="1139" w:type="dxa"/>
                  <w:vAlign w:val="bottom"/>
                </w:tcPr>
                <w:p w14:paraId="282861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175.20 </w:t>
                  </w:r>
                </w:p>
              </w:tc>
              <w:tc>
                <w:tcPr>
                  <w:tcW w:w="1027" w:type="dxa"/>
                  <w:vAlign w:val="bottom"/>
                </w:tcPr>
                <w:p w14:paraId="1D9082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1.74 </w:t>
                  </w:r>
                </w:p>
              </w:tc>
            </w:tr>
            <w:tr w14:paraId="0488F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BCAD6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11</w:t>
                  </w:r>
                </w:p>
              </w:tc>
              <w:tc>
                <w:tcPr>
                  <w:tcW w:w="1256" w:type="dxa"/>
                  <w:vAlign w:val="center"/>
                </w:tcPr>
                <w:p w14:paraId="74CC4C1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-40,1.5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B7870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137.06 </w:t>
                  </w:r>
                </w:p>
              </w:tc>
              <w:tc>
                <w:tcPr>
                  <w:tcW w:w="1027" w:type="dxa"/>
                  <w:vAlign w:val="bottom"/>
                </w:tcPr>
                <w:p w14:paraId="16757DB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2.06 </w:t>
                  </w:r>
                </w:p>
              </w:tc>
              <w:tc>
                <w:tcPr>
                  <w:tcW w:w="1139" w:type="dxa"/>
                  <w:vAlign w:val="bottom"/>
                </w:tcPr>
                <w:p w14:paraId="23507B6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141.69 </w:t>
                  </w:r>
                </w:p>
              </w:tc>
              <w:tc>
                <w:tcPr>
                  <w:tcW w:w="1027" w:type="dxa"/>
                  <w:vAlign w:val="bottom"/>
                </w:tcPr>
                <w:p w14:paraId="2CCCC62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2.05 </w:t>
                  </w:r>
                </w:p>
              </w:tc>
              <w:tc>
                <w:tcPr>
                  <w:tcW w:w="1139" w:type="dxa"/>
                  <w:vAlign w:val="bottom"/>
                </w:tcPr>
                <w:p w14:paraId="72E1D2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185.76 </w:t>
                  </w:r>
                </w:p>
              </w:tc>
              <w:tc>
                <w:tcPr>
                  <w:tcW w:w="1027" w:type="dxa"/>
                  <w:vAlign w:val="bottom"/>
                </w:tcPr>
                <w:p w14:paraId="22CCA5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1.82 </w:t>
                  </w:r>
                </w:p>
              </w:tc>
            </w:tr>
            <w:tr w14:paraId="0C041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2CD892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12</w:t>
                  </w:r>
                </w:p>
              </w:tc>
              <w:tc>
                <w:tcPr>
                  <w:tcW w:w="1256" w:type="dxa"/>
                  <w:vAlign w:val="center"/>
                </w:tcPr>
                <w:p w14:paraId="66A3BE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57F77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144.90 </w:t>
                  </w:r>
                </w:p>
              </w:tc>
              <w:tc>
                <w:tcPr>
                  <w:tcW w:w="1027" w:type="dxa"/>
                  <w:vAlign w:val="bottom"/>
                </w:tcPr>
                <w:p w14:paraId="0AE77AF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2.17 </w:t>
                  </w:r>
                </w:p>
              </w:tc>
              <w:tc>
                <w:tcPr>
                  <w:tcW w:w="1139" w:type="dxa"/>
                  <w:vAlign w:val="bottom"/>
                </w:tcPr>
                <w:p w14:paraId="743E03D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150.08 </w:t>
                  </w:r>
                </w:p>
              </w:tc>
              <w:tc>
                <w:tcPr>
                  <w:tcW w:w="1027" w:type="dxa"/>
                  <w:vAlign w:val="bottom"/>
                </w:tcPr>
                <w:p w14:paraId="1096E75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2.15 </w:t>
                  </w:r>
                </w:p>
              </w:tc>
              <w:tc>
                <w:tcPr>
                  <w:tcW w:w="1139" w:type="dxa"/>
                  <w:vAlign w:val="bottom"/>
                </w:tcPr>
                <w:p w14:paraId="4DE052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197.20 </w:t>
                  </w:r>
                </w:p>
              </w:tc>
              <w:tc>
                <w:tcPr>
                  <w:tcW w:w="1027" w:type="dxa"/>
                  <w:vAlign w:val="bottom"/>
                </w:tcPr>
                <w:p w14:paraId="2B6DF59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1.90 </w:t>
                  </w:r>
                </w:p>
              </w:tc>
            </w:tr>
            <w:tr w14:paraId="2B808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F5C571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13</w:t>
                  </w:r>
                </w:p>
              </w:tc>
              <w:tc>
                <w:tcPr>
                  <w:tcW w:w="1256" w:type="dxa"/>
                  <w:vAlign w:val="center"/>
                </w:tcPr>
                <w:p w14:paraId="190879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-38,1.5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E32D2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153.48 </w:t>
                  </w:r>
                </w:p>
              </w:tc>
              <w:tc>
                <w:tcPr>
                  <w:tcW w:w="1027" w:type="dxa"/>
                  <w:vAlign w:val="bottom"/>
                </w:tcPr>
                <w:p w14:paraId="09F2C2F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2.29 </w:t>
                  </w:r>
                </w:p>
              </w:tc>
              <w:tc>
                <w:tcPr>
                  <w:tcW w:w="1139" w:type="dxa"/>
                  <w:vAlign w:val="bottom"/>
                </w:tcPr>
                <w:p w14:paraId="6FC707D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159.28 </w:t>
                  </w:r>
                </w:p>
              </w:tc>
              <w:tc>
                <w:tcPr>
                  <w:tcW w:w="1027" w:type="dxa"/>
                  <w:vAlign w:val="bottom"/>
                </w:tcPr>
                <w:p w14:paraId="0B18047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2.26 </w:t>
                  </w:r>
                </w:p>
              </w:tc>
              <w:tc>
                <w:tcPr>
                  <w:tcW w:w="1139" w:type="dxa"/>
                  <w:vAlign w:val="bottom"/>
                </w:tcPr>
                <w:p w14:paraId="14BF82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209.61 </w:t>
                  </w:r>
                </w:p>
              </w:tc>
              <w:tc>
                <w:tcPr>
                  <w:tcW w:w="1027" w:type="dxa"/>
                  <w:vAlign w:val="bottom"/>
                </w:tcPr>
                <w:p w14:paraId="37B38B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1.99 </w:t>
                  </w:r>
                </w:p>
              </w:tc>
            </w:tr>
            <w:tr w14:paraId="28F8F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4E9A0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14</w:t>
                  </w:r>
                </w:p>
              </w:tc>
              <w:tc>
                <w:tcPr>
                  <w:tcW w:w="1256" w:type="dxa"/>
                  <w:vAlign w:val="center"/>
                </w:tcPr>
                <w:p w14:paraId="62F5E6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9443E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162.89 </w:t>
                  </w:r>
                </w:p>
              </w:tc>
              <w:tc>
                <w:tcPr>
                  <w:tcW w:w="1027" w:type="dxa"/>
                  <w:vAlign w:val="bottom"/>
                </w:tcPr>
                <w:p w14:paraId="1FE190B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2.41 </w:t>
                  </w:r>
                </w:p>
              </w:tc>
              <w:tc>
                <w:tcPr>
                  <w:tcW w:w="1139" w:type="dxa"/>
                  <w:vAlign w:val="bottom"/>
                </w:tcPr>
                <w:p w14:paraId="52C7F07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169.39 </w:t>
                  </w:r>
                </w:p>
              </w:tc>
              <w:tc>
                <w:tcPr>
                  <w:tcW w:w="1027" w:type="dxa"/>
                  <w:vAlign w:val="bottom"/>
                </w:tcPr>
                <w:p w14:paraId="788EE25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2.39 </w:t>
                  </w:r>
                </w:p>
              </w:tc>
              <w:tc>
                <w:tcPr>
                  <w:tcW w:w="1139" w:type="dxa"/>
                  <w:vAlign w:val="bottom"/>
                </w:tcPr>
                <w:p w14:paraId="149C55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223.07 </w:t>
                  </w:r>
                </w:p>
              </w:tc>
              <w:tc>
                <w:tcPr>
                  <w:tcW w:w="1027" w:type="dxa"/>
                  <w:vAlign w:val="bottom"/>
                </w:tcPr>
                <w:p w14:paraId="5221F88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2.09 </w:t>
                  </w:r>
                </w:p>
              </w:tc>
            </w:tr>
            <w:tr w14:paraId="05752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2531A4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15</w:t>
                  </w:r>
                </w:p>
              </w:tc>
              <w:tc>
                <w:tcPr>
                  <w:tcW w:w="1256" w:type="dxa"/>
                  <w:vAlign w:val="center"/>
                </w:tcPr>
                <w:p w14:paraId="1D1959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-36,1.5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02B225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173.24 </w:t>
                  </w:r>
                </w:p>
              </w:tc>
              <w:tc>
                <w:tcPr>
                  <w:tcW w:w="1027" w:type="dxa"/>
                  <w:vAlign w:val="bottom"/>
                </w:tcPr>
                <w:p w14:paraId="06786E2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2.55 </w:t>
                  </w:r>
                </w:p>
              </w:tc>
              <w:tc>
                <w:tcPr>
                  <w:tcW w:w="1139" w:type="dxa"/>
                  <w:vAlign w:val="bottom"/>
                </w:tcPr>
                <w:p w14:paraId="3997639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180.54 </w:t>
                  </w:r>
                </w:p>
              </w:tc>
              <w:tc>
                <w:tcPr>
                  <w:tcW w:w="1027" w:type="dxa"/>
                  <w:vAlign w:val="bottom"/>
                </w:tcPr>
                <w:p w14:paraId="7B4D5F0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2.52 </w:t>
                  </w:r>
                </w:p>
              </w:tc>
              <w:tc>
                <w:tcPr>
                  <w:tcW w:w="1139" w:type="dxa"/>
                  <w:vAlign w:val="bottom"/>
                </w:tcPr>
                <w:p w14:paraId="291875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237.71 </w:t>
                  </w:r>
                </w:p>
              </w:tc>
              <w:tc>
                <w:tcPr>
                  <w:tcW w:w="1027" w:type="dxa"/>
                  <w:vAlign w:val="bottom"/>
                </w:tcPr>
                <w:p w14:paraId="628846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2.19 </w:t>
                  </w:r>
                </w:p>
              </w:tc>
            </w:tr>
            <w:tr w14:paraId="0690D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0F1030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16</w:t>
                  </w:r>
                </w:p>
              </w:tc>
              <w:tc>
                <w:tcPr>
                  <w:tcW w:w="1256" w:type="dxa"/>
                  <w:vAlign w:val="center"/>
                </w:tcPr>
                <w:p w14:paraId="3831F6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74249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184.67 </w:t>
                  </w:r>
                </w:p>
              </w:tc>
              <w:tc>
                <w:tcPr>
                  <w:tcW w:w="1027" w:type="dxa"/>
                  <w:vAlign w:val="bottom"/>
                </w:tcPr>
                <w:p w14:paraId="7FAB21E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2.69 </w:t>
                  </w:r>
                </w:p>
              </w:tc>
              <w:tc>
                <w:tcPr>
                  <w:tcW w:w="1139" w:type="dxa"/>
                  <w:vAlign w:val="bottom"/>
                </w:tcPr>
                <w:p w14:paraId="3CB00B4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192.87 </w:t>
                  </w:r>
                </w:p>
              </w:tc>
              <w:tc>
                <w:tcPr>
                  <w:tcW w:w="1027" w:type="dxa"/>
                  <w:vAlign w:val="bottom"/>
                </w:tcPr>
                <w:p w14:paraId="0619536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2.66 </w:t>
                  </w:r>
                </w:p>
              </w:tc>
              <w:tc>
                <w:tcPr>
                  <w:tcW w:w="1139" w:type="dxa"/>
                  <w:vAlign w:val="bottom"/>
                </w:tcPr>
                <w:p w14:paraId="3454EA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253.63 </w:t>
                  </w:r>
                </w:p>
              </w:tc>
              <w:tc>
                <w:tcPr>
                  <w:tcW w:w="1027" w:type="dxa"/>
                  <w:vAlign w:val="bottom"/>
                </w:tcPr>
                <w:p w14:paraId="4C79CD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2.29 </w:t>
                  </w:r>
                </w:p>
              </w:tc>
            </w:tr>
            <w:tr w14:paraId="7DF8C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1DDBD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17</w:t>
                  </w:r>
                </w:p>
              </w:tc>
              <w:tc>
                <w:tcPr>
                  <w:tcW w:w="1256" w:type="dxa"/>
                  <w:vAlign w:val="center"/>
                </w:tcPr>
                <w:p w14:paraId="039DEF0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-34,1.5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4E609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197.34 </w:t>
                  </w:r>
                </w:p>
              </w:tc>
              <w:tc>
                <w:tcPr>
                  <w:tcW w:w="1027" w:type="dxa"/>
                  <w:vAlign w:val="bottom"/>
                </w:tcPr>
                <w:p w14:paraId="167C884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2.85 </w:t>
                  </w:r>
                </w:p>
              </w:tc>
              <w:tc>
                <w:tcPr>
                  <w:tcW w:w="1139" w:type="dxa"/>
                  <w:vAlign w:val="bottom"/>
                </w:tcPr>
                <w:p w14:paraId="2C87479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206.57 </w:t>
                  </w:r>
                </w:p>
              </w:tc>
              <w:tc>
                <w:tcPr>
                  <w:tcW w:w="1027" w:type="dxa"/>
                  <w:vAlign w:val="bottom"/>
                </w:tcPr>
                <w:p w14:paraId="40B0719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2.82 </w:t>
                  </w:r>
                </w:p>
              </w:tc>
              <w:tc>
                <w:tcPr>
                  <w:tcW w:w="1139" w:type="dxa"/>
                  <w:vAlign w:val="bottom"/>
                </w:tcPr>
                <w:p w14:paraId="45D41E5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270.97 </w:t>
                  </w:r>
                </w:p>
              </w:tc>
              <w:tc>
                <w:tcPr>
                  <w:tcW w:w="1027" w:type="dxa"/>
                  <w:vAlign w:val="bottom"/>
                </w:tcPr>
                <w:p w14:paraId="598C44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2.41 </w:t>
                  </w:r>
                </w:p>
              </w:tc>
            </w:tr>
            <w:tr w14:paraId="32703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66BDA3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18</w:t>
                  </w:r>
                </w:p>
              </w:tc>
              <w:tc>
                <w:tcPr>
                  <w:tcW w:w="1256" w:type="dxa"/>
                  <w:vAlign w:val="center"/>
                </w:tcPr>
                <w:p w14:paraId="57D6C9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984CB4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211.45 </w:t>
                  </w:r>
                </w:p>
              </w:tc>
              <w:tc>
                <w:tcPr>
                  <w:tcW w:w="1027" w:type="dxa"/>
                  <w:vAlign w:val="bottom"/>
                </w:tcPr>
                <w:p w14:paraId="490F8A8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3.03 </w:t>
                  </w:r>
                </w:p>
              </w:tc>
              <w:tc>
                <w:tcPr>
                  <w:tcW w:w="1139" w:type="dxa"/>
                  <w:vAlign w:val="bottom"/>
                </w:tcPr>
                <w:p w14:paraId="50D20F8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221.84 </w:t>
                  </w:r>
                </w:p>
              </w:tc>
              <w:tc>
                <w:tcPr>
                  <w:tcW w:w="1027" w:type="dxa"/>
                  <w:vAlign w:val="bottom"/>
                </w:tcPr>
                <w:p w14:paraId="052DBBD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2.99 </w:t>
                  </w:r>
                </w:p>
              </w:tc>
              <w:tc>
                <w:tcPr>
                  <w:tcW w:w="1139" w:type="dxa"/>
                  <w:vAlign w:val="bottom"/>
                </w:tcPr>
                <w:p w14:paraId="5FF888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289.85 </w:t>
                  </w:r>
                </w:p>
              </w:tc>
              <w:tc>
                <w:tcPr>
                  <w:tcW w:w="1027" w:type="dxa"/>
                  <w:vAlign w:val="bottom"/>
                </w:tcPr>
                <w:p w14:paraId="448B42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2.53 </w:t>
                  </w:r>
                </w:p>
              </w:tc>
            </w:tr>
            <w:tr w14:paraId="69EF3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50D3A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19</w:t>
                  </w:r>
                </w:p>
              </w:tc>
              <w:tc>
                <w:tcPr>
                  <w:tcW w:w="1256" w:type="dxa"/>
                  <w:vAlign w:val="center"/>
                </w:tcPr>
                <w:p w14:paraId="78BCF0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-32,1.5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7C043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227.22 </w:t>
                  </w:r>
                </w:p>
              </w:tc>
              <w:tc>
                <w:tcPr>
                  <w:tcW w:w="1027" w:type="dxa"/>
                  <w:vAlign w:val="bottom"/>
                </w:tcPr>
                <w:p w14:paraId="167F000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3.22 </w:t>
                  </w:r>
                </w:p>
              </w:tc>
              <w:tc>
                <w:tcPr>
                  <w:tcW w:w="1139" w:type="dxa"/>
                  <w:vAlign w:val="bottom"/>
                </w:tcPr>
                <w:p w14:paraId="5F002AD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238.92 </w:t>
                  </w:r>
                </w:p>
              </w:tc>
              <w:tc>
                <w:tcPr>
                  <w:tcW w:w="1027" w:type="dxa"/>
                  <w:vAlign w:val="bottom"/>
                </w:tcPr>
                <w:p w14:paraId="1D63DD9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3.18 </w:t>
                  </w:r>
                </w:p>
              </w:tc>
              <w:tc>
                <w:tcPr>
                  <w:tcW w:w="1139" w:type="dxa"/>
                  <w:vAlign w:val="bottom"/>
                </w:tcPr>
                <w:p w14:paraId="376544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310.43 </w:t>
                  </w:r>
                </w:p>
              </w:tc>
              <w:tc>
                <w:tcPr>
                  <w:tcW w:w="1027" w:type="dxa"/>
                  <w:vAlign w:val="bottom"/>
                </w:tcPr>
                <w:p w14:paraId="09AF1A3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2.66 </w:t>
                  </w:r>
                </w:p>
              </w:tc>
            </w:tr>
            <w:tr w14:paraId="40672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2021A1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20</w:t>
                  </w:r>
                </w:p>
              </w:tc>
              <w:tc>
                <w:tcPr>
                  <w:tcW w:w="1256" w:type="dxa"/>
                  <w:vAlign w:val="center"/>
                </w:tcPr>
                <w:p w14:paraId="760F470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C26A1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244.93 </w:t>
                  </w:r>
                </w:p>
              </w:tc>
              <w:tc>
                <w:tcPr>
                  <w:tcW w:w="1027" w:type="dxa"/>
                  <w:vAlign w:val="bottom"/>
                </w:tcPr>
                <w:p w14:paraId="7751E3F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3.43 </w:t>
                  </w:r>
                </w:p>
              </w:tc>
              <w:tc>
                <w:tcPr>
                  <w:tcW w:w="1139" w:type="dxa"/>
                  <w:vAlign w:val="bottom"/>
                </w:tcPr>
                <w:p w14:paraId="5A505D5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258.13 </w:t>
                  </w:r>
                </w:p>
              </w:tc>
              <w:tc>
                <w:tcPr>
                  <w:tcW w:w="1027" w:type="dxa"/>
                  <w:vAlign w:val="bottom"/>
                </w:tcPr>
                <w:p w14:paraId="11ADBCB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3.38 </w:t>
                  </w:r>
                </w:p>
              </w:tc>
              <w:tc>
                <w:tcPr>
                  <w:tcW w:w="1139" w:type="dxa"/>
                  <w:vAlign w:val="bottom"/>
                </w:tcPr>
                <w:p w14:paraId="2DF049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332.88 </w:t>
                  </w:r>
                </w:p>
              </w:tc>
              <w:tc>
                <w:tcPr>
                  <w:tcW w:w="1027" w:type="dxa"/>
                  <w:vAlign w:val="bottom"/>
                </w:tcPr>
                <w:p w14:paraId="2398F6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2.80 </w:t>
                  </w:r>
                </w:p>
              </w:tc>
            </w:tr>
            <w:tr w14:paraId="2B50A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5F481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21</w:t>
                  </w:r>
                </w:p>
              </w:tc>
              <w:tc>
                <w:tcPr>
                  <w:tcW w:w="1256" w:type="dxa"/>
                  <w:vAlign w:val="center"/>
                </w:tcPr>
                <w:p w14:paraId="5179F6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-30,1.5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CED734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264.92 </w:t>
                  </w:r>
                </w:p>
              </w:tc>
              <w:tc>
                <w:tcPr>
                  <w:tcW w:w="1027" w:type="dxa"/>
                  <w:vAlign w:val="bottom"/>
                </w:tcPr>
                <w:p w14:paraId="232B09C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3.66 </w:t>
                  </w:r>
                </w:p>
              </w:tc>
              <w:tc>
                <w:tcPr>
                  <w:tcW w:w="1139" w:type="dxa"/>
                  <w:vAlign w:val="bottom"/>
                </w:tcPr>
                <w:p w14:paraId="7B46DDF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279.80 </w:t>
                  </w:r>
                </w:p>
              </w:tc>
              <w:tc>
                <w:tcPr>
                  <w:tcW w:w="1027" w:type="dxa"/>
                  <w:vAlign w:val="bottom"/>
                </w:tcPr>
                <w:p w14:paraId="0A31353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3.61 </w:t>
                  </w:r>
                </w:p>
              </w:tc>
              <w:tc>
                <w:tcPr>
                  <w:tcW w:w="1139" w:type="dxa"/>
                  <w:vAlign w:val="bottom"/>
                </w:tcPr>
                <w:p w14:paraId="33BF897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357.37 </w:t>
                  </w:r>
                </w:p>
              </w:tc>
              <w:tc>
                <w:tcPr>
                  <w:tcW w:w="1027" w:type="dxa"/>
                  <w:vAlign w:val="bottom"/>
                </w:tcPr>
                <w:p w14:paraId="77BBE9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2.96 </w:t>
                  </w:r>
                </w:p>
              </w:tc>
            </w:tr>
            <w:tr w14:paraId="25E70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E8A8E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22</w:t>
                  </w:r>
                </w:p>
              </w:tc>
              <w:tc>
                <w:tcPr>
                  <w:tcW w:w="1256" w:type="dxa"/>
                  <w:vAlign w:val="center"/>
                </w:tcPr>
                <w:p w14:paraId="2A4DA06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D9E23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287.59 </w:t>
                  </w:r>
                </w:p>
              </w:tc>
              <w:tc>
                <w:tcPr>
                  <w:tcW w:w="1027" w:type="dxa"/>
                  <w:vAlign w:val="bottom"/>
                </w:tcPr>
                <w:p w14:paraId="3F25279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3.92 </w:t>
                  </w:r>
                </w:p>
              </w:tc>
              <w:tc>
                <w:tcPr>
                  <w:tcW w:w="1139" w:type="dxa"/>
                  <w:vAlign w:val="bottom"/>
                </w:tcPr>
                <w:p w14:paraId="5A58D40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304.37 </w:t>
                  </w:r>
                </w:p>
              </w:tc>
              <w:tc>
                <w:tcPr>
                  <w:tcW w:w="1027" w:type="dxa"/>
                  <w:vAlign w:val="bottom"/>
                </w:tcPr>
                <w:p w14:paraId="188045E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3.85 </w:t>
                  </w:r>
                </w:p>
              </w:tc>
              <w:tc>
                <w:tcPr>
                  <w:tcW w:w="1139" w:type="dxa"/>
                  <w:vAlign w:val="bottom"/>
                </w:tcPr>
                <w:p w14:paraId="497009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384.09 </w:t>
                  </w:r>
                </w:p>
              </w:tc>
              <w:tc>
                <w:tcPr>
                  <w:tcW w:w="1027" w:type="dxa"/>
                  <w:vAlign w:val="bottom"/>
                </w:tcPr>
                <w:p w14:paraId="529457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3.12 </w:t>
                  </w:r>
                </w:p>
              </w:tc>
            </w:tr>
            <w:tr w14:paraId="5774D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09583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23</w:t>
                  </w:r>
                </w:p>
              </w:tc>
              <w:tc>
                <w:tcPr>
                  <w:tcW w:w="1256" w:type="dxa"/>
                  <w:vAlign w:val="center"/>
                </w:tcPr>
                <w:p w14:paraId="1DFF73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-28,1.5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94A368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313.45 </w:t>
                  </w:r>
                </w:p>
              </w:tc>
              <w:tc>
                <w:tcPr>
                  <w:tcW w:w="1027" w:type="dxa"/>
                  <w:vAlign w:val="bottom"/>
                </w:tcPr>
                <w:p w14:paraId="5EB007B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4.20 </w:t>
                  </w:r>
                </w:p>
              </w:tc>
              <w:tc>
                <w:tcPr>
                  <w:tcW w:w="1139" w:type="dxa"/>
                  <w:vAlign w:val="bottom"/>
                </w:tcPr>
                <w:p w14:paraId="3EA5B46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332.37 </w:t>
                  </w:r>
                </w:p>
              </w:tc>
              <w:tc>
                <w:tcPr>
                  <w:tcW w:w="1027" w:type="dxa"/>
                  <w:vAlign w:val="bottom"/>
                </w:tcPr>
                <w:p w14:paraId="49C67DF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4.13 </w:t>
                  </w:r>
                </w:p>
              </w:tc>
              <w:tc>
                <w:tcPr>
                  <w:tcW w:w="1139" w:type="dxa"/>
                  <w:vAlign w:val="bottom"/>
                </w:tcPr>
                <w:p w14:paraId="01202C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413.22 </w:t>
                  </w:r>
                </w:p>
              </w:tc>
              <w:tc>
                <w:tcPr>
                  <w:tcW w:w="1027" w:type="dxa"/>
                  <w:vAlign w:val="bottom"/>
                </w:tcPr>
                <w:p w14:paraId="0800EE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3.29 </w:t>
                  </w:r>
                </w:p>
              </w:tc>
            </w:tr>
            <w:tr w14:paraId="68C73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CD78C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24</w:t>
                  </w:r>
                </w:p>
              </w:tc>
              <w:tc>
                <w:tcPr>
                  <w:tcW w:w="1256" w:type="dxa"/>
                  <w:vAlign w:val="center"/>
                </w:tcPr>
                <w:p w14:paraId="55AF57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BC6CB6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343.11 </w:t>
                  </w:r>
                </w:p>
              </w:tc>
              <w:tc>
                <w:tcPr>
                  <w:tcW w:w="1027" w:type="dxa"/>
                  <w:vAlign w:val="bottom"/>
                </w:tcPr>
                <w:p w14:paraId="7E87240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4.51 </w:t>
                  </w:r>
                </w:p>
              </w:tc>
              <w:tc>
                <w:tcPr>
                  <w:tcW w:w="1139" w:type="dxa"/>
                  <w:vAlign w:val="bottom"/>
                </w:tcPr>
                <w:p w14:paraId="2102F41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364.43 </w:t>
                  </w:r>
                </w:p>
              </w:tc>
              <w:tc>
                <w:tcPr>
                  <w:tcW w:w="1027" w:type="dxa"/>
                  <w:vAlign w:val="bottom"/>
                </w:tcPr>
                <w:p w14:paraId="004DA80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4.43 </w:t>
                  </w:r>
                </w:p>
              </w:tc>
              <w:tc>
                <w:tcPr>
                  <w:tcW w:w="1139" w:type="dxa"/>
                  <w:vAlign w:val="bottom"/>
                </w:tcPr>
                <w:p w14:paraId="3FD83D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444.96 </w:t>
                  </w:r>
                </w:p>
              </w:tc>
              <w:tc>
                <w:tcPr>
                  <w:tcW w:w="1027" w:type="dxa"/>
                  <w:vAlign w:val="bottom"/>
                </w:tcPr>
                <w:p w14:paraId="01E499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3.48 </w:t>
                  </w:r>
                </w:p>
              </w:tc>
            </w:tr>
            <w:tr w14:paraId="59A6C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41F7F9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25</w:t>
                  </w:r>
                </w:p>
              </w:tc>
              <w:tc>
                <w:tcPr>
                  <w:tcW w:w="1256" w:type="dxa"/>
                  <w:vAlign w:val="center"/>
                </w:tcPr>
                <w:p w14:paraId="46EBD8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-26,1.5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F66F4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377.35 </w:t>
                  </w:r>
                </w:p>
              </w:tc>
              <w:tc>
                <w:tcPr>
                  <w:tcW w:w="1027" w:type="dxa"/>
                  <w:vAlign w:val="bottom"/>
                </w:tcPr>
                <w:p w14:paraId="7EADC52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4.87 </w:t>
                  </w:r>
                </w:p>
              </w:tc>
              <w:tc>
                <w:tcPr>
                  <w:tcW w:w="1139" w:type="dxa"/>
                  <w:vAlign w:val="bottom"/>
                </w:tcPr>
                <w:p w14:paraId="099142C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401.32 </w:t>
                  </w:r>
                </w:p>
              </w:tc>
              <w:tc>
                <w:tcPr>
                  <w:tcW w:w="1027" w:type="dxa"/>
                  <w:vAlign w:val="bottom"/>
                </w:tcPr>
                <w:p w14:paraId="0E4EAA6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4.77 </w:t>
                  </w:r>
                </w:p>
              </w:tc>
              <w:tc>
                <w:tcPr>
                  <w:tcW w:w="1139" w:type="dxa"/>
                  <w:vAlign w:val="bottom"/>
                </w:tcPr>
                <w:p w14:paraId="32AC57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479.51 </w:t>
                  </w:r>
                </w:p>
              </w:tc>
              <w:tc>
                <w:tcPr>
                  <w:tcW w:w="1027" w:type="dxa"/>
                  <w:vAlign w:val="bottom"/>
                </w:tcPr>
                <w:p w14:paraId="69FD0C9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3.69 </w:t>
                  </w:r>
                </w:p>
              </w:tc>
            </w:tr>
            <w:tr w14:paraId="6AF03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5006FB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26</w:t>
                  </w:r>
                </w:p>
              </w:tc>
              <w:tc>
                <w:tcPr>
                  <w:tcW w:w="1256" w:type="dxa"/>
                  <w:vAlign w:val="center"/>
                </w:tcPr>
                <w:p w14:paraId="27FC1FC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E9003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417.11 </w:t>
                  </w:r>
                </w:p>
              </w:tc>
              <w:tc>
                <w:tcPr>
                  <w:tcW w:w="1027" w:type="dxa"/>
                  <w:vAlign w:val="bottom"/>
                </w:tcPr>
                <w:p w14:paraId="1ED395B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5.26 </w:t>
                  </w:r>
                </w:p>
              </w:tc>
              <w:tc>
                <w:tcPr>
                  <w:tcW w:w="1139" w:type="dxa"/>
                  <w:vAlign w:val="bottom"/>
                </w:tcPr>
                <w:p w14:paraId="3D122F8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444.00 </w:t>
                  </w:r>
                </w:p>
              </w:tc>
              <w:tc>
                <w:tcPr>
                  <w:tcW w:w="1027" w:type="dxa"/>
                  <w:vAlign w:val="bottom"/>
                </w:tcPr>
                <w:p w14:paraId="1B622B0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5.14 </w:t>
                  </w:r>
                </w:p>
              </w:tc>
              <w:tc>
                <w:tcPr>
                  <w:tcW w:w="1139" w:type="dxa"/>
                  <w:vAlign w:val="bottom"/>
                </w:tcPr>
                <w:p w14:paraId="6D43C9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517.06 </w:t>
                  </w:r>
                </w:p>
              </w:tc>
              <w:tc>
                <w:tcPr>
                  <w:tcW w:w="1027" w:type="dxa"/>
                  <w:vAlign w:val="bottom"/>
                </w:tcPr>
                <w:p w14:paraId="17FC70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3.90 </w:t>
                  </w:r>
                </w:p>
              </w:tc>
            </w:tr>
            <w:tr w14:paraId="6A012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3D16A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27</w:t>
                  </w:r>
                </w:p>
              </w:tc>
              <w:tc>
                <w:tcPr>
                  <w:tcW w:w="1256" w:type="dxa"/>
                  <w:vAlign w:val="center"/>
                </w:tcPr>
                <w:p w14:paraId="1DD9FD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-24,1.5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DD1931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463.58 </w:t>
                  </w:r>
                </w:p>
              </w:tc>
              <w:tc>
                <w:tcPr>
                  <w:tcW w:w="1027" w:type="dxa"/>
                  <w:vAlign w:val="bottom"/>
                </w:tcPr>
                <w:p w14:paraId="67E6EBF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5.70 </w:t>
                  </w:r>
                </w:p>
              </w:tc>
              <w:tc>
                <w:tcPr>
                  <w:tcW w:w="1139" w:type="dxa"/>
                  <w:vAlign w:val="bottom"/>
                </w:tcPr>
                <w:p w14:paraId="76A7B1D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493.64 </w:t>
                  </w:r>
                </w:p>
              </w:tc>
              <w:tc>
                <w:tcPr>
                  <w:tcW w:w="1027" w:type="dxa"/>
                  <w:vAlign w:val="bottom"/>
                </w:tcPr>
                <w:p w14:paraId="0BAF1FC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5.57 </w:t>
                  </w:r>
                </w:p>
              </w:tc>
              <w:tc>
                <w:tcPr>
                  <w:tcW w:w="1139" w:type="dxa"/>
                  <w:vAlign w:val="bottom"/>
                </w:tcPr>
                <w:p w14:paraId="420700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557.76 </w:t>
                  </w:r>
                </w:p>
              </w:tc>
              <w:tc>
                <w:tcPr>
                  <w:tcW w:w="1027" w:type="dxa"/>
                  <w:vAlign w:val="bottom"/>
                </w:tcPr>
                <w:p w14:paraId="3F93BFD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4.14 </w:t>
                  </w:r>
                </w:p>
              </w:tc>
            </w:tr>
            <w:tr w14:paraId="4D72F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AC5C0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28</w:t>
                  </w:r>
                </w:p>
              </w:tc>
              <w:tc>
                <w:tcPr>
                  <w:tcW w:w="1256" w:type="dxa"/>
                  <w:vAlign w:val="center"/>
                </w:tcPr>
                <w:p w14:paraId="21AD3C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51F6A8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518.28 </w:t>
                  </w:r>
                </w:p>
              </w:tc>
              <w:tc>
                <w:tcPr>
                  <w:tcW w:w="1027" w:type="dxa"/>
                  <w:vAlign w:val="bottom"/>
                </w:tcPr>
                <w:p w14:paraId="3A88DA9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6.20 </w:t>
                  </w:r>
                </w:p>
              </w:tc>
              <w:tc>
                <w:tcPr>
                  <w:tcW w:w="1139" w:type="dxa"/>
                  <w:vAlign w:val="bottom"/>
                </w:tcPr>
                <w:p w14:paraId="3374418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551.67 </w:t>
                  </w:r>
                </w:p>
              </w:tc>
              <w:tc>
                <w:tcPr>
                  <w:tcW w:w="1027" w:type="dxa"/>
                  <w:vAlign w:val="bottom"/>
                </w:tcPr>
                <w:p w14:paraId="64C7220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6.04 </w:t>
                  </w:r>
                </w:p>
              </w:tc>
              <w:tc>
                <w:tcPr>
                  <w:tcW w:w="1139" w:type="dxa"/>
                  <w:vAlign w:val="bottom"/>
                </w:tcPr>
                <w:p w14:paraId="751D5B7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601.75 </w:t>
                  </w:r>
                </w:p>
              </w:tc>
              <w:tc>
                <w:tcPr>
                  <w:tcW w:w="1027" w:type="dxa"/>
                  <w:vAlign w:val="bottom"/>
                </w:tcPr>
                <w:p w14:paraId="67350D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4.39 </w:t>
                  </w:r>
                </w:p>
              </w:tc>
            </w:tr>
            <w:tr w14:paraId="4CED8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57F87B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29</w:t>
                  </w:r>
                </w:p>
              </w:tc>
              <w:tc>
                <w:tcPr>
                  <w:tcW w:w="1256" w:type="dxa"/>
                  <w:vAlign w:val="center"/>
                </w:tcPr>
                <w:p w14:paraId="61B123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-22,1.5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6E792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583.11 </w:t>
                  </w:r>
                </w:p>
              </w:tc>
              <w:tc>
                <w:tcPr>
                  <w:tcW w:w="1027" w:type="dxa"/>
                  <w:vAlign w:val="bottom"/>
                </w:tcPr>
                <w:p w14:paraId="634166B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6.77 </w:t>
                  </w:r>
                </w:p>
              </w:tc>
              <w:tc>
                <w:tcPr>
                  <w:tcW w:w="1139" w:type="dxa"/>
                  <w:vAlign w:val="bottom"/>
                </w:tcPr>
                <w:p w14:paraId="0100319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619.90 </w:t>
                  </w:r>
                </w:p>
              </w:tc>
              <w:tc>
                <w:tcPr>
                  <w:tcW w:w="1027" w:type="dxa"/>
                  <w:vAlign w:val="bottom"/>
                </w:tcPr>
                <w:p w14:paraId="33D576D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6.58 </w:t>
                  </w:r>
                </w:p>
              </w:tc>
              <w:tc>
                <w:tcPr>
                  <w:tcW w:w="1139" w:type="dxa"/>
                  <w:vAlign w:val="bottom"/>
                </w:tcPr>
                <w:p w14:paraId="512F0DE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649.08 </w:t>
                  </w:r>
                </w:p>
              </w:tc>
              <w:tc>
                <w:tcPr>
                  <w:tcW w:w="1027" w:type="dxa"/>
                  <w:vAlign w:val="bottom"/>
                </w:tcPr>
                <w:p w14:paraId="6C33B7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4.66 </w:t>
                  </w:r>
                </w:p>
              </w:tc>
            </w:tr>
            <w:tr w14:paraId="49710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0AA765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30</w:t>
                  </w:r>
                </w:p>
              </w:tc>
              <w:tc>
                <w:tcPr>
                  <w:tcW w:w="1256" w:type="dxa"/>
                  <w:vAlign w:val="center"/>
                </w:tcPr>
                <w:p w14:paraId="5C337C3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FF7BB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660.47 </w:t>
                  </w:r>
                </w:p>
              </w:tc>
              <w:tc>
                <w:tcPr>
                  <w:tcW w:w="1027" w:type="dxa"/>
                  <w:vAlign w:val="bottom"/>
                </w:tcPr>
                <w:p w14:paraId="36C72A6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7.42 </w:t>
                  </w:r>
                </w:p>
              </w:tc>
              <w:tc>
                <w:tcPr>
                  <w:tcW w:w="1139" w:type="dxa"/>
                  <w:vAlign w:val="bottom"/>
                </w:tcPr>
                <w:p w14:paraId="00DFBF0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700.51 </w:t>
                  </w:r>
                </w:p>
              </w:tc>
              <w:tc>
                <w:tcPr>
                  <w:tcW w:w="1027" w:type="dxa"/>
                  <w:vAlign w:val="bottom"/>
                </w:tcPr>
                <w:p w14:paraId="79E3F50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7.19 </w:t>
                  </w:r>
                </w:p>
              </w:tc>
              <w:tc>
                <w:tcPr>
                  <w:tcW w:w="1139" w:type="dxa"/>
                  <w:vAlign w:val="bottom"/>
                </w:tcPr>
                <w:p w14:paraId="07743E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699.74 </w:t>
                  </w:r>
                </w:p>
              </w:tc>
              <w:tc>
                <w:tcPr>
                  <w:tcW w:w="1027" w:type="dxa"/>
                  <w:vAlign w:val="bottom"/>
                </w:tcPr>
                <w:p w14:paraId="0F26CA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4.96 </w:t>
                  </w:r>
                </w:p>
              </w:tc>
            </w:tr>
            <w:tr w14:paraId="52791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E60D6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31</w:t>
                  </w:r>
                </w:p>
              </w:tc>
              <w:tc>
                <w:tcPr>
                  <w:tcW w:w="1256" w:type="dxa"/>
                  <w:vAlign w:val="center"/>
                </w:tcPr>
                <w:p w14:paraId="72409A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-20,1.5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1BB17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753.45 </w:t>
                  </w:r>
                </w:p>
              </w:tc>
              <w:tc>
                <w:tcPr>
                  <w:tcW w:w="1027" w:type="dxa"/>
                  <w:vAlign w:val="bottom"/>
                </w:tcPr>
                <w:p w14:paraId="34CFC34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8.17 </w:t>
                  </w:r>
                </w:p>
              </w:tc>
              <w:tc>
                <w:tcPr>
                  <w:tcW w:w="1139" w:type="dxa"/>
                  <w:vAlign w:val="bottom"/>
                </w:tcPr>
                <w:p w14:paraId="614E4C6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796.25 </w:t>
                  </w:r>
                </w:p>
              </w:tc>
              <w:tc>
                <w:tcPr>
                  <w:tcW w:w="1027" w:type="dxa"/>
                  <w:vAlign w:val="bottom"/>
                </w:tcPr>
                <w:p w14:paraId="3200356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7.89 </w:t>
                  </w:r>
                </w:p>
              </w:tc>
              <w:tc>
                <w:tcPr>
                  <w:tcW w:w="1139" w:type="dxa"/>
                  <w:vAlign w:val="bottom"/>
                </w:tcPr>
                <w:p w14:paraId="48D56E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753.59 </w:t>
                  </w:r>
                </w:p>
              </w:tc>
              <w:tc>
                <w:tcPr>
                  <w:tcW w:w="1027" w:type="dxa"/>
                  <w:vAlign w:val="bottom"/>
                </w:tcPr>
                <w:p w14:paraId="176E6A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5.27 </w:t>
                  </w:r>
                </w:p>
              </w:tc>
            </w:tr>
            <w:tr w14:paraId="436B8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42" w:type="dxa"/>
                  <w:vAlign w:val="center"/>
                </w:tcPr>
                <w:p w14:paraId="194B87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32</w:t>
                  </w:r>
                </w:p>
              </w:tc>
              <w:tc>
                <w:tcPr>
                  <w:tcW w:w="1256" w:type="dxa"/>
                  <w:vAlign w:val="center"/>
                </w:tcPr>
                <w:p w14:paraId="086135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C7EB32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865.96 </w:t>
                  </w:r>
                </w:p>
              </w:tc>
              <w:tc>
                <w:tcPr>
                  <w:tcW w:w="1027" w:type="dxa"/>
                  <w:vAlign w:val="bottom"/>
                </w:tcPr>
                <w:p w14:paraId="14435D3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9.04 </w:t>
                  </w:r>
                </w:p>
              </w:tc>
              <w:tc>
                <w:tcPr>
                  <w:tcW w:w="1139" w:type="dxa"/>
                  <w:vAlign w:val="bottom"/>
                </w:tcPr>
                <w:p w14:paraId="2015A4E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910.46 </w:t>
                  </w:r>
                </w:p>
              </w:tc>
              <w:tc>
                <w:tcPr>
                  <w:tcW w:w="1027" w:type="dxa"/>
                  <w:vAlign w:val="bottom"/>
                </w:tcPr>
                <w:p w14:paraId="6E1B45A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8.69 </w:t>
                  </w:r>
                </w:p>
              </w:tc>
              <w:tc>
                <w:tcPr>
                  <w:tcW w:w="1139" w:type="dxa"/>
                  <w:vAlign w:val="bottom"/>
                </w:tcPr>
                <w:p w14:paraId="2824A6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810.33 </w:t>
                  </w:r>
                </w:p>
              </w:tc>
              <w:tc>
                <w:tcPr>
                  <w:tcW w:w="1027" w:type="dxa"/>
                  <w:vAlign w:val="bottom"/>
                </w:tcPr>
                <w:p w14:paraId="6657E7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5.61 </w:t>
                  </w:r>
                </w:p>
              </w:tc>
            </w:tr>
            <w:tr w14:paraId="6DF81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945BFC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33</w:t>
                  </w:r>
                </w:p>
              </w:tc>
              <w:tc>
                <w:tcPr>
                  <w:tcW w:w="1256" w:type="dxa"/>
                  <w:vAlign w:val="center"/>
                </w:tcPr>
                <w:p w14:paraId="30CA4E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-18,1.5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4AAA0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1003.00 </w:t>
                  </w:r>
                </w:p>
              </w:tc>
              <w:tc>
                <w:tcPr>
                  <w:tcW w:w="1027" w:type="dxa"/>
                  <w:vAlign w:val="bottom"/>
                </w:tcPr>
                <w:p w14:paraId="63B2683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10.04 </w:t>
                  </w:r>
                </w:p>
              </w:tc>
              <w:tc>
                <w:tcPr>
                  <w:tcW w:w="1139" w:type="dxa"/>
                  <w:vAlign w:val="bottom"/>
                </w:tcPr>
                <w:p w14:paraId="6F24E97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1047.23 </w:t>
                  </w:r>
                </w:p>
              </w:tc>
              <w:tc>
                <w:tcPr>
                  <w:tcW w:w="1027" w:type="dxa"/>
                  <w:vAlign w:val="bottom"/>
                </w:tcPr>
                <w:p w14:paraId="08562EF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9.61 </w:t>
                  </w:r>
                </w:p>
              </w:tc>
              <w:tc>
                <w:tcPr>
                  <w:tcW w:w="1139" w:type="dxa"/>
                  <w:vAlign w:val="bottom"/>
                </w:tcPr>
                <w:p w14:paraId="2D21128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869.44 </w:t>
                  </w:r>
                </w:p>
              </w:tc>
              <w:tc>
                <w:tcPr>
                  <w:tcW w:w="1027" w:type="dxa"/>
                  <w:vAlign w:val="bottom"/>
                </w:tcPr>
                <w:p w14:paraId="3DEE4D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5.97 </w:t>
                  </w:r>
                </w:p>
              </w:tc>
            </w:tr>
            <w:tr w14:paraId="78282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5D2DF9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34</w:t>
                  </w:r>
                </w:p>
              </w:tc>
              <w:tc>
                <w:tcPr>
                  <w:tcW w:w="1256" w:type="dxa"/>
                  <w:vAlign w:val="center"/>
                </w:tcPr>
                <w:p w14:paraId="5AAF60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62147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1170.92 </w:t>
                  </w:r>
                </w:p>
              </w:tc>
              <w:tc>
                <w:tcPr>
                  <w:tcW w:w="1027" w:type="dxa"/>
                  <w:vAlign w:val="bottom"/>
                </w:tcPr>
                <w:p w14:paraId="3DDB648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11.22 </w:t>
                  </w:r>
                </w:p>
              </w:tc>
              <w:tc>
                <w:tcPr>
                  <w:tcW w:w="1139" w:type="dxa"/>
                  <w:vAlign w:val="bottom"/>
                </w:tcPr>
                <w:p w14:paraId="6F1E022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1211.49 </w:t>
                  </w:r>
                </w:p>
              </w:tc>
              <w:tc>
                <w:tcPr>
                  <w:tcW w:w="1027" w:type="dxa"/>
                  <w:vAlign w:val="bottom"/>
                </w:tcPr>
                <w:p w14:paraId="22EBCB8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10.68 </w:t>
                  </w:r>
                </w:p>
              </w:tc>
              <w:tc>
                <w:tcPr>
                  <w:tcW w:w="1139" w:type="dxa"/>
                  <w:vAlign w:val="bottom"/>
                </w:tcPr>
                <w:p w14:paraId="198CE2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930.14 </w:t>
                  </w:r>
                </w:p>
              </w:tc>
              <w:tc>
                <w:tcPr>
                  <w:tcW w:w="1027" w:type="dxa"/>
                  <w:vAlign w:val="bottom"/>
                </w:tcPr>
                <w:p w14:paraId="1CCAF9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6.35 </w:t>
                  </w:r>
                </w:p>
              </w:tc>
            </w:tr>
            <w:tr w14:paraId="55F0D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1EDBA8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35</w:t>
                  </w:r>
                </w:p>
              </w:tc>
              <w:tc>
                <w:tcPr>
                  <w:tcW w:w="1256" w:type="dxa"/>
                  <w:vAlign w:val="center"/>
                </w:tcPr>
                <w:p w14:paraId="2F7006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-16,1.5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77151D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1377.67 </w:t>
                  </w:r>
                </w:p>
              </w:tc>
              <w:tc>
                <w:tcPr>
                  <w:tcW w:w="1027" w:type="dxa"/>
                  <w:vAlign w:val="bottom"/>
                </w:tcPr>
                <w:p w14:paraId="1C3725D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12.60 </w:t>
                  </w:r>
                </w:p>
              </w:tc>
              <w:tc>
                <w:tcPr>
                  <w:tcW w:w="1139" w:type="dxa"/>
                  <w:vAlign w:val="bottom"/>
                </w:tcPr>
                <w:p w14:paraId="17165B5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1409.02 </w:t>
                  </w:r>
                </w:p>
              </w:tc>
              <w:tc>
                <w:tcPr>
                  <w:tcW w:w="1027" w:type="dxa"/>
                  <w:vAlign w:val="bottom"/>
                </w:tcPr>
                <w:p w14:paraId="353F041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11.92 </w:t>
                  </w:r>
                </w:p>
              </w:tc>
              <w:tc>
                <w:tcPr>
                  <w:tcW w:w="1139" w:type="dxa"/>
                  <w:vAlign w:val="bottom"/>
                </w:tcPr>
                <w:p w14:paraId="1DB25D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991.32 </w:t>
                  </w:r>
                </w:p>
              </w:tc>
              <w:tc>
                <w:tcPr>
                  <w:tcW w:w="1027" w:type="dxa"/>
                  <w:vAlign w:val="bottom"/>
                </w:tcPr>
                <w:p w14:paraId="0DB0E69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6.75 </w:t>
                  </w:r>
                </w:p>
              </w:tc>
            </w:tr>
            <w:tr w14:paraId="031F9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283CEC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36</w:t>
                  </w:r>
                </w:p>
              </w:tc>
              <w:tc>
                <w:tcPr>
                  <w:tcW w:w="1256" w:type="dxa"/>
                  <w:vAlign w:val="center"/>
                </w:tcPr>
                <w:p w14:paraId="443B3F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A585CD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1633.11 </w:t>
                  </w:r>
                </w:p>
              </w:tc>
              <w:tc>
                <w:tcPr>
                  <w:tcW w:w="1027" w:type="dxa"/>
                  <w:vAlign w:val="bottom"/>
                </w:tcPr>
                <w:p w14:paraId="522BAE5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14.25 </w:t>
                  </w:r>
                </w:p>
              </w:tc>
              <w:tc>
                <w:tcPr>
                  <w:tcW w:w="1139" w:type="dxa"/>
                  <w:vAlign w:val="bottom"/>
                </w:tcPr>
                <w:p w14:paraId="7F6C4AF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1646.34 </w:t>
                  </w:r>
                </w:p>
              </w:tc>
              <w:tc>
                <w:tcPr>
                  <w:tcW w:w="1027" w:type="dxa"/>
                  <w:vAlign w:val="bottom"/>
                </w:tcPr>
                <w:p w14:paraId="524ED6F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13.36 </w:t>
                  </w:r>
                </w:p>
              </w:tc>
              <w:tc>
                <w:tcPr>
                  <w:tcW w:w="1139" w:type="dxa"/>
                  <w:vAlign w:val="bottom"/>
                </w:tcPr>
                <w:p w14:paraId="44DCD1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1051.50 </w:t>
                  </w:r>
                </w:p>
              </w:tc>
              <w:tc>
                <w:tcPr>
                  <w:tcW w:w="1027" w:type="dxa"/>
                  <w:vAlign w:val="bottom"/>
                </w:tcPr>
                <w:p w14:paraId="2E1404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7.18 </w:t>
                  </w:r>
                </w:p>
              </w:tc>
            </w:tr>
            <w:tr w14:paraId="6AA7E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2089AB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37</w:t>
                  </w:r>
                </w:p>
              </w:tc>
              <w:tc>
                <w:tcPr>
                  <w:tcW w:w="1256" w:type="dxa"/>
                  <w:vAlign w:val="center"/>
                </w:tcPr>
                <w:p w14:paraId="1C9BF9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-14,1.5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42D4D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1948.91 </w:t>
                  </w:r>
                </w:p>
              </w:tc>
              <w:tc>
                <w:tcPr>
                  <w:tcW w:w="1027" w:type="dxa"/>
                  <w:vAlign w:val="bottom"/>
                </w:tcPr>
                <w:p w14:paraId="083A18A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16.22 </w:t>
                  </w:r>
                </w:p>
              </w:tc>
              <w:tc>
                <w:tcPr>
                  <w:tcW w:w="1139" w:type="dxa"/>
                  <w:vAlign w:val="bottom"/>
                </w:tcPr>
                <w:p w14:paraId="6F05BCE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1930.20 </w:t>
                  </w:r>
                </w:p>
              </w:tc>
              <w:tc>
                <w:tcPr>
                  <w:tcW w:w="1027" w:type="dxa"/>
                  <w:vAlign w:val="bottom"/>
                </w:tcPr>
                <w:p w14:paraId="0025B21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15.06 </w:t>
                  </w:r>
                </w:p>
              </w:tc>
              <w:tc>
                <w:tcPr>
                  <w:tcW w:w="1139" w:type="dxa"/>
                  <w:vAlign w:val="bottom"/>
                </w:tcPr>
                <w:p w14:paraId="46423E9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1108.77 </w:t>
                  </w:r>
                </w:p>
              </w:tc>
              <w:tc>
                <w:tcPr>
                  <w:tcW w:w="1027" w:type="dxa"/>
                  <w:vAlign w:val="bottom"/>
                </w:tcPr>
                <w:p w14:paraId="308CAA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7.63 </w:t>
                  </w:r>
                </w:p>
              </w:tc>
            </w:tr>
            <w:tr w14:paraId="37CCF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0B363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38</w:t>
                  </w:r>
                </w:p>
              </w:tc>
              <w:tc>
                <w:tcPr>
                  <w:tcW w:w="1256" w:type="dxa"/>
                  <w:vAlign w:val="center"/>
                </w:tcPr>
                <w:p w14:paraId="6E9278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8D197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2338.10 </w:t>
                  </w:r>
                </w:p>
              </w:tc>
              <w:tc>
                <w:tcPr>
                  <w:tcW w:w="1027" w:type="dxa"/>
                  <w:vAlign w:val="bottom"/>
                </w:tcPr>
                <w:p w14:paraId="1414521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18.58 </w:t>
                  </w:r>
                </w:p>
              </w:tc>
              <w:tc>
                <w:tcPr>
                  <w:tcW w:w="1139" w:type="dxa"/>
                  <w:vAlign w:val="bottom"/>
                </w:tcPr>
                <w:p w14:paraId="494E1EA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2266.58 </w:t>
                  </w:r>
                </w:p>
              </w:tc>
              <w:tc>
                <w:tcPr>
                  <w:tcW w:w="1027" w:type="dxa"/>
                  <w:vAlign w:val="bottom"/>
                </w:tcPr>
                <w:p w14:paraId="0EA623A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17.05 </w:t>
                  </w:r>
                </w:p>
              </w:tc>
              <w:tc>
                <w:tcPr>
                  <w:tcW w:w="1139" w:type="dxa"/>
                  <w:vAlign w:val="bottom"/>
                </w:tcPr>
                <w:p w14:paraId="537272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1160.80 </w:t>
                  </w:r>
                </w:p>
              </w:tc>
              <w:tc>
                <w:tcPr>
                  <w:tcW w:w="1027" w:type="dxa"/>
                  <w:vAlign w:val="bottom"/>
                </w:tcPr>
                <w:p w14:paraId="28B44D3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8.09 </w:t>
                  </w:r>
                </w:p>
              </w:tc>
            </w:tr>
            <w:tr w14:paraId="1F9EC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5861B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39</w:t>
                  </w:r>
                </w:p>
              </w:tc>
              <w:tc>
                <w:tcPr>
                  <w:tcW w:w="1256" w:type="dxa"/>
                  <w:vAlign w:val="center"/>
                </w:tcPr>
                <w:p w14:paraId="7234AD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-12,1.5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8542A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2813.10 </w:t>
                  </w:r>
                </w:p>
              </w:tc>
              <w:tc>
                <w:tcPr>
                  <w:tcW w:w="1027" w:type="dxa"/>
                  <w:vAlign w:val="bottom"/>
                </w:tcPr>
                <w:p w14:paraId="053F535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21.43 </w:t>
                  </w:r>
                </w:p>
              </w:tc>
              <w:tc>
                <w:tcPr>
                  <w:tcW w:w="1139" w:type="dxa"/>
                  <w:vAlign w:val="bottom"/>
                </w:tcPr>
                <w:p w14:paraId="63550B6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2658.42 </w:t>
                  </w:r>
                </w:p>
              </w:tc>
              <w:tc>
                <w:tcPr>
                  <w:tcW w:w="1027" w:type="dxa"/>
                  <w:vAlign w:val="bottom"/>
                </w:tcPr>
                <w:p w14:paraId="1CF429D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19.37 </w:t>
                  </w:r>
                </w:p>
              </w:tc>
              <w:tc>
                <w:tcPr>
                  <w:tcW w:w="1139" w:type="dxa"/>
                  <w:vAlign w:val="bottom"/>
                </w:tcPr>
                <w:p w14:paraId="594174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1204.90 </w:t>
                  </w:r>
                </w:p>
              </w:tc>
              <w:tc>
                <w:tcPr>
                  <w:tcW w:w="1027" w:type="dxa"/>
                  <w:vAlign w:val="bottom"/>
                </w:tcPr>
                <w:p w14:paraId="61D7911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8.56 </w:t>
                  </w:r>
                </w:p>
              </w:tc>
            </w:tr>
            <w:tr w14:paraId="1B4D0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2DEE0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40</w:t>
                  </w:r>
                </w:p>
              </w:tc>
              <w:tc>
                <w:tcPr>
                  <w:tcW w:w="1256" w:type="dxa"/>
                  <w:vAlign w:val="center"/>
                </w:tcPr>
                <w:p w14:paraId="780921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90AD6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3381.31 </w:t>
                  </w:r>
                </w:p>
              </w:tc>
              <w:tc>
                <w:tcPr>
                  <w:tcW w:w="1027" w:type="dxa"/>
                  <w:vAlign w:val="bottom"/>
                </w:tcPr>
                <w:p w14:paraId="7634B1A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24.84 </w:t>
                  </w:r>
                </w:p>
              </w:tc>
              <w:tc>
                <w:tcPr>
                  <w:tcW w:w="1139" w:type="dxa"/>
                  <w:vAlign w:val="bottom"/>
                </w:tcPr>
                <w:p w14:paraId="5C96637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3101.85 </w:t>
                  </w:r>
                </w:p>
              </w:tc>
              <w:tc>
                <w:tcPr>
                  <w:tcW w:w="1027" w:type="dxa"/>
                  <w:vAlign w:val="bottom"/>
                </w:tcPr>
                <w:p w14:paraId="76EFD17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22.07 </w:t>
                  </w:r>
                </w:p>
              </w:tc>
              <w:tc>
                <w:tcPr>
                  <w:tcW w:w="1139" w:type="dxa"/>
                  <w:vAlign w:val="bottom"/>
                </w:tcPr>
                <w:p w14:paraId="0C94FC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1238.06 </w:t>
                  </w:r>
                </w:p>
              </w:tc>
              <w:tc>
                <w:tcPr>
                  <w:tcW w:w="1027" w:type="dxa"/>
                  <w:vAlign w:val="bottom"/>
                </w:tcPr>
                <w:p w14:paraId="1E7F9CC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9.04 </w:t>
                  </w:r>
                </w:p>
              </w:tc>
            </w:tr>
            <w:tr w14:paraId="4DAA2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4B40FD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41</w:t>
                  </w:r>
                </w:p>
              </w:tc>
              <w:tc>
                <w:tcPr>
                  <w:tcW w:w="1256" w:type="dxa"/>
                  <w:vAlign w:val="center"/>
                </w:tcPr>
                <w:p w14:paraId="0E436E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-10,1.5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F90F4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4036.06 </w:t>
                  </w:r>
                </w:p>
              </w:tc>
              <w:tc>
                <w:tcPr>
                  <w:tcW w:w="1027" w:type="dxa"/>
                  <w:vAlign w:val="bottom"/>
                </w:tcPr>
                <w:p w14:paraId="1EA93EF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28.88 </w:t>
                  </w:r>
                </w:p>
              </w:tc>
              <w:tc>
                <w:tcPr>
                  <w:tcW w:w="1139" w:type="dxa"/>
                  <w:vAlign w:val="bottom"/>
                </w:tcPr>
                <w:p w14:paraId="0CCEBA2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3580.20 </w:t>
                  </w:r>
                </w:p>
              </w:tc>
              <w:tc>
                <w:tcPr>
                  <w:tcW w:w="1027" w:type="dxa"/>
                  <w:vAlign w:val="bottom"/>
                </w:tcPr>
                <w:p w14:paraId="7762EF9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25.13 </w:t>
                  </w:r>
                </w:p>
              </w:tc>
              <w:tc>
                <w:tcPr>
                  <w:tcW w:w="1139" w:type="dxa"/>
                  <w:vAlign w:val="bottom"/>
                </w:tcPr>
                <w:p w14:paraId="40854DE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1257.19 </w:t>
                  </w:r>
                </w:p>
              </w:tc>
              <w:tc>
                <w:tcPr>
                  <w:tcW w:w="1027" w:type="dxa"/>
                  <w:vAlign w:val="bottom"/>
                </w:tcPr>
                <w:p w14:paraId="7F50E6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9.52 </w:t>
                  </w:r>
                </w:p>
              </w:tc>
            </w:tr>
            <w:tr w14:paraId="3CF25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4EEBC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42</w:t>
                  </w:r>
                </w:p>
              </w:tc>
              <w:tc>
                <w:tcPr>
                  <w:tcW w:w="1256" w:type="dxa"/>
                  <w:vAlign w:val="center"/>
                </w:tcPr>
                <w:p w14:paraId="5534A6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299CD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4741.27 </w:t>
                  </w:r>
                </w:p>
              </w:tc>
              <w:tc>
                <w:tcPr>
                  <w:tcW w:w="1027" w:type="dxa"/>
                  <w:vAlign w:val="bottom"/>
                </w:tcPr>
                <w:p w14:paraId="044E360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33.54 </w:t>
                  </w:r>
                </w:p>
              </w:tc>
              <w:tc>
                <w:tcPr>
                  <w:tcW w:w="1139" w:type="dxa"/>
                  <w:vAlign w:val="bottom"/>
                </w:tcPr>
                <w:p w14:paraId="5D88853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4056.54 </w:t>
                  </w:r>
                </w:p>
              </w:tc>
              <w:tc>
                <w:tcPr>
                  <w:tcW w:w="1027" w:type="dxa"/>
                  <w:vAlign w:val="bottom"/>
                </w:tcPr>
                <w:p w14:paraId="382505F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28.51 </w:t>
                  </w:r>
                </w:p>
              </w:tc>
              <w:tc>
                <w:tcPr>
                  <w:tcW w:w="1139" w:type="dxa"/>
                  <w:vAlign w:val="bottom"/>
                </w:tcPr>
                <w:p w14:paraId="5AACBA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1259.42 </w:t>
                  </w:r>
                </w:p>
              </w:tc>
              <w:tc>
                <w:tcPr>
                  <w:tcW w:w="1027" w:type="dxa"/>
                  <w:vAlign w:val="bottom"/>
                </w:tcPr>
                <w:p w14:paraId="5C41AA9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9.99 </w:t>
                  </w:r>
                </w:p>
              </w:tc>
            </w:tr>
            <w:tr w14:paraId="4B0FB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C6A288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43</w:t>
                  </w:r>
                </w:p>
              </w:tc>
              <w:tc>
                <w:tcPr>
                  <w:tcW w:w="1256" w:type="dxa"/>
                  <w:vAlign w:val="center"/>
                </w:tcPr>
                <w:p w14:paraId="5D171BA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21665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5412.13 </w:t>
                  </w:r>
                </w:p>
              </w:tc>
              <w:tc>
                <w:tcPr>
                  <w:tcW w:w="1027" w:type="dxa"/>
                  <w:vAlign w:val="bottom"/>
                </w:tcPr>
                <w:p w14:paraId="152532C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38.62 </w:t>
                  </w:r>
                </w:p>
              </w:tc>
              <w:tc>
                <w:tcPr>
                  <w:tcW w:w="1139" w:type="dxa"/>
                  <w:vAlign w:val="bottom"/>
                </w:tcPr>
                <w:p w14:paraId="067C43B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4468.17 </w:t>
                  </w:r>
                </w:p>
              </w:tc>
              <w:tc>
                <w:tcPr>
                  <w:tcW w:w="1027" w:type="dxa"/>
                  <w:vAlign w:val="bottom"/>
                </w:tcPr>
                <w:p w14:paraId="21E723E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32.04 </w:t>
                  </w:r>
                </w:p>
              </w:tc>
              <w:tc>
                <w:tcPr>
                  <w:tcW w:w="1139" w:type="dxa"/>
                  <w:vAlign w:val="bottom"/>
                </w:tcPr>
                <w:p w14:paraId="285360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1242.38 </w:t>
                  </w:r>
                </w:p>
              </w:tc>
              <w:tc>
                <w:tcPr>
                  <w:tcW w:w="1027" w:type="dxa"/>
                  <w:vAlign w:val="bottom"/>
                </w:tcPr>
                <w:p w14:paraId="0AA446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10.44 </w:t>
                  </w:r>
                </w:p>
              </w:tc>
            </w:tr>
            <w:tr w14:paraId="0FF99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3A411A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44</w:t>
                  </w:r>
                </w:p>
              </w:tc>
              <w:tc>
                <w:tcPr>
                  <w:tcW w:w="1256" w:type="dxa"/>
                  <w:vAlign w:val="center"/>
                </w:tcPr>
                <w:p w14:paraId="60B14A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91519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5906.83 </w:t>
                  </w:r>
                </w:p>
              </w:tc>
              <w:tc>
                <w:tcPr>
                  <w:tcW w:w="1027" w:type="dxa"/>
                  <w:vAlign w:val="bottom"/>
                </w:tcPr>
                <w:p w14:paraId="3A36FC7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43.66 </w:t>
                  </w:r>
                </w:p>
              </w:tc>
              <w:tc>
                <w:tcPr>
                  <w:tcW w:w="1139" w:type="dxa"/>
                  <w:vAlign w:val="bottom"/>
                </w:tcPr>
                <w:p w14:paraId="07EAD7A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4730.93 </w:t>
                  </w:r>
                </w:p>
              </w:tc>
              <w:tc>
                <w:tcPr>
                  <w:tcW w:w="1027" w:type="dxa"/>
                  <w:vAlign w:val="bottom"/>
                </w:tcPr>
                <w:p w14:paraId="003E5CE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35.47 </w:t>
                  </w:r>
                </w:p>
              </w:tc>
              <w:tc>
                <w:tcPr>
                  <w:tcW w:w="1139" w:type="dxa"/>
                  <w:vAlign w:val="bottom"/>
                </w:tcPr>
                <w:p w14:paraId="0002D98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1204.74 </w:t>
                  </w:r>
                </w:p>
              </w:tc>
              <w:tc>
                <w:tcPr>
                  <w:tcW w:w="1027" w:type="dxa"/>
                  <w:vAlign w:val="bottom"/>
                </w:tcPr>
                <w:p w14:paraId="53D419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10.87 </w:t>
                  </w:r>
                </w:p>
              </w:tc>
            </w:tr>
            <w:tr w14:paraId="06541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4F9B1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45</w:t>
                  </w:r>
                </w:p>
              </w:tc>
              <w:tc>
                <w:tcPr>
                  <w:tcW w:w="1256" w:type="dxa"/>
                  <w:vAlign w:val="center"/>
                </w:tcPr>
                <w:p w14:paraId="45CDD1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54F60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6060.03 </w:t>
                  </w:r>
                </w:p>
              </w:tc>
              <w:tc>
                <w:tcPr>
                  <w:tcW w:w="1027" w:type="dxa"/>
                  <w:vAlign w:val="bottom"/>
                </w:tcPr>
                <w:p w14:paraId="3E58507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47.94 </w:t>
                  </w:r>
                </w:p>
              </w:tc>
              <w:tc>
                <w:tcPr>
                  <w:tcW w:w="1139" w:type="dxa"/>
                  <w:vAlign w:val="bottom"/>
                </w:tcPr>
                <w:p w14:paraId="3B7F12E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4761.48 </w:t>
                  </w:r>
                </w:p>
              </w:tc>
              <w:tc>
                <w:tcPr>
                  <w:tcW w:w="1027" w:type="dxa"/>
                  <w:vAlign w:val="bottom"/>
                </w:tcPr>
                <w:p w14:paraId="0AF0325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38.45 </w:t>
                  </w:r>
                </w:p>
              </w:tc>
              <w:tc>
                <w:tcPr>
                  <w:tcW w:w="1139" w:type="dxa"/>
                  <w:vAlign w:val="bottom"/>
                </w:tcPr>
                <w:p w14:paraId="642D32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1146.67 </w:t>
                  </w:r>
                </w:p>
              </w:tc>
              <w:tc>
                <w:tcPr>
                  <w:tcW w:w="1027" w:type="dxa"/>
                  <w:vAlign w:val="bottom"/>
                </w:tcPr>
                <w:p w14:paraId="61AF68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11.25 </w:t>
                  </w:r>
                </w:p>
              </w:tc>
            </w:tr>
            <w:tr w14:paraId="6591C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4845A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46</w:t>
                  </w:r>
                </w:p>
              </w:tc>
              <w:tc>
                <w:tcPr>
                  <w:tcW w:w="1256" w:type="dxa"/>
                  <w:vAlign w:val="center"/>
                </w:tcPr>
                <w:p w14:paraId="71AC94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5B51B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5769.30 </w:t>
                  </w:r>
                </w:p>
              </w:tc>
              <w:tc>
                <w:tcPr>
                  <w:tcW w:w="1027" w:type="dxa"/>
                  <w:vAlign w:val="bottom"/>
                </w:tcPr>
                <w:p w14:paraId="52C3506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50.85 </w:t>
                  </w:r>
                </w:p>
              </w:tc>
              <w:tc>
                <w:tcPr>
                  <w:tcW w:w="1139" w:type="dxa"/>
                  <w:vAlign w:val="bottom"/>
                </w:tcPr>
                <w:p w14:paraId="718EBBB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4513.84 </w:t>
                  </w:r>
                </w:p>
              </w:tc>
              <w:tc>
                <w:tcPr>
                  <w:tcW w:w="1027" w:type="dxa"/>
                  <w:vAlign w:val="bottom"/>
                </w:tcPr>
                <w:p w14:paraId="1E8FF87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40.69 </w:t>
                  </w:r>
                </w:p>
              </w:tc>
              <w:tc>
                <w:tcPr>
                  <w:tcW w:w="1139" w:type="dxa"/>
                  <w:vAlign w:val="bottom"/>
                </w:tcPr>
                <w:p w14:paraId="61FDCD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1070.39 </w:t>
                  </w:r>
                </w:p>
              </w:tc>
              <w:tc>
                <w:tcPr>
                  <w:tcW w:w="1027" w:type="dxa"/>
                  <w:vAlign w:val="bottom"/>
                </w:tcPr>
                <w:p w14:paraId="2B36A5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11.59 </w:t>
                  </w:r>
                </w:p>
              </w:tc>
            </w:tr>
            <w:tr w14:paraId="7F1BE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F64C1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47</w:t>
                  </w:r>
                </w:p>
              </w:tc>
              <w:tc>
                <w:tcPr>
                  <w:tcW w:w="1256" w:type="dxa"/>
                  <w:vAlign w:val="center"/>
                </w:tcPr>
                <w:p w14:paraId="6A178B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39758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5069.70 </w:t>
                  </w:r>
                </w:p>
              </w:tc>
              <w:tc>
                <w:tcPr>
                  <w:tcW w:w="1027" w:type="dxa"/>
                  <w:vAlign w:val="bottom"/>
                </w:tcPr>
                <w:p w14:paraId="6CD1E3D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52.23 </w:t>
                  </w:r>
                </w:p>
              </w:tc>
              <w:tc>
                <w:tcPr>
                  <w:tcW w:w="1139" w:type="dxa"/>
                  <w:vAlign w:val="bottom"/>
                </w:tcPr>
                <w:p w14:paraId="5AB89F0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4006.07 </w:t>
                  </w:r>
                </w:p>
              </w:tc>
              <w:tc>
                <w:tcPr>
                  <w:tcW w:w="1027" w:type="dxa"/>
                  <w:vAlign w:val="bottom"/>
                </w:tcPr>
                <w:p w14:paraId="71C8DA9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42.11 </w:t>
                  </w:r>
                </w:p>
              </w:tc>
              <w:tc>
                <w:tcPr>
                  <w:tcW w:w="1139" w:type="dxa"/>
                  <w:vAlign w:val="bottom"/>
                </w:tcPr>
                <w:p w14:paraId="6B0877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980.83 </w:t>
                  </w:r>
                </w:p>
              </w:tc>
              <w:tc>
                <w:tcPr>
                  <w:tcW w:w="1027" w:type="dxa"/>
                  <w:vAlign w:val="bottom"/>
                </w:tcPr>
                <w:p w14:paraId="70F14E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11.88 </w:t>
                  </w:r>
                </w:p>
              </w:tc>
            </w:tr>
            <w:tr w14:paraId="40AB5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624B1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48</w:t>
                  </w:r>
                </w:p>
              </w:tc>
              <w:tc>
                <w:tcPr>
                  <w:tcW w:w="1256" w:type="dxa"/>
                  <w:vAlign w:val="center"/>
                </w:tcPr>
                <w:p w14:paraId="7763C13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4305B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4113.44 </w:t>
                  </w:r>
                </w:p>
              </w:tc>
              <w:tc>
                <w:tcPr>
                  <w:tcW w:w="1027" w:type="dxa"/>
                  <w:vAlign w:val="bottom"/>
                </w:tcPr>
                <w:p w14:paraId="4799595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52.43 </w:t>
                  </w:r>
                </w:p>
              </w:tc>
              <w:tc>
                <w:tcPr>
                  <w:tcW w:w="1139" w:type="dxa"/>
                  <w:vAlign w:val="bottom"/>
                </w:tcPr>
                <w:p w14:paraId="26C3F25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3315.94 </w:t>
                  </w:r>
                </w:p>
              </w:tc>
              <w:tc>
                <w:tcPr>
                  <w:tcW w:w="1027" w:type="dxa"/>
                  <w:vAlign w:val="bottom"/>
                </w:tcPr>
                <w:p w14:paraId="14EB240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42.82 </w:t>
                  </w:r>
                </w:p>
              </w:tc>
              <w:tc>
                <w:tcPr>
                  <w:tcW w:w="1139" w:type="dxa"/>
                  <w:vAlign w:val="bottom"/>
                </w:tcPr>
                <w:p w14:paraId="628C99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886.39 </w:t>
                  </w:r>
                </w:p>
              </w:tc>
              <w:tc>
                <w:tcPr>
                  <w:tcW w:w="1027" w:type="dxa"/>
                  <w:vAlign w:val="bottom"/>
                </w:tcPr>
                <w:p w14:paraId="17D054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12.11 </w:t>
                  </w:r>
                </w:p>
              </w:tc>
            </w:tr>
            <w:tr w14:paraId="7E0CC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2A842D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49</w:t>
                  </w:r>
                </w:p>
              </w:tc>
              <w:tc>
                <w:tcPr>
                  <w:tcW w:w="1256" w:type="dxa"/>
                  <w:vAlign w:val="center"/>
                </w:tcPr>
                <w:p w14:paraId="43D7CE1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F831C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3091.58 </w:t>
                  </w:r>
                </w:p>
              </w:tc>
              <w:tc>
                <w:tcPr>
                  <w:tcW w:w="1027" w:type="dxa"/>
                  <w:vAlign w:val="bottom"/>
                </w:tcPr>
                <w:p w14:paraId="498AF0A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52.07 </w:t>
                  </w:r>
                </w:p>
              </w:tc>
              <w:tc>
                <w:tcPr>
                  <w:tcW w:w="1139" w:type="dxa"/>
                  <w:vAlign w:val="bottom"/>
                </w:tcPr>
                <w:p w14:paraId="5A7F2A1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2559.46 </w:t>
                  </w:r>
                </w:p>
              </w:tc>
              <w:tc>
                <w:tcPr>
                  <w:tcW w:w="1027" w:type="dxa"/>
                  <w:vAlign w:val="bottom"/>
                </w:tcPr>
                <w:p w14:paraId="15DDF39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43.07 </w:t>
                  </w:r>
                </w:p>
              </w:tc>
              <w:tc>
                <w:tcPr>
                  <w:tcW w:w="1139" w:type="dxa"/>
                  <w:vAlign w:val="bottom"/>
                </w:tcPr>
                <w:p w14:paraId="05E9B0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799.55 </w:t>
                  </w:r>
                </w:p>
              </w:tc>
              <w:tc>
                <w:tcPr>
                  <w:tcW w:w="1027" w:type="dxa"/>
                  <w:vAlign w:val="bottom"/>
                </w:tcPr>
                <w:p w14:paraId="0F881F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12.28 </w:t>
                  </w:r>
                </w:p>
              </w:tc>
            </w:tr>
            <w:tr w14:paraId="05C3D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ABA03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50</w:t>
                  </w:r>
                </w:p>
              </w:tc>
              <w:tc>
                <w:tcPr>
                  <w:tcW w:w="1256" w:type="dxa"/>
                  <w:vAlign w:val="center"/>
                </w:tcPr>
                <w:p w14:paraId="3B6439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A62388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2218.09 </w:t>
                  </w:r>
                </w:p>
              </w:tc>
              <w:tc>
                <w:tcPr>
                  <w:tcW w:w="1027" w:type="dxa"/>
                  <w:vAlign w:val="bottom"/>
                </w:tcPr>
                <w:p w14:paraId="5C02A21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51.65 </w:t>
                  </w:r>
                </w:p>
              </w:tc>
              <w:tc>
                <w:tcPr>
                  <w:tcW w:w="1139" w:type="dxa"/>
                  <w:vAlign w:val="bottom"/>
                </w:tcPr>
                <w:p w14:paraId="2174A44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1899.62 </w:t>
                  </w:r>
                </w:p>
              </w:tc>
              <w:tc>
                <w:tcPr>
                  <w:tcW w:w="1027" w:type="dxa"/>
                  <w:vAlign w:val="bottom"/>
                </w:tcPr>
                <w:p w14:paraId="4EB93C8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43.10 </w:t>
                  </w:r>
                </w:p>
              </w:tc>
              <w:tc>
                <w:tcPr>
                  <w:tcW w:w="1139" w:type="dxa"/>
                  <w:vAlign w:val="bottom"/>
                </w:tcPr>
                <w:p w14:paraId="6B6D7A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736.54 </w:t>
                  </w:r>
                </w:p>
              </w:tc>
              <w:tc>
                <w:tcPr>
                  <w:tcW w:w="1027" w:type="dxa"/>
                  <w:vAlign w:val="bottom"/>
                </w:tcPr>
                <w:p w14:paraId="36CDB4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12.38 </w:t>
                  </w:r>
                </w:p>
              </w:tc>
            </w:tr>
            <w:tr w14:paraId="3FC24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88C4CD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51</w:t>
                  </w:r>
                </w:p>
              </w:tc>
              <w:tc>
                <w:tcPr>
                  <w:tcW w:w="1256" w:type="dxa"/>
                  <w:vAlign w:val="center"/>
                </w:tcPr>
                <w:p w14:paraId="7826E0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111BD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1833.77 </w:t>
                  </w:r>
                </w:p>
              </w:tc>
              <w:tc>
                <w:tcPr>
                  <w:tcW w:w="1027" w:type="dxa"/>
                  <w:vAlign w:val="bottom"/>
                </w:tcPr>
                <w:p w14:paraId="646DD57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51.48 </w:t>
                  </w:r>
                </w:p>
              </w:tc>
              <w:tc>
                <w:tcPr>
                  <w:tcW w:w="1139" w:type="dxa"/>
                  <w:vAlign w:val="bottom"/>
                </w:tcPr>
                <w:p w14:paraId="3D8B710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1609.48 </w:t>
                  </w:r>
                </w:p>
              </w:tc>
              <w:tc>
                <w:tcPr>
                  <w:tcW w:w="1027" w:type="dxa"/>
                  <w:vAlign w:val="bottom"/>
                </w:tcPr>
                <w:p w14:paraId="2C1041E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43.10 </w:t>
                  </w:r>
                </w:p>
              </w:tc>
              <w:tc>
                <w:tcPr>
                  <w:tcW w:w="1139" w:type="dxa"/>
                  <w:vAlign w:val="bottom"/>
                </w:tcPr>
                <w:p w14:paraId="019DEE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713.20 </w:t>
                  </w:r>
                </w:p>
              </w:tc>
              <w:tc>
                <w:tcPr>
                  <w:tcW w:w="1027" w:type="dxa"/>
                  <w:vAlign w:val="bottom"/>
                </w:tcPr>
                <w:p w14:paraId="6C597D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12.42 </w:t>
                  </w:r>
                </w:p>
              </w:tc>
            </w:tr>
            <w:tr w14:paraId="432F0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154DF8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52</w:t>
                  </w:r>
                </w:p>
              </w:tc>
              <w:tc>
                <w:tcPr>
                  <w:tcW w:w="1256" w:type="dxa"/>
                  <w:vAlign w:val="center"/>
                </w:tcPr>
                <w:p w14:paraId="0E610D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CD996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2218.09 </w:t>
                  </w:r>
                </w:p>
              </w:tc>
              <w:tc>
                <w:tcPr>
                  <w:tcW w:w="1027" w:type="dxa"/>
                  <w:vAlign w:val="bottom"/>
                </w:tcPr>
                <w:p w14:paraId="2342104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51.65 </w:t>
                  </w:r>
                </w:p>
              </w:tc>
              <w:tc>
                <w:tcPr>
                  <w:tcW w:w="1139" w:type="dxa"/>
                  <w:vAlign w:val="bottom"/>
                </w:tcPr>
                <w:p w14:paraId="3A67267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1899.62 </w:t>
                  </w:r>
                </w:p>
              </w:tc>
              <w:tc>
                <w:tcPr>
                  <w:tcW w:w="1027" w:type="dxa"/>
                  <w:vAlign w:val="bottom"/>
                </w:tcPr>
                <w:p w14:paraId="5E2F0DD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43.10 </w:t>
                  </w:r>
                </w:p>
              </w:tc>
              <w:tc>
                <w:tcPr>
                  <w:tcW w:w="1139" w:type="dxa"/>
                  <w:vAlign w:val="bottom"/>
                </w:tcPr>
                <w:p w14:paraId="327954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736.54 </w:t>
                  </w:r>
                </w:p>
              </w:tc>
              <w:tc>
                <w:tcPr>
                  <w:tcW w:w="1027" w:type="dxa"/>
                  <w:vAlign w:val="bottom"/>
                </w:tcPr>
                <w:p w14:paraId="1B2A4A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12.38 </w:t>
                  </w:r>
                </w:p>
              </w:tc>
            </w:tr>
            <w:tr w14:paraId="0B13D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42CA2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53</w:t>
                  </w:r>
                </w:p>
              </w:tc>
              <w:tc>
                <w:tcPr>
                  <w:tcW w:w="1256" w:type="dxa"/>
                  <w:vAlign w:val="center"/>
                </w:tcPr>
                <w:p w14:paraId="053F74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63D29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3091.58 </w:t>
                  </w:r>
                </w:p>
              </w:tc>
              <w:tc>
                <w:tcPr>
                  <w:tcW w:w="1027" w:type="dxa"/>
                  <w:vAlign w:val="bottom"/>
                </w:tcPr>
                <w:p w14:paraId="582FA6F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52.07 </w:t>
                  </w:r>
                </w:p>
              </w:tc>
              <w:tc>
                <w:tcPr>
                  <w:tcW w:w="1139" w:type="dxa"/>
                  <w:vAlign w:val="bottom"/>
                </w:tcPr>
                <w:p w14:paraId="6BEA2E1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2559.46 </w:t>
                  </w:r>
                </w:p>
              </w:tc>
              <w:tc>
                <w:tcPr>
                  <w:tcW w:w="1027" w:type="dxa"/>
                  <w:vAlign w:val="bottom"/>
                </w:tcPr>
                <w:p w14:paraId="5EC0EC1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43.07 </w:t>
                  </w:r>
                </w:p>
              </w:tc>
              <w:tc>
                <w:tcPr>
                  <w:tcW w:w="1139" w:type="dxa"/>
                  <w:vAlign w:val="bottom"/>
                </w:tcPr>
                <w:p w14:paraId="1E0485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799.55 </w:t>
                  </w:r>
                </w:p>
              </w:tc>
              <w:tc>
                <w:tcPr>
                  <w:tcW w:w="1027" w:type="dxa"/>
                  <w:vAlign w:val="bottom"/>
                </w:tcPr>
                <w:p w14:paraId="77CE0B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12.28 </w:t>
                  </w:r>
                </w:p>
              </w:tc>
            </w:tr>
            <w:tr w14:paraId="7F29E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8033D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54</w:t>
                  </w:r>
                </w:p>
              </w:tc>
              <w:tc>
                <w:tcPr>
                  <w:tcW w:w="1256" w:type="dxa"/>
                  <w:vAlign w:val="center"/>
                </w:tcPr>
                <w:p w14:paraId="678FCE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1CC4D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4113.44 </w:t>
                  </w:r>
                </w:p>
              </w:tc>
              <w:tc>
                <w:tcPr>
                  <w:tcW w:w="1027" w:type="dxa"/>
                  <w:vAlign w:val="bottom"/>
                </w:tcPr>
                <w:p w14:paraId="22941C7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52.43 </w:t>
                  </w:r>
                </w:p>
              </w:tc>
              <w:tc>
                <w:tcPr>
                  <w:tcW w:w="1139" w:type="dxa"/>
                  <w:vAlign w:val="bottom"/>
                </w:tcPr>
                <w:p w14:paraId="1D0AD18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3315.94 </w:t>
                  </w:r>
                </w:p>
              </w:tc>
              <w:tc>
                <w:tcPr>
                  <w:tcW w:w="1027" w:type="dxa"/>
                  <w:vAlign w:val="bottom"/>
                </w:tcPr>
                <w:p w14:paraId="3D23A25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42.82 </w:t>
                  </w:r>
                </w:p>
              </w:tc>
              <w:tc>
                <w:tcPr>
                  <w:tcW w:w="1139" w:type="dxa"/>
                  <w:vAlign w:val="bottom"/>
                </w:tcPr>
                <w:p w14:paraId="51DDB8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886.39 </w:t>
                  </w:r>
                </w:p>
              </w:tc>
              <w:tc>
                <w:tcPr>
                  <w:tcW w:w="1027" w:type="dxa"/>
                  <w:vAlign w:val="bottom"/>
                </w:tcPr>
                <w:p w14:paraId="162F91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12.11 </w:t>
                  </w:r>
                </w:p>
              </w:tc>
            </w:tr>
            <w:tr w14:paraId="5C67B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24A3A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55</w:t>
                  </w:r>
                </w:p>
              </w:tc>
              <w:tc>
                <w:tcPr>
                  <w:tcW w:w="1256" w:type="dxa"/>
                  <w:vAlign w:val="center"/>
                </w:tcPr>
                <w:p w14:paraId="0DFBBC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CD295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5069.70 </w:t>
                  </w:r>
                </w:p>
              </w:tc>
              <w:tc>
                <w:tcPr>
                  <w:tcW w:w="1027" w:type="dxa"/>
                  <w:vAlign w:val="bottom"/>
                </w:tcPr>
                <w:p w14:paraId="30CC908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52.23 </w:t>
                  </w:r>
                </w:p>
              </w:tc>
              <w:tc>
                <w:tcPr>
                  <w:tcW w:w="1139" w:type="dxa"/>
                  <w:vAlign w:val="bottom"/>
                </w:tcPr>
                <w:p w14:paraId="51E8425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4006.07 </w:t>
                  </w:r>
                </w:p>
              </w:tc>
              <w:tc>
                <w:tcPr>
                  <w:tcW w:w="1027" w:type="dxa"/>
                  <w:vAlign w:val="bottom"/>
                </w:tcPr>
                <w:p w14:paraId="0C5AA0A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42.11 </w:t>
                  </w:r>
                </w:p>
              </w:tc>
              <w:tc>
                <w:tcPr>
                  <w:tcW w:w="1139" w:type="dxa"/>
                  <w:vAlign w:val="bottom"/>
                </w:tcPr>
                <w:p w14:paraId="5CCC41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980.83 </w:t>
                  </w:r>
                </w:p>
              </w:tc>
              <w:tc>
                <w:tcPr>
                  <w:tcW w:w="1027" w:type="dxa"/>
                  <w:vAlign w:val="bottom"/>
                </w:tcPr>
                <w:p w14:paraId="38C0ED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11.88 </w:t>
                  </w:r>
                </w:p>
              </w:tc>
            </w:tr>
            <w:tr w14:paraId="0D74B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8E8C4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56</w:t>
                  </w:r>
                </w:p>
              </w:tc>
              <w:tc>
                <w:tcPr>
                  <w:tcW w:w="1256" w:type="dxa"/>
                  <w:vAlign w:val="center"/>
                </w:tcPr>
                <w:p w14:paraId="460655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34E6E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5769.30 </w:t>
                  </w:r>
                </w:p>
              </w:tc>
              <w:tc>
                <w:tcPr>
                  <w:tcW w:w="1027" w:type="dxa"/>
                  <w:vAlign w:val="bottom"/>
                </w:tcPr>
                <w:p w14:paraId="1FEFA65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50.85 </w:t>
                  </w:r>
                </w:p>
              </w:tc>
              <w:tc>
                <w:tcPr>
                  <w:tcW w:w="1139" w:type="dxa"/>
                  <w:vAlign w:val="bottom"/>
                </w:tcPr>
                <w:p w14:paraId="4451732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4513.84 </w:t>
                  </w:r>
                </w:p>
              </w:tc>
              <w:tc>
                <w:tcPr>
                  <w:tcW w:w="1027" w:type="dxa"/>
                  <w:vAlign w:val="bottom"/>
                </w:tcPr>
                <w:p w14:paraId="72C76A2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40.69 </w:t>
                  </w:r>
                </w:p>
              </w:tc>
              <w:tc>
                <w:tcPr>
                  <w:tcW w:w="1139" w:type="dxa"/>
                  <w:vAlign w:val="bottom"/>
                </w:tcPr>
                <w:p w14:paraId="2E1A37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1070.39 </w:t>
                  </w:r>
                </w:p>
              </w:tc>
              <w:tc>
                <w:tcPr>
                  <w:tcW w:w="1027" w:type="dxa"/>
                  <w:vAlign w:val="bottom"/>
                </w:tcPr>
                <w:p w14:paraId="28605F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11.59 </w:t>
                  </w:r>
                </w:p>
              </w:tc>
            </w:tr>
            <w:tr w14:paraId="7D174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FAE96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57</w:t>
                  </w:r>
                </w:p>
              </w:tc>
              <w:tc>
                <w:tcPr>
                  <w:tcW w:w="1256" w:type="dxa"/>
                  <w:vAlign w:val="center"/>
                </w:tcPr>
                <w:p w14:paraId="052191B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46DEF5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6060.03 </w:t>
                  </w:r>
                </w:p>
              </w:tc>
              <w:tc>
                <w:tcPr>
                  <w:tcW w:w="1027" w:type="dxa"/>
                  <w:vAlign w:val="bottom"/>
                </w:tcPr>
                <w:p w14:paraId="140BD7C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47.94 </w:t>
                  </w:r>
                </w:p>
              </w:tc>
              <w:tc>
                <w:tcPr>
                  <w:tcW w:w="1139" w:type="dxa"/>
                  <w:vAlign w:val="bottom"/>
                </w:tcPr>
                <w:p w14:paraId="0553B48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4761.48 </w:t>
                  </w:r>
                </w:p>
              </w:tc>
              <w:tc>
                <w:tcPr>
                  <w:tcW w:w="1027" w:type="dxa"/>
                  <w:vAlign w:val="bottom"/>
                </w:tcPr>
                <w:p w14:paraId="5EFF901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38.45 </w:t>
                  </w:r>
                </w:p>
              </w:tc>
              <w:tc>
                <w:tcPr>
                  <w:tcW w:w="1139" w:type="dxa"/>
                  <w:vAlign w:val="bottom"/>
                </w:tcPr>
                <w:p w14:paraId="654FE8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1146.67 </w:t>
                  </w:r>
                </w:p>
              </w:tc>
              <w:tc>
                <w:tcPr>
                  <w:tcW w:w="1027" w:type="dxa"/>
                  <w:vAlign w:val="bottom"/>
                </w:tcPr>
                <w:p w14:paraId="20D711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11.25 </w:t>
                  </w:r>
                </w:p>
              </w:tc>
            </w:tr>
            <w:tr w14:paraId="31D3F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554613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58</w:t>
                  </w:r>
                </w:p>
              </w:tc>
              <w:tc>
                <w:tcPr>
                  <w:tcW w:w="1256" w:type="dxa"/>
                  <w:vAlign w:val="center"/>
                </w:tcPr>
                <w:p w14:paraId="30990A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D58B2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5906.83 </w:t>
                  </w:r>
                </w:p>
              </w:tc>
              <w:tc>
                <w:tcPr>
                  <w:tcW w:w="1027" w:type="dxa"/>
                  <w:vAlign w:val="bottom"/>
                </w:tcPr>
                <w:p w14:paraId="5C1F4E7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43.66 </w:t>
                  </w:r>
                </w:p>
              </w:tc>
              <w:tc>
                <w:tcPr>
                  <w:tcW w:w="1139" w:type="dxa"/>
                  <w:vAlign w:val="bottom"/>
                </w:tcPr>
                <w:p w14:paraId="78CFCBD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4730.92 </w:t>
                  </w:r>
                </w:p>
              </w:tc>
              <w:tc>
                <w:tcPr>
                  <w:tcW w:w="1027" w:type="dxa"/>
                  <w:vAlign w:val="bottom"/>
                </w:tcPr>
                <w:p w14:paraId="56CF3DC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35.47 </w:t>
                  </w:r>
                </w:p>
              </w:tc>
              <w:tc>
                <w:tcPr>
                  <w:tcW w:w="1139" w:type="dxa"/>
                  <w:vAlign w:val="bottom"/>
                </w:tcPr>
                <w:p w14:paraId="532F79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1204.74 </w:t>
                  </w:r>
                </w:p>
              </w:tc>
              <w:tc>
                <w:tcPr>
                  <w:tcW w:w="1027" w:type="dxa"/>
                  <w:vAlign w:val="bottom"/>
                </w:tcPr>
                <w:p w14:paraId="5C11DB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10.87 </w:t>
                  </w:r>
                </w:p>
              </w:tc>
            </w:tr>
            <w:tr w14:paraId="2E60B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5EACB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59</w:t>
                  </w:r>
                </w:p>
              </w:tc>
              <w:tc>
                <w:tcPr>
                  <w:tcW w:w="1256" w:type="dxa"/>
                  <w:vAlign w:val="center"/>
                </w:tcPr>
                <w:p w14:paraId="575743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82DCE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5412.13 </w:t>
                  </w:r>
                </w:p>
              </w:tc>
              <w:tc>
                <w:tcPr>
                  <w:tcW w:w="1027" w:type="dxa"/>
                  <w:vAlign w:val="bottom"/>
                </w:tcPr>
                <w:p w14:paraId="5483EFD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38.62 </w:t>
                  </w:r>
                </w:p>
              </w:tc>
              <w:tc>
                <w:tcPr>
                  <w:tcW w:w="1139" w:type="dxa"/>
                  <w:vAlign w:val="bottom"/>
                </w:tcPr>
                <w:p w14:paraId="426D43B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4468.17 </w:t>
                  </w:r>
                </w:p>
              </w:tc>
              <w:tc>
                <w:tcPr>
                  <w:tcW w:w="1027" w:type="dxa"/>
                  <w:vAlign w:val="bottom"/>
                </w:tcPr>
                <w:p w14:paraId="2E26DC9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32.04 </w:t>
                  </w:r>
                </w:p>
              </w:tc>
              <w:tc>
                <w:tcPr>
                  <w:tcW w:w="1139" w:type="dxa"/>
                  <w:vAlign w:val="bottom"/>
                </w:tcPr>
                <w:p w14:paraId="3BF020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1242.38 </w:t>
                  </w:r>
                </w:p>
              </w:tc>
              <w:tc>
                <w:tcPr>
                  <w:tcW w:w="1027" w:type="dxa"/>
                  <w:vAlign w:val="bottom"/>
                </w:tcPr>
                <w:p w14:paraId="392EB7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10.44 </w:t>
                  </w:r>
                </w:p>
              </w:tc>
            </w:tr>
            <w:tr w14:paraId="3A280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070AC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60</w:t>
                  </w:r>
                </w:p>
              </w:tc>
              <w:tc>
                <w:tcPr>
                  <w:tcW w:w="1256" w:type="dxa"/>
                  <w:vAlign w:val="center"/>
                </w:tcPr>
                <w:p w14:paraId="5B05BC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02198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4741.27 </w:t>
                  </w:r>
                </w:p>
              </w:tc>
              <w:tc>
                <w:tcPr>
                  <w:tcW w:w="1027" w:type="dxa"/>
                  <w:vAlign w:val="bottom"/>
                </w:tcPr>
                <w:p w14:paraId="296615C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33.54 </w:t>
                  </w:r>
                </w:p>
              </w:tc>
              <w:tc>
                <w:tcPr>
                  <w:tcW w:w="1139" w:type="dxa"/>
                  <w:vAlign w:val="bottom"/>
                </w:tcPr>
                <w:p w14:paraId="45AC981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4056.54 </w:t>
                  </w:r>
                </w:p>
              </w:tc>
              <w:tc>
                <w:tcPr>
                  <w:tcW w:w="1027" w:type="dxa"/>
                  <w:vAlign w:val="bottom"/>
                </w:tcPr>
                <w:p w14:paraId="7CB6ACF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28.51 </w:t>
                  </w:r>
                </w:p>
              </w:tc>
              <w:tc>
                <w:tcPr>
                  <w:tcW w:w="1139" w:type="dxa"/>
                  <w:vAlign w:val="bottom"/>
                </w:tcPr>
                <w:p w14:paraId="17B80A8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1259.42 </w:t>
                  </w:r>
                </w:p>
              </w:tc>
              <w:tc>
                <w:tcPr>
                  <w:tcW w:w="1027" w:type="dxa"/>
                  <w:vAlign w:val="bottom"/>
                </w:tcPr>
                <w:p w14:paraId="37377B2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9.99 </w:t>
                  </w:r>
                </w:p>
              </w:tc>
            </w:tr>
            <w:tr w14:paraId="3B3C2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2C87A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61</w:t>
                  </w:r>
                </w:p>
              </w:tc>
              <w:tc>
                <w:tcPr>
                  <w:tcW w:w="1256" w:type="dxa"/>
                  <w:vAlign w:val="center"/>
                </w:tcPr>
                <w:p w14:paraId="2130D2B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53E61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4036.06 </w:t>
                  </w:r>
                </w:p>
              </w:tc>
              <w:tc>
                <w:tcPr>
                  <w:tcW w:w="1027" w:type="dxa"/>
                  <w:vAlign w:val="bottom"/>
                </w:tcPr>
                <w:p w14:paraId="2FFB57D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28.88 </w:t>
                  </w:r>
                </w:p>
              </w:tc>
              <w:tc>
                <w:tcPr>
                  <w:tcW w:w="1139" w:type="dxa"/>
                  <w:vAlign w:val="bottom"/>
                </w:tcPr>
                <w:p w14:paraId="2C10CA7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3580.20 </w:t>
                  </w:r>
                </w:p>
              </w:tc>
              <w:tc>
                <w:tcPr>
                  <w:tcW w:w="1027" w:type="dxa"/>
                  <w:vAlign w:val="bottom"/>
                </w:tcPr>
                <w:p w14:paraId="628ECB9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25.13 </w:t>
                  </w:r>
                </w:p>
              </w:tc>
              <w:tc>
                <w:tcPr>
                  <w:tcW w:w="1139" w:type="dxa"/>
                  <w:vAlign w:val="bottom"/>
                </w:tcPr>
                <w:p w14:paraId="582058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1257.19 </w:t>
                  </w:r>
                </w:p>
              </w:tc>
              <w:tc>
                <w:tcPr>
                  <w:tcW w:w="1027" w:type="dxa"/>
                  <w:vAlign w:val="bottom"/>
                </w:tcPr>
                <w:p w14:paraId="457D5FD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9.52 </w:t>
                  </w:r>
                </w:p>
              </w:tc>
            </w:tr>
            <w:tr w14:paraId="6E6C6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E8D601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62</w:t>
                  </w:r>
                </w:p>
              </w:tc>
              <w:tc>
                <w:tcPr>
                  <w:tcW w:w="1256" w:type="dxa"/>
                  <w:vAlign w:val="center"/>
                </w:tcPr>
                <w:p w14:paraId="6E1020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B46B3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3381.31 </w:t>
                  </w:r>
                </w:p>
              </w:tc>
              <w:tc>
                <w:tcPr>
                  <w:tcW w:w="1027" w:type="dxa"/>
                  <w:vAlign w:val="bottom"/>
                </w:tcPr>
                <w:p w14:paraId="3F23AFC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24.84 </w:t>
                  </w:r>
                </w:p>
              </w:tc>
              <w:tc>
                <w:tcPr>
                  <w:tcW w:w="1139" w:type="dxa"/>
                  <w:vAlign w:val="bottom"/>
                </w:tcPr>
                <w:p w14:paraId="368E67A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3101.85 </w:t>
                  </w:r>
                </w:p>
              </w:tc>
              <w:tc>
                <w:tcPr>
                  <w:tcW w:w="1027" w:type="dxa"/>
                  <w:vAlign w:val="bottom"/>
                </w:tcPr>
                <w:p w14:paraId="3E07388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22.07 </w:t>
                  </w:r>
                </w:p>
              </w:tc>
              <w:tc>
                <w:tcPr>
                  <w:tcW w:w="1139" w:type="dxa"/>
                  <w:vAlign w:val="bottom"/>
                </w:tcPr>
                <w:p w14:paraId="377291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1238.05 </w:t>
                  </w:r>
                </w:p>
              </w:tc>
              <w:tc>
                <w:tcPr>
                  <w:tcW w:w="1027" w:type="dxa"/>
                  <w:vAlign w:val="bottom"/>
                </w:tcPr>
                <w:p w14:paraId="0F8620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9.04 </w:t>
                  </w:r>
                </w:p>
              </w:tc>
            </w:tr>
            <w:tr w14:paraId="17D79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8CDC17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63</w:t>
                  </w:r>
                </w:p>
              </w:tc>
              <w:tc>
                <w:tcPr>
                  <w:tcW w:w="1256" w:type="dxa"/>
                  <w:vAlign w:val="center"/>
                </w:tcPr>
                <w:p w14:paraId="0CF85F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347DD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2813.10 </w:t>
                  </w:r>
                </w:p>
              </w:tc>
              <w:tc>
                <w:tcPr>
                  <w:tcW w:w="1027" w:type="dxa"/>
                  <w:vAlign w:val="bottom"/>
                </w:tcPr>
                <w:p w14:paraId="2F08484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21.43 </w:t>
                  </w:r>
                </w:p>
              </w:tc>
              <w:tc>
                <w:tcPr>
                  <w:tcW w:w="1139" w:type="dxa"/>
                  <w:vAlign w:val="bottom"/>
                </w:tcPr>
                <w:p w14:paraId="3AB17C7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2658.42 </w:t>
                  </w:r>
                </w:p>
              </w:tc>
              <w:tc>
                <w:tcPr>
                  <w:tcW w:w="1027" w:type="dxa"/>
                  <w:vAlign w:val="bottom"/>
                </w:tcPr>
                <w:p w14:paraId="2C16F8A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19.37 </w:t>
                  </w:r>
                </w:p>
              </w:tc>
              <w:tc>
                <w:tcPr>
                  <w:tcW w:w="1139" w:type="dxa"/>
                  <w:vAlign w:val="bottom"/>
                </w:tcPr>
                <w:p w14:paraId="7C53CC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1204.90 </w:t>
                  </w:r>
                </w:p>
              </w:tc>
              <w:tc>
                <w:tcPr>
                  <w:tcW w:w="1027" w:type="dxa"/>
                  <w:vAlign w:val="bottom"/>
                </w:tcPr>
                <w:p w14:paraId="70D1DD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8.56 </w:t>
                  </w:r>
                </w:p>
              </w:tc>
            </w:tr>
            <w:tr w14:paraId="40EF5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4E7B08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64</w:t>
                  </w:r>
                </w:p>
              </w:tc>
              <w:tc>
                <w:tcPr>
                  <w:tcW w:w="1256" w:type="dxa"/>
                  <w:vAlign w:val="center"/>
                </w:tcPr>
                <w:p w14:paraId="4102CD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EEE59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2338.10 </w:t>
                  </w:r>
                </w:p>
              </w:tc>
              <w:tc>
                <w:tcPr>
                  <w:tcW w:w="1027" w:type="dxa"/>
                  <w:vAlign w:val="bottom"/>
                </w:tcPr>
                <w:p w14:paraId="0813B4C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18.58 </w:t>
                  </w:r>
                </w:p>
              </w:tc>
              <w:tc>
                <w:tcPr>
                  <w:tcW w:w="1139" w:type="dxa"/>
                  <w:vAlign w:val="bottom"/>
                </w:tcPr>
                <w:p w14:paraId="20F8B14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2266.58 </w:t>
                  </w:r>
                </w:p>
              </w:tc>
              <w:tc>
                <w:tcPr>
                  <w:tcW w:w="1027" w:type="dxa"/>
                  <w:vAlign w:val="bottom"/>
                </w:tcPr>
                <w:p w14:paraId="78ACB8B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17.05 </w:t>
                  </w:r>
                </w:p>
              </w:tc>
              <w:tc>
                <w:tcPr>
                  <w:tcW w:w="1139" w:type="dxa"/>
                  <w:vAlign w:val="bottom"/>
                </w:tcPr>
                <w:p w14:paraId="61E6AF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1160.80 </w:t>
                  </w:r>
                </w:p>
              </w:tc>
              <w:tc>
                <w:tcPr>
                  <w:tcW w:w="1027" w:type="dxa"/>
                  <w:vAlign w:val="bottom"/>
                </w:tcPr>
                <w:p w14:paraId="616678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8.09 </w:t>
                  </w:r>
                </w:p>
              </w:tc>
            </w:tr>
            <w:tr w14:paraId="272A6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8FE80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65</w:t>
                  </w:r>
                </w:p>
              </w:tc>
              <w:tc>
                <w:tcPr>
                  <w:tcW w:w="1256" w:type="dxa"/>
                  <w:vAlign w:val="center"/>
                </w:tcPr>
                <w:p w14:paraId="3A03F69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77113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1948.91 </w:t>
                  </w:r>
                </w:p>
              </w:tc>
              <w:tc>
                <w:tcPr>
                  <w:tcW w:w="1027" w:type="dxa"/>
                  <w:vAlign w:val="bottom"/>
                </w:tcPr>
                <w:p w14:paraId="7C024EE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16.22 </w:t>
                  </w:r>
                </w:p>
              </w:tc>
              <w:tc>
                <w:tcPr>
                  <w:tcW w:w="1139" w:type="dxa"/>
                  <w:vAlign w:val="bottom"/>
                </w:tcPr>
                <w:p w14:paraId="4740033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1930.20 </w:t>
                  </w:r>
                </w:p>
              </w:tc>
              <w:tc>
                <w:tcPr>
                  <w:tcW w:w="1027" w:type="dxa"/>
                  <w:vAlign w:val="bottom"/>
                </w:tcPr>
                <w:p w14:paraId="04F6B52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15.06 </w:t>
                  </w:r>
                </w:p>
              </w:tc>
              <w:tc>
                <w:tcPr>
                  <w:tcW w:w="1139" w:type="dxa"/>
                  <w:vAlign w:val="bottom"/>
                </w:tcPr>
                <w:p w14:paraId="1B19967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1108.77 </w:t>
                  </w:r>
                </w:p>
              </w:tc>
              <w:tc>
                <w:tcPr>
                  <w:tcW w:w="1027" w:type="dxa"/>
                  <w:vAlign w:val="bottom"/>
                </w:tcPr>
                <w:p w14:paraId="24D326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7.63 </w:t>
                  </w:r>
                </w:p>
              </w:tc>
            </w:tr>
            <w:tr w14:paraId="3620C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497FA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66</w:t>
                  </w:r>
                </w:p>
              </w:tc>
              <w:tc>
                <w:tcPr>
                  <w:tcW w:w="1256" w:type="dxa"/>
                  <w:vAlign w:val="center"/>
                </w:tcPr>
                <w:p w14:paraId="1651681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61853F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1633.11 </w:t>
                  </w:r>
                </w:p>
              </w:tc>
              <w:tc>
                <w:tcPr>
                  <w:tcW w:w="1027" w:type="dxa"/>
                  <w:vAlign w:val="bottom"/>
                </w:tcPr>
                <w:p w14:paraId="5DD362D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14.25 </w:t>
                  </w:r>
                </w:p>
              </w:tc>
              <w:tc>
                <w:tcPr>
                  <w:tcW w:w="1139" w:type="dxa"/>
                  <w:vAlign w:val="bottom"/>
                </w:tcPr>
                <w:p w14:paraId="060A71C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1646.34 </w:t>
                  </w:r>
                </w:p>
              </w:tc>
              <w:tc>
                <w:tcPr>
                  <w:tcW w:w="1027" w:type="dxa"/>
                  <w:vAlign w:val="bottom"/>
                </w:tcPr>
                <w:p w14:paraId="1481356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13.36 </w:t>
                  </w:r>
                </w:p>
              </w:tc>
              <w:tc>
                <w:tcPr>
                  <w:tcW w:w="1139" w:type="dxa"/>
                  <w:vAlign w:val="bottom"/>
                </w:tcPr>
                <w:p w14:paraId="769EEF2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1051.50 </w:t>
                  </w:r>
                </w:p>
              </w:tc>
              <w:tc>
                <w:tcPr>
                  <w:tcW w:w="1027" w:type="dxa"/>
                  <w:vAlign w:val="bottom"/>
                </w:tcPr>
                <w:p w14:paraId="738791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7.18 </w:t>
                  </w:r>
                </w:p>
              </w:tc>
            </w:tr>
            <w:tr w14:paraId="32B16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D5BFA0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67</w:t>
                  </w:r>
                </w:p>
              </w:tc>
              <w:tc>
                <w:tcPr>
                  <w:tcW w:w="1256" w:type="dxa"/>
                  <w:vAlign w:val="center"/>
                </w:tcPr>
                <w:p w14:paraId="34F8939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AB0BAB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1377.67 </w:t>
                  </w:r>
                </w:p>
              </w:tc>
              <w:tc>
                <w:tcPr>
                  <w:tcW w:w="1027" w:type="dxa"/>
                  <w:vAlign w:val="bottom"/>
                </w:tcPr>
                <w:p w14:paraId="3D24B64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12.60 </w:t>
                  </w:r>
                </w:p>
              </w:tc>
              <w:tc>
                <w:tcPr>
                  <w:tcW w:w="1139" w:type="dxa"/>
                  <w:vAlign w:val="bottom"/>
                </w:tcPr>
                <w:p w14:paraId="487C926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1409.02 </w:t>
                  </w:r>
                </w:p>
              </w:tc>
              <w:tc>
                <w:tcPr>
                  <w:tcW w:w="1027" w:type="dxa"/>
                  <w:vAlign w:val="bottom"/>
                </w:tcPr>
                <w:p w14:paraId="33B77BB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11.92 </w:t>
                  </w:r>
                </w:p>
              </w:tc>
              <w:tc>
                <w:tcPr>
                  <w:tcW w:w="1139" w:type="dxa"/>
                  <w:vAlign w:val="bottom"/>
                </w:tcPr>
                <w:p w14:paraId="55C3D8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991.32 </w:t>
                  </w:r>
                </w:p>
              </w:tc>
              <w:tc>
                <w:tcPr>
                  <w:tcW w:w="1027" w:type="dxa"/>
                  <w:vAlign w:val="bottom"/>
                </w:tcPr>
                <w:p w14:paraId="57E1A1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6.75 </w:t>
                  </w:r>
                </w:p>
              </w:tc>
            </w:tr>
            <w:tr w14:paraId="37039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20A91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68</w:t>
                  </w:r>
                </w:p>
              </w:tc>
              <w:tc>
                <w:tcPr>
                  <w:tcW w:w="1256" w:type="dxa"/>
                  <w:vAlign w:val="center"/>
                </w:tcPr>
                <w:p w14:paraId="6BE6E88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8BD83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1170.92 </w:t>
                  </w:r>
                </w:p>
              </w:tc>
              <w:tc>
                <w:tcPr>
                  <w:tcW w:w="1027" w:type="dxa"/>
                  <w:vAlign w:val="bottom"/>
                </w:tcPr>
                <w:p w14:paraId="0B22CD9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11.22 </w:t>
                  </w:r>
                </w:p>
              </w:tc>
              <w:tc>
                <w:tcPr>
                  <w:tcW w:w="1139" w:type="dxa"/>
                  <w:vAlign w:val="bottom"/>
                </w:tcPr>
                <w:p w14:paraId="5824DB0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1211.49 </w:t>
                  </w:r>
                </w:p>
              </w:tc>
              <w:tc>
                <w:tcPr>
                  <w:tcW w:w="1027" w:type="dxa"/>
                  <w:vAlign w:val="bottom"/>
                </w:tcPr>
                <w:p w14:paraId="2090A65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10.68 </w:t>
                  </w:r>
                </w:p>
              </w:tc>
              <w:tc>
                <w:tcPr>
                  <w:tcW w:w="1139" w:type="dxa"/>
                  <w:vAlign w:val="bottom"/>
                </w:tcPr>
                <w:p w14:paraId="020C37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930.14 </w:t>
                  </w:r>
                </w:p>
              </w:tc>
              <w:tc>
                <w:tcPr>
                  <w:tcW w:w="1027" w:type="dxa"/>
                  <w:vAlign w:val="bottom"/>
                </w:tcPr>
                <w:p w14:paraId="2DCFCE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6.35 </w:t>
                  </w:r>
                </w:p>
              </w:tc>
            </w:tr>
            <w:tr w14:paraId="4E13E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1DC68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69</w:t>
                  </w:r>
                </w:p>
              </w:tc>
              <w:tc>
                <w:tcPr>
                  <w:tcW w:w="1256" w:type="dxa"/>
                  <w:vAlign w:val="center"/>
                </w:tcPr>
                <w:p w14:paraId="5B06BD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06100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1003.00 </w:t>
                  </w:r>
                </w:p>
              </w:tc>
              <w:tc>
                <w:tcPr>
                  <w:tcW w:w="1027" w:type="dxa"/>
                  <w:vAlign w:val="bottom"/>
                </w:tcPr>
                <w:p w14:paraId="150A3A1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10.04 </w:t>
                  </w:r>
                </w:p>
              </w:tc>
              <w:tc>
                <w:tcPr>
                  <w:tcW w:w="1139" w:type="dxa"/>
                  <w:vAlign w:val="bottom"/>
                </w:tcPr>
                <w:p w14:paraId="09F4677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1047.23 </w:t>
                  </w:r>
                </w:p>
              </w:tc>
              <w:tc>
                <w:tcPr>
                  <w:tcW w:w="1027" w:type="dxa"/>
                  <w:vAlign w:val="bottom"/>
                </w:tcPr>
                <w:p w14:paraId="1297056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9.61 </w:t>
                  </w:r>
                </w:p>
              </w:tc>
              <w:tc>
                <w:tcPr>
                  <w:tcW w:w="1139" w:type="dxa"/>
                  <w:vAlign w:val="bottom"/>
                </w:tcPr>
                <w:p w14:paraId="3898DE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869.44 </w:t>
                  </w:r>
                </w:p>
              </w:tc>
              <w:tc>
                <w:tcPr>
                  <w:tcW w:w="1027" w:type="dxa"/>
                  <w:vAlign w:val="bottom"/>
                </w:tcPr>
                <w:p w14:paraId="3118949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5.97 </w:t>
                  </w:r>
                </w:p>
              </w:tc>
            </w:tr>
            <w:tr w14:paraId="18131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A09FA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70</w:t>
                  </w:r>
                </w:p>
              </w:tc>
              <w:tc>
                <w:tcPr>
                  <w:tcW w:w="1256" w:type="dxa"/>
                  <w:vAlign w:val="center"/>
                </w:tcPr>
                <w:p w14:paraId="0A7F01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19,1.5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EDAF68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865.96 </w:t>
                  </w:r>
                </w:p>
              </w:tc>
              <w:tc>
                <w:tcPr>
                  <w:tcW w:w="1027" w:type="dxa"/>
                  <w:vAlign w:val="bottom"/>
                </w:tcPr>
                <w:p w14:paraId="42C02F4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9.04 </w:t>
                  </w:r>
                </w:p>
              </w:tc>
              <w:tc>
                <w:tcPr>
                  <w:tcW w:w="1139" w:type="dxa"/>
                  <w:vAlign w:val="bottom"/>
                </w:tcPr>
                <w:p w14:paraId="2169527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910.46 </w:t>
                  </w:r>
                </w:p>
              </w:tc>
              <w:tc>
                <w:tcPr>
                  <w:tcW w:w="1027" w:type="dxa"/>
                  <w:vAlign w:val="bottom"/>
                </w:tcPr>
                <w:p w14:paraId="5C0ED6A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8.69 </w:t>
                  </w:r>
                </w:p>
              </w:tc>
              <w:tc>
                <w:tcPr>
                  <w:tcW w:w="1139" w:type="dxa"/>
                  <w:vAlign w:val="bottom"/>
                </w:tcPr>
                <w:p w14:paraId="040163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810.33 </w:t>
                  </w:r>
                </w:p>
              </w:tc>
              <w:tc>
                <w:tcPr>
                  <w:tcW w:w="1027" w:type="dxa"/>
                  <w:vAlign w:val="bottom"/>
                </w:tcPr>
                <w:p w14:paraId="7D4CB91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5.61 </w:t>
                  </w:r>
                </w:p>
              </w:tc>
            </w:tr>
            <w:tr w14:paraId="5B944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6E0AD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71</w:t>
                  </w:r>
                </w:p>
              </w:tc>
              <w:tc>
                <w:tcPr>
                  <w:tcW w:w="1256" w:type="dxa"/>
                  <w:vAlign w:val="center"/>
                </w:tcPr>
                <w:p w14:paraId="753DF6D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7A857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753.45 </w:t>
                  </w:r>
                </w:p>
              </w:tc>
              <w:tc>
                <w:tcPr>
                  <w:tcW w:w="1027" w:type="dxa"/>
                  <w:vAlign w:val="bottom"/>
                </w:tcPr>
                <w:p w14:paraId="6B921D9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8.17 </w:t>
                  </w:r>
                </w:p>
              </w:tc>
              <w:tc>
                <w:tcPr>
                  <w:tcW w:w="1139" w:type="dxa"/>
                  <w:vAlign w:val="bottom"/>
                </w:tcPr>
                <w:p w14:paraId="447AEE3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796.25 </w:t>
                  </w:r>
                </w:p>
              </w:tc>
              <w:tc>
                <w:tcPr>
                  <w:tcW w:w="1027" w:type="dxa"/>
                  <w:vAlign w:val="bottom"/>
                </w:tcPr>
                <w:p w14:paraId="4F30B51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7.89 </w:t>
                  </w:r>
                </w:p>
              </w:tc>
              <w:tc>
                <w:tcPr>
                  <w:tcW w:w="1139" w:type="dxa"/>
                  <w:vAlign w:val="bottom"/>
                </w:tcPr>
                <w:p w14:paraId="0F26BE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753.59 </w:t>
                  </w:r>
                </w:p>
              </w:tc>
              <w:tc>
                <w:tcPr>
                  <w:tcW w:w="1027" w:type="dxa"/>
                  <w:vAlign w:val="bottom"/>
                </w:tcPr>
                <w:p w14:paraId="3348FF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5.27 </w:t>
                  </w:r>
                </w:p>
              </w:tc>
            </w:tr>
            <w:tr w14:paraId="72BA4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439AE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72</w:t>
                  </w:r>
                </w:p>
              </w:tc>
              <w:tc>
                <w:tcPr>
                  <w:tcW w:w="1256" w:type="dxa"/>
                  <w:vAlign w:val="center"/>
                </w:tcPr>
                <w:p w14:paraId="54EB458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EDDDF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660.47 </w:t>
                  </w:r>
                </w:p>
              </w:tc>
              <w:tc>
                <w:tcPr>
                  <w:tcW w:w="1027" w:type="dxa"/>
                  <w:vAlign w:val="bottom"/>
                </w:tcPr>
                <w:p w14:paraId="0FD5F0B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7.42 </w:t>
                  </w:r>
                </w:p>
              </w:tc>
              <w:tc>
                <w:tcPr>
                  <w:tcW w:w="1139" w:type="dxa"/>
                  <w:vAlign w:val="bottom"/>
                </w:tcPr>
                <w:p w14:paraId="6692B08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700.51 </w:t>
                  </w:r>
                </w:p>
              </w:tc>
              <w:tc>
                <w:tcPr>
                  <w:tcW w:w="1027" w:type="dxa"/>
                  <w:vAlign w:val="bottom"/>
                </w:tcPr>
                <w:p w14:paraId="1E3D227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7.19 </w:t>
                  </w:r>
                </w:p>
              </w:tc>
              <w:tc>
                <w:tcPr>
                  <w:tcW w:w="1139" w:type="dxa"/>
                  <w:vAlign w:val="bottom"/>
                </w:tcPr>
                <w:p w14:paraId="7621E9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699.74 </w:t>
                  </w:r>
                </w:p>
              </w:tc>
              <w:tc>
                <w:tcPr>
                  <w:tcW w:w="1027" w:type="dxa"/>
                  <w:vAlign w:val="bottom"/>
                </w:tcPr>
                <w:p w14:paraId="6314858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4.96 </w:t>
                  </w:r>
                </w:p>
              </w:tc>
            </w:tr>
            <w:tr w14:paraId="6FCA0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61232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73</w:t>
                  </w:r>
                </w:p>
              </w:tc>
              <w:tc>
                <w:tcPr>
                  <w:tcW w:w="1256" w:type="dxa"/>
                  <w:vAlign w:val="center"/>
                </w:tcPr>
                <w:p w14:paraId="3E74CE5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E1AF0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583.11 </w:t>
                  </w:r>
                </w:p>
              </w:tc>
              <w:tc>
                <w:tcPr>
                  <w:tcW w:w="1027" w:type="dxa"/>
                  <w:vAlign w:val="bottom"/>
                </w:tcPr>
                <w:p w14:paraId="1C6B6F2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6.77 </w:t>
                  </w:r>
                </w:p>
              </w:tc>
              <w:tc>
                <w:tcPr>
                  <w:tcW w:w="1139" w:type="dxa"/>
                  <w:vAlign w:val="bottom"/>
                </w:tcPr>
                <w:p w14:paraId="2CED3BB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619.90 </w:t>
                  </w:r>
                </w:p>
              </w:tc>
              <w:tc>
                <w:tcPr>
                  <w:tcW w:w="1027" w:type="dxa"/>
                  <w:vAlign w:val="bottom"/>
                </w:tcPr>
                <w:p w14:paraId="19E10B2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6.58 </w:t>
                  </w:r>
                </w:p>
              </w:tc>
              <w:tc>
                <w:tcPr>
                  <w:tcW w:w="1139" w:type="dxa"/>
                  <w:vAlign w:val="bottom"/>
                </w:tcPr>
                <w:p w14:paraId="4EC8CE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649.08 </w:t>
                  </w:r>
                </w:p>
              </w:tc>
              <w:tc>
                <w:tcPr>
                  <w:tcW w:w="1027" w:type="dxa"/>
                  <w:vAlign w:val="bottom"/>
                </w:tcPr>
                <w:p w14:paraId="77C780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4.66 </w:t>
                  </w:r>
                </w:p>
              </w:tc>
            </w:tr>
            <w:tr w14:paraId="34D9E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E5697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74</w:t>
                  </w:r>
                </w:p>
              </w:tc>
              <w:tc>
                <w:tcPr>
                  <w:tcW w:w="1256" w:type="dxa"/>
                  <w:vAlign w:val="center"/>
                </w:tcPr>
                <w:p w14:paraId="5338EE9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FB3B9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518.28 </w:t>
                  </w:r>
                </w:p>
              </w:tc>
              <w:tc>
                <w:tcPr>
                  <w:tcW w:w="1027" w:type="dxa"/>
                  <w:vAlign w:val="bottom"/>
                </w:tcPr>
                <w:p w14:paraId="59CCC47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6.20 </w:t>
                  </w:r>
                </w:p>
              </w:tc>
              <w:tc>
                <w:tcPr>
                  <w:tcW w:w="1139" w:type="dxa"/>
                  <w:vAlign w:val="bottom"/>
                </w:tcPr>
                <w:p w14:paraId="53D5CD0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551.67 </w:t>
                  </w:r>
                </w:p>
              </w:tc>
              <w:tc>
                <w:tcPr>
                  <w:tcW w:w="1027" w:type="dxa"/>
                  <w:vAlign w:val="bottom"/>
                </w:tcPr>
                <w:p w14:paraId="09BEB75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6.04 </w:t>
                  </w:r>
                </w:p>
              </w:tc>
              <w:tc>
                <w:tcPr>
                  <w:tcW w:w="1139" w:type="dxa"/>
                  <w:vAlign w:val="bottom"/>
                </w:tcPr>
                <w:p w14:paraId="59ACA6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601.75 </w:t>
                  </w:r>
                </w:p>
              </w:tc>
              <w:tc>
                <w:tcPr>
                  <w:tcW w:w="1027" w:type="dxa"/>
                  <w:vAlign w:val="bottom"/>
                </w:tcPr>
                <w:p w14:paraId="62DB38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4.39 </w:t>
                  </w:r>
                </w:p>
              </w:tc>
            </w:tr>
            <w:tr w14:paraId="48F5A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91881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75</w:t>
                  </w:r>
                </w:p>
              </w:tc>
              <w:tc>
                <w:tcPr>
                  <w:tcW w:w="1256" w:type="dxa"/>
                  <w:vAlign w:val="center"/>
                </w:tcPr>
                <w:p w14:paraId="2476A81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4E361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463.58 </w:t>
                  </w:r>
                </w:p>
              </w:tc>
              <w:tc>
                <w:tcPr>
                  <w:tcW w:w="1027" w:type="dxa"/>
                  <w:vAlign w:val="bottom"/>
                </w:tcPr>
                <w:p w14:paraId="40BD51F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5.70 </w:t>
                  </w:r>
                </w:p>
              </w:tc>
              <w:tc>
                <w:tcPr>
                  <w:tcW w:w="1139" w:type="dxa"/>
                  <w:vAlign w:val="bottom"/>
                </w:tcPr>
                <w:p w14:paraId="594BB27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493.64 </w:t>
                  </w:r>
                </w:p>
              </w:tc>
              <w:tc>
                <w:tcPr>
                  <w:tcW w:w="1027" w:type="dxa"/>
                  <w:vAlign w:val="bottom"/>
                </w:tcPr>
                <w:p w14:paraId="2FE5B29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5.57 </w:t>
                  </w:r>
                </w:p>
              </w:tc>
              <w:tc>
                <w:tcPr>
                  <w:tcW w:w="1139" w:type="dxa"/>
                  <w:vAlign w:val="bottom"/>
                </w:tcPr>
                <w:p w14:paraId="5F6D4A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557.76 </w:t>
                  </w:r>
                </w:p>
              </w:tc>
              <w:tc>
                <w:tcPr>
                  <w:tcW w:w="1027" w:type="dxa"/>
                  <w:vAlign w:val="bottom"/>
                </w:tcPr>
                <w:p w14:paraId="592774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4.14 </w:t>
                  </w:r>
                </w:p>
              </w:tc>
            </w:tr>
            <w:tr w14:paraId="64A65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06479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76</w:t>
                  </w:r>
                </w:p>
              </w:tc>
              <w:tc>
                <w:tcPr>
                  <w:tcW w:w="1256" w:type="dxa"/>
                  <w:vAlign w:val="center"/>
                </w:tcPr>
                <w:p w14:paraId="67DCD7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D284B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417.11 </w:t>
                  </w:r>
                </w:p>
              </w:tc>
              <w:tc>
                <w:tcPr>
                  <w:tcW w:w="1027" w:type="dxa"/>
                  <w:vAlign w:val="bottom"/>
                </w:tcPr>
                <w:p w14:paraId="4A4447A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5.26 </w:t>
                  </w:r>
                </w:p>
              </w:tc>
              <w:tc>
                <w:tcPr>
                  <w:tcW w:w="1139" w:type="dxa"/>
                  <w:vAlign w:val="bottom"/>
                </w:tcPr>
                <w:p w14:paraId="72EEE9E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444.00 </w:t>
                  </w:r>
                </w:p>
              </w:tc>
              <w:tc>
                <w:tcPr>
                  <w:tcW w:w="1027" w:type="dxa"/>
                  <w:vAlign w:val="bottom"/>
                </w:tcPr>
                <w:p w14:paraId="0997C37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5.14 </w:t>
                  </w:r>
                </w:p>
              </w:tc>
              <w:tc>
                <w:tcPr>
                  <w:tcW w:w="1139" w:type="dxa"/>
                  <w:vAlign w:val="bottom"/>
                </w:tcPr>
                <w:p w14:paraId="7F40553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517.06 </w:t>
                  </w:r>
                </w:p>
              </w:tc>
              <w:tc>
                <w:tcPr>
                  <w:tcW w:w="1027" w:type="dxa"/>
                  <w:vAlign w:val="bottom"/>
                </w:tcPr>
                <w:p w14:paraId="42DDC4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3.90 </w:t>
                  </w:r>
                </w:p>
              </w:tc>
            </w:tr>
            <w:tr w14:paraId="48664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C0C4E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77</w:t>
                  </w:r>
                </w:p>
              </w:tc>
              <w:tc>
                <w:tcPr>
                  <w:tcW w:w="1256" w:type="dxa"/>
                  <w:vAlign w:val="center"/>
                </w:tcPr>
                <w:p w14:paraId="7962855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32017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377.35 </w:t>
                  </w:r>
                </w:p>
              </w:tc>
              <w:tc>
                <w:tcPr>
                  <w:tcW w:w="1027" w:type="dxa"/>
                  <w:vAlign w:val="bottom"/>
                </w:tcPr>
                <w:p w14:paraId="7E21FF0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4.87 </w:t>
                  </w:r>
                </w:p>
              </w:tc>
              <w:tc>
                <w:tcPr>
                  <w:tcW w:w="1139" w:type="dxa"/>
                  <w:vAlign w:val="bottom"/>
                </w:tcPr>
                <w:p w14:paraId="389AA15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401.32 </w:t>
                  </w:r>
                </w:p>
              </w:tc>
              <w:tc>
                <w:tcPr>
                  <w:tcW w:w="1027" w:type="dxa"/>
                  <w:vAlign w:val="bottom"/>
                </w:tcPr>
                <w:p w14:paraId="4762717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4.77 </w:t>
                  </w:r>
                </w:p>
              </w:tc>
              <w:tc>
                <w:tcPr>
                  <w:tcW w:w="1139" w:type="dxa"/>
                  <w:vAlign w:val="bottom"/>
                </w:tcPr>
                <w:p w14:paraId="19B319D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479.51 </w:t>
                  </w:r>
                </w:p>
              </w:tc>
              <w:tc>
                <w:tcPr>
                  <w:tcW w:w="1027" w:type="dxa"/>
                  <w:vAlign w:val="bottom"/>
                </w:tcPr>
                <w:p w14:paraId="1819C1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3.69 </w:t>
                  </w:r>
                </w:p>
              </w:tc>
            </w:tr>
            <w:tr w14:paraId="00730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205D31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78</w:t>
                  </w:r>
                </w:p>
              </w:tc>
              <w:tc>
                <w:tcPr>
                  <w:tcW w:w="1256" w:type="dxa"/>
                  <w:vAlign w:val="center"/>
                </w:tcPr>
                <w:p w14:paraId="3E4843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F2257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343.11 </w:t>
                  </w:r>
                </w:p>
              </w:tc>
              <w:tc>
                <w:tcPr>
                  <w:tcW w:w="1027" w:type="dxa"/>
                  <w:vAlign w:val="bottom"/>
                </w:tcPr>
                <w:p w14:paraId="6970D0E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4.51 </w:t>
                  </w:r>
                </w:p>
              </w:tc>
              <w:tc>
                <w:tcPr>
                  <w:tcW w:w="1139" w:type="dxa"/>
                  <w:vAlign w:val="bottom"/>
                </w:tcPr>
                <w:p w14:paraId="0408FAD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364.43 </w:t>
                  </w:r>
                </w:p>
              </w:tc>
              <w:tc>
                <w:tcPr>
                  <w:tcW w:w="1027" w:type="dxa"/>
                  <w:vAlign w:val="bottom"/>
                </w:tcPr>
                <w:p w14:paraId="4A38B3E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4.43 </w:t>
                  </w:r>
                </w:p>
              </w:tc>
              <w:tc>
                <w:tcPr>
                  <w:tcW w:w="1139" w:type="dxa"/>
                  <w:vAlign w:val="bottom"/>
                </w:tcPr>
                <w:p w14:paraId="38BF99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444.96 </w:t>
                  </w:r>
                </w:p>
              </w:tc>
              <w:tc>
                <w:tcPr>
                  <w:tcW w:w="1027" w:type="dxa"/>
                  <w:vAlign w:val="bottom"/>
                </w:tcPr>
                <w:p w14:paraId="20E12C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3.48 </w:t>
                  </w:r>
                </w:p>
              </w:tc>
            </w:tr>
            <w:tr w14:paraId="3362A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5C401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79</w:t>
                  </w:r>
                </w:p>
              </w:tc>
              <w:tc>
                <w:tcPr>
                  <w:tcW w:w="1256" w:type="dxa"/>
                  <w:vAlign w:val="center"/>
                </w:tcPr>
                <w:p w14:paraId="540F2E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AF292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313.45 </w:t>
                  </w:r>
                </w:p>
              </w:tc>
              <w:tc>
                <w:tcPr>
                  <w:tcW w:w="1027" w:type="dxa"/>
                  <w:vAlign w:val="bottom"/>
                </w:tcPr>
                <w:p w14:paraId="59B70CD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4.20 </w:t>
                  </w:r>
                </w:p>
              </w:tc>
              <w:tc>
                <w:tcPr>
                  <w:tcW w:w="1139" w:type="dxa"/>
                  <w:vAlign w:val="bottom"/>
                </w:tcPr>
                <w:p w14:paraId="53986CD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332.37 </w:t>
                  </w:r>
                </w:p>
              </w:tc>
              <w:tc>
                <w:tcPr>
                  <w:tcW w:w="1027" w:type="dxa"/>
                  <w:vAlign w:val="bottom"/>
                </w:tcPr>
                <w:p w14:paraId="70FF7FD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4.13 </w:t>
                  </w:r>
                </w:p>
              </w:tc>
              <w:tc>
                <w:tcPr>
                  <w:tcW w:w="1139" w:type="dxa"/>
                  <w:vAlign w:val="bottom"/>
                </w:tcPr>
                <w:p w14:paraId="62FAE47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413.22 </w:t>
                  </w:r>
                </w:p>
              </w:tc>
              <w:tc>
                <w:tcPr>
                  <w:tcW w:w="1027" w:type="dxa"/>
                  <w:vAlign w:val="bottom"/>
                </w:tcPr>
                <w:p w14:paraId="650B30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3.29 </w:t>
                  </w:r>
                </w:p>
              </w:tc>
            </w:tr>
            <w:tr w14:paraId="10346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922A6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80</w:t>
                  </w:r>
                </w:p>
              </w:tc>
              <w:tc>
                <w:tcPr>
                  <w:tcW w:w="1256" w:type="dxa"/>
                  <w:vAlign w:val="center"/>
                </w:tcPr>
                <w:p w14:paraId="75693D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29,1.5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268F3A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287.59 </w:t>
                  </w:r>
                </w:p>
              </w:tc>
              <w:tc>
                <w:tcPr>
                  <w:tcW w:w="1027" w:type="dxa"/>
                  <w:vAlign w:val="bottom"/>
                </w:tcPr>
                <w:p w14:paraId="2EA082D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3.92 </w:t>
                  </w:r>
                </w:p>
              </w:tc>
              <w:tc>
                <w:tcPr>
                  <w:tcW w:w="1139" w:type="dxa"/>
                  <w:vAlign w:val="bottom"/>
                </w:tcPr>
                <w:p w14:paraId="1B181FF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304.37 </w:t>
                  </w:r>
                </w:p>
              </w:tc>
              <w:tc>
                <w:tcPr>
                  <w:tcW w:w="1027" w:type="dxa"/>
                  <w:vAlign w:val="bottom"/>
                </w:tcPr>
                <w:p w14:paraId="6F721FE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3.85 </w:t>
                  </w:r>
                </w:p>
              </w:tc>
              <w:tc>
                <w:tcPr>
                  <w:tcW w:w="1139" w:type="dxa"/>
                  <w:vAlign w:val="bottom"/>
                </w:tcPr>
                <w:p w14:paraId="4683E3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384.09 </w:t>
                  </w:r>
                </w:p>
              </w:tc>
              <w:tc>
                <w:tcPr>
                  <w:tcW w:w="1027" w:type="dxa"/>
                  <w:vAlign w:val="bottom"/>
                </w:tcPr>
                <w:p w14:paraId="4D8070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3.12 </w:t>
                  </w:r>
                </w:p>
              </w:tc>
            </w:tr>
            <w:tr w14:paraId="1F4C3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8495F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81</w:t>
                  </w:r>
                </w:p>
              </w:tc>
              <w:tc>
                <w:tcPr>
                  <w:tcW w:w="1256" w:type="dxa"/>
                  <w:vAlign w:val="center"/>
                </w:tcPr>
                <w:p w14:paraId="49B15A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E62580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264.92 </w:t>
                  </w:r>
                </w:p>
              </w:tc>
              <w:tc>
                <w:tcPr>
                  <w:tcW w:w="1027" w:type="dxa"/>
                  <w:vAlign w:val="bottom"/>
                </w:tcPr>
                <w:p w14:paraId="07A821C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3.66 </w:t>
                  </w:r>
                </w:p>
              </w:tc>
              <w:tc>
                <w:tcPr>
                  <w:tcW w:w="1139" w:type="dxa"/>
                  <w:vAlign w:val="bottom"/>
                </w:tcPr>
                <w:p w14:paraId="3B2B9DB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279.80 </w:t>
                  </w:r>
                </w:p>
              </w:tc>
              <w:tc>
                <w:tcPr>
                  <w:tcW w:w="1027" w:type="dxa"/>
                  <w:vAlign w:val="bottom"/>
                </w:tcPr>
                <w:p w14:paraId="7FE1981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3.61 </w:t>
                  </w:r>
                </w:p>
              </w:tc>
              <w:tc>
                <w:tcPr>
                  <w:tcW w:w="1139" w:type="dxa"/>
                  <w:vAlign w:val="bottom"/>
                </w:tcPr>
                <w:p w14:paraId="4C9F94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357.37 </w:t>
                  </w:r>
                </w:p>
              </w:tc>
              <w:tc>
                <w:tcPr>
                  <w:tcW w:w="1027" w:type="dxa"/>
                  <w:vAlign w:val="bottom"/>
                </w:tcPr>
                <w:p w14:paraId="346FD73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2.96 </w:t>
                  </w:r>
                </w:p>
              </w:tc>
            </w:tr>
            <w:tr w14:paraId="1E2FD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2B172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82</w:t>
                  </w:r>
                </w:p>
              </w:tc>
              <w:tc>
                <w:tcPr>
                  <w:tcW w:w="1256" w:type="dxa"/>
                  <w:vAlign w:val="center"/>
                </w:tcPr>
                <w:p w14:paraId="55B657A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AFCC2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244.93 </w:t>
                  </w:r>
                </w:p>
              </w:tc>
              <w:tc>
                <w:tcPr>
                  <w:tcW w:w="1027" w:type="dxa"/>
                  <w:vAlign w:val="bottom"/>
                </w:tcPr>
                <w:p w14:paraId="2F50EE5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3.43 </w:t>
                  </w:r>
                </w:p>
              </w:tc>
              <w:tc>
                <w:tcPr>
                  <w:tcW w:w="1139" w:type="dxa"/>
                  <w:vAlign w:val="bottom"/>
                </w:tcPr>
                <w:p w14:paraId="1A4020F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258.13 </w:t>
                  </w:r>
                </w:p>
              </w:tc>
              <w:tc>
                <w:tcPr>
                  <w:tcW w:w="1027" w:type="dxa"/>
                  <w:vAlign w:val="bottom"/>
                </w:tcPr>
                <w:p w14:paraId="1248C74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3.38 </w:t>
                  </w:r>
                </w:p>
              </w:tc>
              <w:tc>
                <w:tcPr>
                  <w:tcW w:w="1139" w:type="dxa"/>
                  <w:vAlign w:val="bottom"/>
                </w:tcPr>
                <w:p w14:paraId="2F77AF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332.88 </w:t>
                  </w:r>
                </w:p>
              </w:tc>
              <w:tc>
                <w:tcPr>
                  <w:tcW w:w="1027" w:type="dxa"/>
                  <w:vAlign w:val="bottom"/>
                </w:tcPr>
                <w:p w14:paraId="283A50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2.80 </w:t>
                  </w:r>
                </w:p>
              </w:tc>
            </w:tr>
            <w:tr w14:paraId="785A3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AF191B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83</w:t>
                  </w:r>
                </w:p>
              </w:tc>
              <w:tc>
                <w:tcPr>
                  <w:tcW w:w="1256" w:type="dxa"/>
                  <w:vAlign w:val="center"/>
                </w:tcPr>
                <w:p w14:paraId="3886CB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C5B70B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227.22 </w:t>
                  </w:r>
                </w:p>
              </w:tc>
              <w:tc>
                <w:tcPr>
                  <w:tcW w:w="1027" w:type="dxa"/>
                  <w:vAlign w:val="bottom"/>
                </w:tcPr>
                <w:p w14:paraId="159C502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3.22 </w:t>
                  </w:r>
                </w:p>
              </w:tc>
              <w:tc>
                <w:tcPr>
                  <w:tcW w:w="1139" w:type="dxa"/>
                  <w:vAlign w:val="bottom"/>
                </w:tcPr>
                <w:p w14:paraId="33036C5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238.92 </w:t>
                  </w:r>
                </w:p>
              </w:tc>
              <w:tc>
                <w:tcPr>
                  <w:tcW w:w="1027" w:type="dxa"/>
                  <w:vAlign w:val="bottom"/>
                </w:tcPr>
                <w:p w14:paraId="431C60A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3.18 </w:t>
                  </w:r>
                </w:p>
              </w:tc>
              <w:tc>
                <w:tcPr>
                  <w:tcW w:w="1139" w:type="dxa"/>
                  <w:vAlign w:val="bottom"/>
                </w:tcPr>
                <w:p w14:paraId="505684B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310.43 </w:t>
                  </w:r>
                </w:p>
              </w:tc>
              <w:tc>
                <w:tcPr>
                  <w:tcW w:w="1027" w:type="dxa"/>
                  <w:vAlign w:val="bottom"/>
                </w:tcPr>
                <w:p w14:paraId="47C9EA3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2.66 </w:t>
                  </w:r>
                </w:p>
              </w:tc>
            </w:tr>
            <w:tr w14:paraId="1368A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740DC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84</w:t>
                  </w:r>
                </w:p>
              </w:tc>
              <w:tc>
                <w:tcPr>
                  <w:tcW w:w="1256" w:type="dxa"/>
                  <w:vAlign w:val="center"/>
                </w:tcPr>
                <w:p w14:paraId="21E396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B7064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211.45 </w:t>
                  </w:r>
                </w:p>
              </w:tc>
              <w:tc>
                <w:tcPr>
                  <w:tcW w:w="1027" w:type="dxa"/>
                  <w:vAlign w:val="bottom"/>
                </w:tcPr>
                <w:p w14:paraId="43D771F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3.03 </w:t>
                  </w:r>
                </w:p>
              </w:tc>
              <w:tc>
                <w:tcPr>
                  <w:tcW w:w="1139" w:type="dxa"/>
                  <w:vAlign w:val="bottom"/>
                </w:tcPr>
                <w:p w14:paraId="52D2C0B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221.84 </w:t>
                  </w:r>
                </w:p>
              </w:tc>
              <w:tc>
                <w:tcPr>
                  <w:tcW w:w="1027" w:type="dxa"/>
                  <w:vAlign w:val="bottom"/>
                </w:tcPr>
                <w:p w14:paraId="1D7D387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2.99 </w:t>
                  </w:r>
                </w:p>
              </w:tc>
              <w:tc>
                <w:tcPr>
                  <w:tcW w:w="1139" w:type="dxa"/>
                  <w:vAlign w:val="bottom"/>
                </w:tcPr>
                <w:p w14:paraId="6A3B96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289.85 </w:t>
                  </w:r>
                </w:p>
              </w:tc>
              <w:tc>
                <w:tcPr>
                  <w:tcW w:w="1027" w:type="dxa"/>
                  <w:vAlign w:val="bottom"/>
                </w:tcPr>
                <w:p w14:paraId="482107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2.53 </w:t>
                  </w:r>
                </w:p>
              </w:tc>
            </w:tr>
            <w:tr w14:paraId="2C505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D2DCC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85</w:t>
                  </w:r>
                </w:p>
              </w:tc>
              <w:tc>
                <w:tcPr>
                  <w:tcW w:w="1256" w:type="dxa"/>
                  <w:vAlign w:val="center"/>
                </w:tcPr>
                <w:p w14:paraId="580AE58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F536B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197.34 </w:t>
                  </w:r>
                </w:p>
              </w:tc>
              <w:tc>
                <w:tcPr>
                  <w:tcW w:w="1027" w:type="dxa"/>
                  <w:vAlign w:val="bottom"/>
                </w:tcPr>
                <w:p w14:paraId="224F9E3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2.85 </w:t>
                  </w:r>
                </w:p>
              </w:tc>
              <w:tc>
                <w:tcPr>
                  <w:tcW w:w="1139" w:type="dxa"/>
                  <w:vAlign w:val="bottom"/>
                </w:tcPr>
                <w:p w14:paraId="41B6A05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206.57 </w:t>
                  </w:r>
                </w:p>
              </w:tc>
              <w:tc>
                <w:tcPr>
                  <w:tcW w:w="1027" w:type="dxa"/>
                  <w:vAlign w:val="bottom"/>
                </w:tcPr>
                <w:p w14:paraId="7886C3C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2.82 </w:t>
                  </w:r>
                </w:p>
              </w:tc>
              <w:tc>
                <w:tcPr>
                  <w:tcW w:w="1139" w:type="dxa"/>
                  <w:vAlign w:val="bottom"/>
                </w:tcPr>
                <w:p w14:paraId="2AA4CE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270.97 </w:t>
                  </w:r>
                </w:p>
              </w:tc>
              <w:tc>
                <w:tcPr>
                  <w:tcW w:w="1027" w:type="dxa"/>
                  <w:vAlign w:val="bottom"/>
                </w:tcPr>
                <w:p w14:paraId="648F17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2.41 </w:t>
                  </w:r>
                </w:p>
              </w:tc>
            </w:tr>
            <w:tr w14:paraId="0911B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19E6A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86</w:t>
                  </w:r>
                </w:p>
              </w:tc>
              <w:tc>
                <w:tcPr>
                  <w:tcW w:w="1256" w:type="dxa"/>
                  <w:vAlign w:val="center"/>
                </w:tcPr>
                <w:p w14:paraId="016BB92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6A410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184.67 </w:t>
                  </w:r>
                </w:p>
              </w:tc>
              <w:tc>
                <w:tcPr>
                  <w:tcW w:w="1027" w:type="dxa"/>
                  <w:vAlign w:val="bottom"/>
                </w:tcPr>
                <w:p w14:paraId="54E2968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2.69 </w:t>
                  </w:r>
                </w:p>
              </w:tc>
              <w:tc>
                <w:tcPr>
                  <w:tcW w:w="1139" w:type="dxa"/>
                  <w:vAlign w:val="bottom"/>
                </w:tcPr>
                <w:p w14:paraId="6DE1FD1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192.87 </w:t>
                  </w:r>
                </w:p>
              </w:tc>
              <w:tc>
                <w:tcPr>
                  <w:tcW w:w="1027" w:type="dxa"/>
                  <w:vAlign w:val="bottom"/>
                </w:tcPr>
                <w:p w14:paraId="0A870A5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2.66 </w:t>
                  </w:r>
                </w:p>
              </w:tc>
              <w:tc>
                <w:tcPr>
                  <w:tcW w:w="1139" w:type="dxa"/>
                  <w:vAlign w:val="bottom"/>
                </w:tcPr>
                <w:p w14:paraId="19919F5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253.63 </w:t>
                  </w:r>
                </w:p>
              </w:tc>
              <w:tc>
                <w:tcPr>
                  <w:tcW w:w="1027" w:type="dxa"/>
                  <w:vAlign w:val="bottom"/>
                </w:tcPr>
                <w:p w14:paraId="029E0C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2.29 </w:t>
                  </w:r>
                </w:p>
              </w:tc>
            </w:tr>
            <w:tr w14:paraId="21855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A78001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87</w:t>
                  </w:r>
                </w:p>
              </w:tc>
              <w:tc>
                <w:tcPr>
                  <w:tcW w:w="1256" w:type="dxa"/>
                  <w:vAlign w:val="center"/>
                </w:tcPr>
                <w:p w14:paraId="3F00DD0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5CB66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173.24 </w:t>
                  </w:r>
                </w:p>
              </w:tc>
              <w:tc>
                <w:tcPr>
                  <w:tcW w:w="1027" w:type="dxa"/>
                  <w:vAlign w:val="bottom"/>
                </w:tcPr>
                <w:p w14:paraId="696E0F0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2.55 </w:t>
                  </w:r>
                </w:p>
              </w:tc>
              <w:tc>
                <w:tcPr>
                  <w:tcW w:w="1139" w:type="dxa"/>
                  <w:vAlign w:val="bottom"/>
                </w:tcPr>
                <w:p w14:paraId="6B79B45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180.54 </w:t>
                  </w:r>
                </w:p>
              </w:tc>
              <w:tc>
                <w:tcPr>
                  <w:tcW w:w="1027" w:type="dxa"/>
                  <w:vAlign w:val="bottom"/>
                </w:tcPr>
                <w:p w14:paraId="2FD0B33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2.52 </w:t>
                  </w:r>
                </w:p>
              </w:tc>
              <w:tc>
                <w:tcPr>
                  <w:tcW w:w="1139" w:type="dxa"/>
                  <w:vAlign w:val="bottom"/>
                </w:tcPr>
                <w:p w14:paraId="0ECF2A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237.71 </w:t>
                  </w:r>
                </w:p>
              </w:tc>
              <w:tc>
                <w:tcPr>
                  <w:tcW w:w="1027" w:type="dxa"/>
                  <w:vAlign w:val="bottom"/>
                </w:tcPr>
                <w:p w14:paraId="224375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2.19 </w:t>
                  </w:r>
                </w:p>
              </w:tc>
            </w:tr>
            <w:tr w14:paraId="6CB84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9FD99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88</w:t>
                  </w:r>
                </w:p>
              </w:tc>
              <w:tc>
                <w:tcPr>
                  <w:tcW w:w="1256" w:type="dxa"/>
                  <w:vAlign w:val="center"/>
                </w:tcPr>
                <w:p w14:paraId="5B2526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63C8C50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162.89 </w:t>
                  </w:r>
                </w:p>
              </w:tc>
              <w:tc>
                <w:tcPr>
                  <w:tcW w:w="1027" w:type="dxa"/>
                  <w:vAlign w:val="bottom"/>
                </w:tcPr>
                <w:p w14:paraId="0FCC4C6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2.41 </w:t>
                  </w:r>
                </w:p>
              </w:tc>
              <w:tc>
                <w:tcPr>
                  <w:tcW w:w="1139" w:type="dxa"/>
                  <w:vAlign w:val="bottom"/>
                </w:tcPr>
                <w:p w14:paraId="5BC6C96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169.39 </w:t>
                  </w:r>
                </w:p>
              </w:tc>
              <w:tc>
                <w:tcPr>
                  <w:tcW w:w="1027" w:type="dxa"/>
                  <w:vAlign w:val="bottom"/>
                </w:tcPr>
                <w:p w14:paraId="5B7445F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2.39 </w:t>
                  </w:r>
                </w:p>
              </w:tc>
              <w:tc>
                <w:tcPr>
                  <w:tcW w:w="1139" w:type="dxa"/>
                  <w:vAlign w:val="bottom"/>
                </w:tcPr>
                <w:p w14:paraId="6573B7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223.07 </w:t>
                  </w:r>
                </w:p>
              </w:tc>
              <w:tc>
                <w:tcPr>
                  <w:tcW w:w="1027" w:type="dxa"/>
                  <w:vAlign w:val="bottom"/>
                </w:tcPr>
                <w:p w14:paraId="0CD811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2.09 </w:t>
                  </w:r>
                </w:p>
              </w:tc>
            </w:tr>
            <w:tr w14:paraId="2F60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7BAAC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89</w:t>
                  </w:r>
                </w:p>
              </w:tc>
              <w:tc>
                <w:tcPr>
                  <w:tcW w:w="1256" w:type="dxa"/>
                  <w:vAlign w:val="center"/>
                </w:tcPr>
                <w:p w14:paraId="202DC0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D4F901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153.48 </w:t>
                  </w:r>
                </w:p>
              </w:tc>
              <w:tc>
                <w:tcPr>
                  <w:tcW w:w="1027" w:type="dxa"/>
                  <w:vAlign w:val="bottom"/>
                </w:tcPr>
                <w:p w14:paraId="7C091AB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2.29 </w:t>
                  </w:r>
                </w:p>
              </w:tc>
              <w:tc>
                <w:tcPr>
                  <w:tcW w:w="1139" w:type="dxa"/>
                  <w:vAlign w:val="bottom"/>
                </w:tcPr>
                <w:p w14:paraId="5D7B218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159.28 </w:t>
                  </w:r>
                </w:p>
              </w:tc>
              <w:tc>
                <w:tcPr>
                  <w:tcW w:w="1027" w:type="dxa"/>
                  <w:vAlign w:val="bottom"/>
                </w:tcPr>
                <w:p w14:paraId="2C2EB19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2.26 </w:t>
                  </w:r>
                </w:p>
              </w:tc>
              <w:tc>
                <w:tcPr>
                  <w:tcW w:w="1139" w:type="dxa"/>
                  <w:vAlign w:val="bottom"/>
                </w:tcPr>
                <w:p w14:paraId="24B95A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209.61 </w:t>
                  </w:r>
                </w:p>
              </w:tc>
              <w:tc>
                <w:tcPr>
                  <w:tcW w:w="1027" w:type="dxa"/>
                  <w:vAlign w:val="bottom"/>
                </w:tcPr>
                <w:p w14:paraId="304FBA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1.99 </w:t>
                  </w:r>
                </w:p>
              </w:tc>
            </w:tr>
            <w:tr w14:paraId="6FB26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70B10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90</w:t>
                  </w:r>
                </w:p>
              </w:tc>
              <w:tc>
                <w:tcPr>
                  <w:tcW w:w="1256" w:type="dxa"/>
                  <w:vAlign w:val="center"/>
                </w:tcPr>
                <w:p w14:paraId="319580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39,1.5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48968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144.90 </w:t>
                  </w:r>
                </w:p>
              </w:tc>
              <w:tc>
                <w:tcPr>
                  <w:tcW w:w="1027" w:type="dxa"/>
                  <w:vAlign w:val="bottom"/>
                </w:tcPr>
                <w:p w14:paraId="50E7B5B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2.17 </w:t>
                  </w:r>
                </w:p>
              </w:tc>
              <w:tc>
                <w:tcPr>
                  <w:tcW w:w="1139" w:type="dxa"/>
                  <w:vAlign w:val="bottom"/>
                </w:tcPr>
                <w:p w14:paraId="59BD379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150.08 </w:t>
                  </w:r>
                </w:p>
              </w:tc>
              <w:tc>
                <w:tcPr>
                  <w:tcW w:w="1027" w:type="dxa"/>
                  <w:vAlign w:val="bottom"/>
                </w:tcPr>
                <w:p w14:paraId="7305258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2.15 </w:t>
                  </w:r>
                </w:p>
              </w:tc>
              <w:tc>
                <w:tcPr>
                  <w:tcW w:w="1139" w:type="dxa"/>
                  <w:vAlign w:val="bottom"/>
                </w:tcPr>
                <w:p w14:paraId="057DD4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197.20 </w:t>
                  </w:r>
                </w:p>
              </w:tc>
              <w:tc>
                <w:tcPr>
                  <w:tcW w:w="1027" w:type="dxa"/>
                  <w:vAlign w:val="bottom"/>
                </w:tcPr>
                <w:p w14:paraId="194A47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1.90 </w:t>
                  </w:r>
                </w:p>
              </w:tc>
            </w:tr>
            <w:tr w14:paraId="66BCF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111B1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91</w:t>
                  </w:r>
                </w:p>
              </w:tc>
              <w:tc>
                <w:tcPr>
                  <w:tcW w:w="1256" w:type="dxa"/>
                  <w:vAlign w:val="center"/>
                </w:tcPr>
                <w:p w14:paraId="7015B2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A97D1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137.06 </w:t>
                  </w:r>
                </w:p>
              </w:tc>
              <w:tc>
                <w:tcPr>
                  <w:tcW w:w="1027" w:type="dxa"/>
                  <w:vAlign w:val="bottom"/>
                </w:tcPr>
                <w:p w14:paraId="07158B0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2.06 </w:t>
                  </w:r>
                </w:p>
              </w:tc>
              <w:tc>
                <w:tcPr>
                  <w:tcW w:w="1139" w:type="dxa"/>
                  <w:vAlign w:val="bottom"/>
                </w:tcPr>
                <w:p w14:paraId="7E1BDA8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141.69 </w:t>
                  </w:r>
                </w:p>
              </w:tc>
              <w:tc>
                <w:tcPr>
                  <w:tcW w:w="1027" w:type="dxa"/>
                  <w:vAlign w:val="bottom"/>
                </w:tcPr>
                <w:p w14:paraId="1C382F5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2.05 </w:t>
                  </w:r>
                </w:p>
              </w:tc>
              <w:tc>
                <w:tcPr>
                  <w:tcW w:w="1139" w:type="dxa"/>
                  <w:vAlign w:val="bottom"/>
                </w:tcPr>
                <w:p w14:paraId="57529C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185.76 </w:t>
                  </w:r>
                </w:p>
              </w:tc>
              <w:tc>
                <w:tcPr>
                  <w:tcW w:w="1027" w:type="dxa"/>
                  <w:vAlign w:val="bottom"/>
                </w:tcPr>
                <w:p w14:paraId="4234BA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1.82 </w:t>
                  </w:r>
                </w:p>
              </w:tc>
            </w:tr>
            <w:tr w14:paraId="0F5BF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53E443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92</w:t>
                  </w:r>
                </w:p>
              </w:tc>
              <w:tc>
                <w:tcPr>
                  <w:tcW w:w="1256" w:type="dxa"/>
                  <w:vAlign w:val="center"/>
                </w:tcPr>
                <w:p w14:paraId="4DA034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41,1.5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5F06EF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129.86 </w:t>
                  </w:r>
                </w:p>
              </w:tc>
              <w:tc>
                <w:tcPr>
                  <w:tcW w:w="1027" w:type="dxa"/>
                  <w:vAlign w:val="bottom"/>
                </w:tcPr>
                <w:p w14:paraId="549AA9F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1.96 </w:t>
                  </w:r>
                </w:p>
              </w:tc>
              <w:tc>
                <w:tcPr>
                  <w:tcW w:w="1139" w:type="dxa"/>
                  <w:vAlign w:val="bottom"/>
                </w:tcPr>
                <w:p w14:paraId="092CAF3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134.01 </w:t>
                  </w:r>
                </w:p>
              </w:tc>
              <w:tc>
                <w:tcPr>
                  <w:tcW w:w="1027" w:type="dxa"/>
                  <w:vAlign w:val="bottom"/>
                </w:tcPr>
                <w:p w14:paraId="2F1E26A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1.95 </w:t>
                  </w:r>
                </w:p>
              </w:tc>
              <w:tc>
                <w:tcPr>
                  <w:tcW w:w="1139" w:type="dxa"/>
                  <w:vAlign w:val="bottom"/>
                </w:tcPr>
                <w:p w14:paraId="622053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175.20 </w:t>
                  </w:r>
                </w:p>
              </w:tc>
              <w:tc>
                <w:tcPr>
                  <w:tcW w:w="1027" w:type="dxa"/>
                  <w:vAlign w:val="bottom"/>
                </w:tcPr>
                <w:p w14:paraId="04DEFC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1.74 </w:t>
                  </w:r>
                </w:p>
              </w:tc>
            </w:tr>
            <w:tr w14:paraId="2AF1A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6CCBC7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93</w:t>
                  </w:r>
                </w:p>
              </w:tc>
              <w:tc>
                <w:tcPr>
                  <w:tcW w:w="1256" w:type="dxa"/>
                  <w:vAlign w:val="center"/>
                </w:tcPr>
                <w:p w14:paraId="508D1F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42,1.5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4C7C9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123.24 </w:t>
                  </w:r>
                </w:p>
              </w:tc>
              <w:tc>
                <w:tcPr>
                  <w:tcW w:w="1027" w:type="dxa"/>
                  <w:vAlign w:val="bottom"/>
                </w:tcPr>
                <w:p w14:paraId="08EC618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1.87 </w:t>
                  </w:r>
                </w:p>
              </w:tc>
              <w:tc>
                <w:tcPr>
                  <w:tcW w:w="1139" w:type="dxa"/>
                  <w:vAlign w:val="bottom"/>
                </w:tcPr>
                <w:p w14:paraId="4E25B64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126.95 </w:t>
                  </w:r>
                </w:p>
              </w:tc>
              <w:tc>
                <w:tcPr>
                  <w:tcW w:w="1027" w:type="dxa"/>
                  <w:vAlign w:val="bottom"/>
                </w:tcPr>
                <w:p w14:paraId="0F85771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1.86 </w:t>
                  </w:r>
                </w:p>
              </w:tc>
              <w:tc>
                <w:tcPr>
                  <w:tcW w:w="1139" w:type="dxa"/>
                  <w:vAlign w:val="bottom"/>
                </w:tcPr>
                <w:p w14:paraId="489A968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165.43 </w:t>
                  </w:r>
                </w:p>
              </w:tc>
              <w:tc>
                <w:tcPr>
                  <w:tcW w:w="1027" w:type="dxa"/>
                  <w:vAlign w:val="bottom"/>
                </w:tcPr>
                <w:p w14:paraId="0A41A0A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1.67 </w:t>
                  </w:r>
                </w:p>
              </w:tc>
            </w:tr>
            <w:tr w14:paraId="7F1C9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5EFEE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94</w:t>
                  </w:r>
                </w:p>
              </w:tc>
              <w:tc>
                <w:tcPr>
                  <w:tcW w:w="1256" w:type="dxa"/>
                  <w:vAlign w:val="center"/>
                </w:tcPr>
                <w:p w14:paraId="7A7C235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43,1.5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0FC9ED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117.14 </w:t>
                  </w:r>
                </w:p>
              </w:tc>
              <w:tc>
                <w:tcPr>
                  <w:tcW w:w="1027" w:type="dxa"/>
                  <w:vAlign w:val="bottom"/>
                </w:tcPr>
                <w:p w14:paraId="5E0CCD0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1.79 </w:t>
                  </w:r>
                </w:p>
              </w:tc>
              <w:tc>
                <w:tcPr>
                  <w:tcW w:w="1139" w:type="dxa"/>
                  <w:vAlign w:val="bottom"/>
                </w:tcPr>
                <w:p w14:paraId="55CDD14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120.47 </w:t>
                  </w:r>
                </w:p>
              </w:tc>
              <w:tc>
                <w:tcPr>
                  <w:tcW w:w="1027" w:type="dxa"/>
                  <w:vAlign w:val="bottom"/>
                </w:tcPr>
                <w:p w14:paraId="63D7EBF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1.77 </w:t>
                  </w:r>
                </w:p>
              </w:tc>
              <w:tc>
                <w:tcPr>
                  <w:tcW w:w="1139" w:type="dxa"/>
                  <w:vAlign w:val="bottom"/>
                </w:tcPr>
                <w:p w14:paraId="3377FE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156.40 </w:t>
                  </w:r>
                </w:p>
              </w:tc>
              <w:tc>
                <w:tcPr>
                  <w:tcW w:w="1027" w:type="dxa"/>
                  <w:vAlign w:val="bottom"/>
                </w:tcPr>
                <w:p w14:paraId="2FD574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1.60 </w:t>
                  </w:r>
                </w:p>
              </w:tc>
            </w:tr>
            <w:tr w14:paraId="0A6EE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11DB5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95</w:t>
                  </w:r>
                </w:p>
              </w:tc>
              <w:tc>
                <w:tcPr>
                  <w:tcW w:w="1256" w:type="dxa"/>
                  <w:vAlign w:val="center"/>
                </w:tcPr>
                <w:p w14:paraId="54FE2C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44,1.5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11B786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111.50 </w:t>
                  </w:r>
                </w:p>
              </w:tc>
              <w:tc>
                <w:tcPr>
                  <w:tcW w:w="1027" w:type="dxa"/>
                  <w:vAlign w:val="bottom"/>
                </w:tcPr>
                <w:p w14:paraId="105D25C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1.71 </w:t>
                  </w:r>
                </w:p>
              </w:tc>
              <w:tc>
                <w:tcPr>
                  <w:tcW w:w="1139" w:type="dxa"/>
                  <w:vAlign w:val="bottom"/>
                </w:tcPr>
                <w:p w14:paraId="12231BE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114.48 </w:t>
                  </w:r>
                </w:p>
              </w:tc>
              <w:tc>
                <w:tcPr>
                  <w:tcW w:w="1027" w:type="dxa"/>
                  <w:vAlign w:val="bottom"/>
                </w:tcPr>
                <w:p w14:paraId="7E49D91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1.69 </w:t>
                  </w:r>
                </w:p>
              </w:tc>
              <w:tc>
                <w:tcPr>
                  <w:tcW w:w="1139" w:type="dxa"/>
                  <w:vAlign w:val="bottom"/>
                </w:tcPr>
                <w:p w14:paraId="7D33A9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148.03 </w:t>
                  </w:r>
                </w:p>
              </w:tc>
              <w:tc>
                <w:tcPr>
                  <w:tcW w:w="1027" w:type="dxa"/>
                  <w:vAlign w:val="bottom"/>
                </w:tcPr>
                <w:p w14:paraId="06B369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1.54 </w:t>
                  </w:r>
                </w:p>
              </w:tc>
            </w:tr>
            <w:tr w14:paraId="0262E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1B24301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96</w:t>
                  </w:r>
                </w:p>
              </w:tc>
              <w:tc>
                <w:tcPr>
                  <w:tcW w:w="1256" w:type="dxa"/>
                  <w:vAlign w:val="center"/>
                </w:tcPr>
                <w:p w14:paraId="38E3A6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45,1.5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B7B8E5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106.27 </w:t>
                  </w:r>
                </w:p>
              </w:tc>
              <w:tc>
                <w:tcPr>
                  <w:tcW w:w="1027" w:type="dxa"/>
                  <w:vAlign w:val="bottom"/>
                </w:tcPr>
                <w:p w14:paraId="1F156EA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1.63 </w:t>
                  </w:r>
                </w:p>
              </w:tc>
              <w:tc>
                <w:tcPr>
                  <w:tcW w:w="1139" w:type="dxa"/>
                  <w:vAlign w:val="bottom"/>
                </w:tcPr>
                <w:p w14:paraId="4F55995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108.95 </w:t>
                  </w:r>
                </w:p>
              </w:tc>
              <w:tc>
                <w:tcPr>
                  <w:tcW w:w="1027" w:type="dxa"/>
                  <w:vAlign w:val="bottom"/>
                </w:tcPr>
                <w:p w14:paraId="2155696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1.62 </w:t>
                  </w:r>
                </w:p>
              </w:tc>
              <w:tc>
                <w:tcPr>
                  <w:tcW w:w="1139" w:type="dxa"/>
                  <w:vAlign w:val="bottom"/>
                </w:tcPr>
                <w:p w14:paraId="07498C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140.27 </w:t>
                  </w:r>
                </w:p>
              </w:tc>
              <w:tc>
                <w:tcPr>
                  <w:tcW w:w="1027" w:type="dxa"/>
                  <w:vAlign w:val="bottom"/>
                </w:tcPr>
                <w:p w14:paraId="468EB8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1.48 </w:t>
                  </w:r>
                </w:p>
              </w:tc>
            </w:tr>
            <w:tr w14:paraId="3AE57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DD6A4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97</w:t>
                  </w:r>
                </w:p>
              </w:tc>
              <w:tc>
                <w:tcPr>
                  <w:tcW w:w="1256" w:type="dxa"/>
                  <w:vAlign w:val="center"/>
                </w:tcPr>
                <w:p w14:paraId="222D0A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46,1.5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6053BD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101.41 </w:t>
                  </w:r>
                </w:p>
              </w:tc>
              <w:tc>
                <w:tcPr>
                  <w:tcW w:w="1027" w:type="dxa"/>
                  <w:vAlign w:val="bottom"/>
                </w:tcPr>
                <w:p w14:paraId="488F234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1.56 </w:t>
                  </w:r>
                </w:p>
              </w:tc>
              <w:tc>
                <w:tcPr>
                  <w:tcW w:w="1139" w:type="dxa"/>
                  <w:vAlign w:val="bottom"/>
                </w:tcPr>
                <w:p w14:paraId="1E30729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103.82 </w:t>
                  </w:r>
                </w:p>
              </w:tc>
              <w:tc>
                <w:tcPr>
                  <w:tcW w:w="1027" w:type="dxa"/>
                  <w:vAlign w:val="bottom"/>
                </w:tcPr>
                <w:p w14:paraId="74290A6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1.55 </w:t>
                  </w:r>
                </w:p>
              </w:tc>
              <w:tc>
                <w:tcPr>
                  <w:tcW w:w="1139" w:type="dxa"/>
                  <w:vAlign w:val="bottom"/>
                </w:tcPr>
                <w:p w14:paraId="01124C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133.07 </w:t>
                  </w:r>
                </w:p>
              </w:tc>
              <w:tc>
                <w:tcPr>
                  <w:tcW w:w="1027" w:type="dxa"/>
                  <w:vAlign w:val="bottom"/>
                </w:tcPr>
                <w:p w14:paraId="30AEFF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1.42 </w:t>
                  </w:r>
                </w:p>
              </w:tc>
            </w:tr>
            <w:tr w14:paraId="2B0F3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0EC765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98</w:t>
                  </w:r>
                </w:p>
              </w:tc>
              <w:tc>
                <w:tcPr>
                  <w:tcW w:w="1256" w:type="dxa"/>
                  <w:vAlign w:val="center"/>
                </w:tcPr>
                <w:p w14:paraId="4745C8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47,1.5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7F667B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96.89 </w:t>
                  </w:r>
                </w:p>
              </w:tc>
              <w:tc>
                <w:tcPr>
                  <w:tcW w:w="1027" w:type="dxa"/>
                  <w:vAlign w:val="bottom"/>
                </w:tcPr>
                <w:p w14:paraId="19653EA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1.50 </w:t>
                  </w:r>
                </w:p>
              </w:tc>
              <w:tc>
                <w:tcPr>
                  <w:tcW w:w="1139" w:type="dxa"/>
                  <w:vAlign w:val="bottom"/>
                </w:tcPr>
                <w:p w14:paraId="382A290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99.06 </w:t>
                  </w:r>
                </w:p>
              </w:tc>
              <w:tc>
                <w:tcPr>
                  <w:tcW w:w="1027" w:type="dxa"/>
                  <w:vAlign w:val="bottom"/>
                </w:tcPr>
                <w:p w14:paraId="6F409C7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1.49 </w:t>
                  </w:r>
                </w:p>
              </w:tc>
              <w:tc>
                <w:tcPr>
                  <w:tcW w:w="1139" w:type="dxa"/>
                  <w:vAlign w:val="bottom"/>
                </w:tcPr>
                <w:p w14:paraId="22E1BA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126.37 </w:t>
                  </w:r>
                </w:p>
              </w:tc>
              <w:tc>
                <w:tcPr>
                  <w:tcW w:w="1027" w:type="dxa"/>
                  <w:vAlign w:val="bottom"/>
                </w:tcPr>
                <w:p w14:paraId="3143B2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1.37 </w:t>
                  </w:r>
                </w:p>
              </w:tc>
            </w:tr>
            <w:tr w14:paraId="1CE92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785CA4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99</w:t>
                  </w:r>
                </w:p>
              </w:tc>
              <w:tc>
                <w:tcPr>
                  <w:tcW w:w="1256" w:type="dxa"/>
                  <w:vAlign w:val="center"/>
                </w:tcPr>
                <w:p w14:paraId="33D534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48,1.5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3183A6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92.68 </w:t>
                  </w:r>
                </w:p>
              </w:tc>
              <w:tc>
                <w:tcPr>
                  <w:tcW w:w="1027" w:type="dxa"/>
                  <w:vAlign w:val="bottom"/>
                </w:tcPr>
                <w:p w14:paraId="5771DD7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1.43 </w:t>
                  </w:r>
                </w:p>
              </w:tc>
              <w:tc>
                <w:tcPr>
                  <w:tcW w:w="1139" w:type="dxa"/>
                  <w:vAlign w:val="bottom"/>
                </w:tcPr>
                <w:p w14:paraId="2A7092C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94.63 </w:t>
                  </w:r>
                </w:p>
              </w:tc>
              <w:tc>
                <w:tcPr>
                  <w:tcW w:w="1027" w:type="dxa"/>
                  <w:vAlign w:val="bottom"/>
                </w:tcPr>
                <w:p w14:paraId="724CEE2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1.43 </w:t>
                  </w:r>
                </w:p>
              </w:tc>
              <w:tc>
                <w:tcPr>
                  <w:tcW w:w="1139" w:type="dxa"/>
                  <w:vAlign w:val="bottom"/>
                </w:tcPr>
                <w:p w14:paraId="76575B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120.13 </w:t>
                  </w:r>
                </w:p>
              </w:tc>
              <w:tc>
                <w:tcPr>
                  <w:tcW w:w="1027" w:type="dxa"/>
                  <w:vAlign w:val="bottom"/>
                </w:tcPr>
                <w:p w14:paraId="678965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1.31 </w:t>
                  </w:r>
                </w:p>
              </w:tc>
            </w:tr>
            <w:tr w14:paraId="6D108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1AA4E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100</w:t>
                  </w:r>
                </w:p>
              </w:tc>
              <w:tc>
                <w:tcPr>
                  <w:tcW w:w="1256" w:type="dxa"/>
                  <w:vAlign w:val="center"/>
                </w:tcPr>
                <w:p w14:paraId="3197B6B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49,1.5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414654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88.74 </w:t>
                  </w:r>
                </w:p>
              </w:tc>
              <w:tc>
                <w:tcPr>
                  <w:tcW w:w="1027" w:type="dxa"/>
                  <w:vAlign w:val="bottom"/>
                </w:tcPr>
                <w:p w14:paraId="16ADDDF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1.38 </w:t>
                  </w:r>
                </w:p>
              </w:tc>
              <w:tc>
                <w:tcPr>
                  <w:tcW w:w="1139" w:type="dxa"/>
                  <w:vAlign w:val="bottom"/>
                </w:tcPr>
                <w:p w14:paraId="3727F3C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90.50 </w:t>
                  </w:r>
                </w:p>
              </w:tc>
              <w:tc>
                <w:tcPr>
                  <w:tcW w:w="1027" w:type="dxa"/>
                  <w:vAlign w:val="bottom"/>
                </w:tcPr>
                <w:p w14:paraId="1CC7EDA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1.37 </w:t>
                  </w:r>
                </w:p>
              </w:tc>
              <w:tc>
                <w:tcPr>
                  <w:tcW w:w="1139" w:type="dxa"/>
                  <w:vAlign w:val="bottom"/>
                </w:tcPr>
                <w:p w14:paraId="05AE02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114.32 </w:t>
                  </w:r>
                </w:p>
              </w:tc>
              <w:tc>
                <w:tcPr>
                  <w:tcW w:w="1027" w:type="dxa"/>
                  <w:vAlign w:val="bottom"/>
                </w:tcPr>
                <w:p w14:paraId="1B664C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1.27 </w:t>
                  </w:r>
                </w:p>
              </w:tc>
            </w:tr>
            <w:tr w14:paraId="20AAA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2" w:type="dxa"/>
                  <w:vAlign w:val="center"/>
                </w:tcPr>
                <w:p w14:paraId="367541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101</w:t>
                  </w:r>
                </w:p>
              </w:tc>
              <w:tc>
                <w:tcPr>
                  <w:tcW w:w="1256" w:type="dxa"/>
                  <w:vAlign w:val="center"/>
                </w:tcPr>
                <w:p w14:paraId="04C957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szCs w:val="21"/>
                      <w14:textFill>
                        <w14:solidFill>
                          <w14:schemeClr w14:val="tx1"/>
                        </w14:solidFill>
                      </w14:textFill>
                    </w:rPr>
                    <w:t>50,1.5</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1139" w:type="dxa"/>
                  <w:vAlign w:val="bottom"/>
                </w:tcPr>
                <w:p w14:paraId="2B70E4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85.06 </w:t>
                  </w:r>
                </w:p>
              </w:tc>
              <w:tc>
                <w:tcPr>
                  <w:tcW w:w="1027" w:type="dxa"/>
                  <w:vAlign w:val="bottom"/>
                </w:tcPr>
                <w:p w14:paraId="0CB903A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1.32 </w:t>
                  </w:r>
                </w:p>
              </w:tc>
              <w:tc>
                <w:tcPr>
                  <w:tcW w:w="1139" w:type="dxa"/>
                  <w:vAlign w:val="bottom"/>
                </w:tcPr>
                <w:p w14:paraId="6BA32CC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86.64 </w:t>
                  </w:r>
                </w:p>
              </w:tc>
              <w:tc>
                <w:tcPr>
                  <w:tcW w:w="1027" w:type="dxa"/>
                  <w:vAlign w:val="bottom"/>
                </w:tcPr>
                <w:p w14:paraId="10EFFAA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1.31 </w:t>
                  </w:r>
                </w:p>
              </w:tc>
              <w:tc>
                <w:tcPr>
                  <w:tcW w:w="1139" w:type="dxa"/>
                  <w:vAlign w:val="bottom"/>
                </w:tcPr>
                <w:p w14:paraId="113599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108.90 </w:t>
                  </w:r>
                </w:p>
              </w:tc>
              <w:tc>
                <w:tcPr>
                  <w:tcW w:w="1027" w:type="dxa"/>
                  <w:vAlign w:val="bottom"/>
                </w:tcPr>
                <w:p w14:paraId="262484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 xml:space="preserve">1.22 </w:t>
                  </w:r>
                </w:p>
              </w:tc>
            </w:tr>
          </w:tbl>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3"/>
              <w:gridCol w:w="4141"/>
            </w:tblGrid>
            <w:tr w14:paraId="1A053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63" w:type="dxa"/>
                </w:tcPr>
                <w:p w14:paraId="20EAFDED">
                  <w:pPr>
                    <w:keepNext w:val="0"/>
                    <w:keepLines w:val="0"/>
                    <w:suppressLineNumbers w:val="0"/>
                    <w:spacing w:before="0" w:beforeAutospacing="0" w:after="0" w:afterAutospacing="0"/>
                    <w:ind w:left="0" w:right="0"/>
                    <w:jc w:val="center"/>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392045" cy="1466850"/>
                        <wp:effectExtent l="0" t="0" r="8255" b="0"/>
                        <wp:docPr id="14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1"/>
                                <pic:cNvPicPr>
                                  <a:picLocks noChangeAspect="1"/>
                                </pic:cNvPicPr>
                              </pic:nvPicPr>
                              <pic:blipFill>
                                <a:blip r:embed="rId71"/>
                                <a:stretch>
                                  <a:fillRect/>
                                </a:stretch>
                              </pic:blipFill>
                              <pic:spPr>
                                <a:xfrm>
                                  <a:off x="0" y="0"/>
                                  <a:ext cx="2392045" cy="1466850"/>
                                </a:xfrm>
                                <a:prstGeom prst="rect">
                                  <a:avLst/>
                                </a:prstGeom>
                                <a:noFill/>
                                <a:ln>
                                  <a:noFill/>
                                </a:ln>
                              </pic:spPr>
                            </pic:pic>
                          </a:graphicData>
                        </a:graphic>
                      </wp:inline>
                    </w:drawing>
                  </w:r>
                </w:p>
              </w:tc>
              <w:tc>
                <w:tcPr>
                  <w:tcW w:w="4133" w:type="dxa"/>
                </w:tcPr>
                <w:p w14:paraId="64CCCCD9">
                  <w:pPr>
                    <w:keepNext w:val="0"/>
                    <w:keepLines w:val="0"/>
                    <w:suppressLineNumbers w:val="0"/>
                    <w:spacing w:before="0" w:beforeAutospacing="0" w:after="0" w:afterAutospacing="0"/>
                    <w:ind w:left="0" w:right="0"/>
                    <w:jc w:val="center"/>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353945" cy="1451610"/>
                        <wp:effectExtent l="0" t="0" r="8255" b="15240"/>
                        <wp:docPr id="14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2"/>
                                <pic:cNvPicPr>
                                  <a:picLocks noChangeAspect="1"/>
                                </pic:cNvPicPr>
                              </pic:nvPicPr>
                              <pic:blipFill>
                                <a:blip r:embed="rId72"/>
                                <a:stretch>
                                  <a:fillRect/>
                                </a:stretch>
                              </pic:blipFill>
                              <pic:spPr>
                                <a:xfrm>
                                  <a:off x="0" y="0"/>
                                  <a:ext cx="2353945" cy="1451610"/>
                                </a:xfrm>
                                <a:prstGeom prst="rect">
                                  <a:avLst/>
                                </a:prstGeom>
                                <a:noFill/>
                                <a:ln>
                                  <a:noFill/>
                                </a:ln>
                              </pic:spPr>
                            </pic:pic>
                          </a:graphicData>
                        </a:graphic>
                      </wp:inline>
                    </w:drawing>
                  </w:r>
                </w:p>
              </w:tc>
            </w:tr>
            <w:tr w14:paraId="0AE63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3" w:type="dxa"/>
                </w:tcPr>
                <w:p w14:paraId="5A5F5051">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工频电场强度</w:t>
                  </w:r>
                </w:p>
              </w:tc>
              <w:tc>
                <w:tcPr>
                  <w:tcW w:w="4133" w:type="dxa"/>
                </w:tcPr>
                <w:p w14:paraId="0A9F144E">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磁感应强度</w:t>
                  </w:r>
                </w:p>
              </w:tc>
            </w:tr>
            <w:tr w14:paraId="4D97D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14:paraId="2531C499">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（非居民区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6.5m</w:t>
                  </w:r>
                  <w:r>
                    <w:rPr>
                      <w:rFonts w:hint="eastAsia"/>
                      <w:color w:val="000000" w:themeColor="text1"/>
                      <w:szCs w:val="21"/>
                      <w14:textFill>
                        <w14:solidFill>
                          <w14:schemeClr w14:val="tx1"/>
                        </w14:solidFill>
                      </w14:textFill>
                    </w:rPr>
                    <w:t>）</w:t>
                  </w:r>
                </w:p>
              </w:tc>
            </w:tr>
            <w:tr w14:paraId="23628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3" w:type="dxa"/>
                </w:tcPr>
                <w:p w14:paraId="35E61C82">
                  <w:pPr>
                    <w:keepNext w:val="0"/>
                    <w:keepLines w:val="0"/>
                    <w:suppressLineNumbers w:val="0"/>
                    <w:spacing w:before="0" w:beforeAutospacing="0" w:after="0" w:afterAutospacing="0"/>
                    <w:ind w:left="0" w:right="0"/>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447925" cy="1482725"/>
                        <wp:effectExtent l="0" t="0" r="9525" b="3175"/>
                        <wp:docPr id="14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3"/>
                                <pic:cNvPicPr>
                                  <a:picLocks noChangeAspect="1"/>
                                </pic:cNvPicPr>
                              </pic:nvPicPr>
                              <pic:blipFill>
                                <a:blip r:embed="rId73"/>
                                <a:stretch>
                                  <a:fillRect/>
                                </a:stretch>
                              </pic:blipFill>
                              <pic:spPr>
                                <a:xfrm>
                                  <a:off x="0" y="0"/>
                                  <a:ext cx="2447925" cy="1482725"/>
                                </a:xfrm>
                                <a:prstGeom prst="rect">
                                  <a:avLst/>
                                </a:prstGeom>
                                <a:noFill/>
                                <a:ln>
                                  <a:noFill/>
                                </a:ln>
                              </pic:spPr>
                            </pic:pic>
                          </a:graphicData>
                        </a:graphic>
                      </wp:inline>
                    </w:drawing>
                  </w:r>
                </w:p>
              </w:tc>
              <w:tc>
                <w:tcPr>
                  <w:tcW w:w="4133" w:type="dxa"/>
                </w:tcPr>
                <w:p w14:paraId="74DF09CD">
                  <w:pPr>
                    <w:keepNext w:val="0"/>
                    <w:keepLines w:val="0"/>
                    <w:suppressLineNumbers w:val="0"/>
                    <w:spacing w:before="0" w:beforeAutospacing="0" w:after="0" w:afterAutospacing="0"/>
                    <w:ind w:left="0" w:right="0"/>
                    <w:rPr>
                      <w:rFonts w:hint="eastAsia" w:eastAsia="宋体"/>
                      <w:color w:val="000000" w:themeColor="text1"/>
                      <w:lang w:eastAsia="zh-CN"/>
                      <w14:textFill>
                        <w14:solidFill>
                          <w14:schemeClr w14:val="tx1"/>
                        </w14:solidFill>
                      </w14:textFill>
                    </w:rPr>
                  </w:pPr>
                  <w:r>
                    <w:rPr>
                      <w:rFonts w:hint="default"/>
                    </w:rPr>
                    <w:drawing>
                      <wp:inline distT="0" distB="0" distL="114300" distR="114300">
                        <wp:extent cx="2473325" cy="1501140"/>
                        <wp:effectExtent l="0" t="0" r="3175" b="3810"/>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74"/>
                                <a:stretch>
                                  <a:fillRect/>
                                </a:stretch>
                              </pic:blipFill>
                              <pic:spPr>
                                <a:xfrm>
                                  <a:off x="0" y="0"/>
                                  <a:ext cx="2473325" cy="1501140"/>
                                </a:xfrm>
                                <a:prstGeom prst="rect">
                                  <a:avLst/>
                                </a:prstGeom>
                                <a:noFill/>
                                <a:ln>
                                  <a:noFill/>
                                </a:ln>
                              </pic:spPr>
                            </pic:pic>
                          </a:graphicData>
                        </a:graphic>
                      </wp:inline>
                    </w:drawing>
                  </w:r>
                </w:p>
              </w:tc>
            </w:tr>
            <w:tr w14:paraId="054AD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3" w:type="dxa"/>
                </w:tcPr>
                <w:p w14:paraId="5D34BB36">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工频电场强度</w:t>
                  </w:r>
                </w:p>
              </w:tc>
              <w:tc>
                <w:tcPr>
                  <w:tcW w:w="4133" w:type="dxa"/>
                </w:tcPr>
                <w:p w14:paraId="1DADB9EF">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磁感应强度</w:t>
                  </w:r>
                </w:p>
              </w:tc>
            </w:tr>
            <w:tr w14:paraId="04778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14:paraId="1F577FC6">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（居民区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7.5m</w:t>
                  </w:r>
                  <w:r>
                    <w:rPr>
                      <w:rFonts w:hint="eastAsia"/>
                      <w:color w:val="000000" w:themeColor="text1"/>
                      <w:szCs w:val="21"/>
                      <w14:textFill>
                        <w14:solidFill>
                          <w14:schemeClr w14:val="tx1"/>
                        </w14:solidFill>
                      </w14:textFill>
                    </w:rPr>
                    <w:t>）</w:t>
                  </w:r>
                </w:p>
              </w:tc>
            </w:tr>
            <w:tr w14:paraId="4F5D1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5" w:type="dxa"/>
                </w:tcPr>
                <w:p w14:paraId="226CE124">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default"/>
                    </w:rPr>
                    <w:drawing>
                      <wp:inline distT="0" distB="0" distL="114300" distR="114300">
                        <wp:extent cx="2517775" cy="1521460"/>
                        <wp:effectExtent l="0" t="0" r="15875" b="2540"/>
                        <wp:docPr id="17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5"/>
                                <pic:cNvPicPr>
                                  <a:picLocks noChangeAspect="1"/>
                                </pic:cNvPicPr>
                              </pic:nvPicPr>
                              <pic:blipFill>
                                <a:blip r:embed="rId75"/>
                                <a:stretch>
                                  <a:fillRect/>
                                </a:stretch>
                              </pic:blipFill>
                              <pic:spPr>
                                <a:xfrm>
                                  <a:off x="0" y="0"/>
                                  <a:ext cx="2517775" cy="1521460"/>
                                </a:xfrm>
                                <a:prstGeom prst="rect">
                                  <a:avLst/>
                                </a:prstGeom>
                                <a:noFill/>
                                <a:ln>
                                  <a:noFill/>
                                </a:ln>
                              </pic:spPr>
                            </pic:pic>
                          </a:graphicData>
                        </a:graphic>
                      </wp:inline>
                    </w:drawing>
                  </w:r>
                </w:p>
              </w:tc>
              <w:tc>
                <w:tcPr>
                  <w:tcW w:w="4141" w:type="dxa"/>
                </w:tcPr>
                <w:p w14:paraId="35214CFC">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default"/>
                    </w:rPr>
                    <w:drawing>
                      <wp:inline distT="0" distB="0" distL="114300" distR="114300">
                        <wp:extent cx="2502535" cy="1536700"/>
                        <wp:effectExtent l="0" t="0" r="12065" b="6350"/>
                        <wp:docPr id="17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6"/>
                                <pic:cNvPicPr>
                                  <a:picLocks noChangeAspect="1"/>
                                </pic:cNvPicPr>
                              </pic:nvPicPr>
                              <pic:blipFill>
                                <a:blip r:embed="rId76"/>
                                <a:stretch>
                                  <a:fillRect/>
                                </a:stretch>
                              </pic:blipFill>
                              <pic:spPr>
                                <a:xfrm>
                                  <a:off x="0" y="0"/>
                                  <a:ext cx="2502535" cy="1536700"/>
                                </a:xfrm>
                                <a:prstGeom prst="rect">
                                  <a:avLst/>
                                </a:prstGeom>
                                <a:noFill/>
                                <a:ln>
                                  <a:noFill/>
                                </a:ln>
                              </pic:spPr>
                            </pic:pic>
                          </a:graphicData>
                        </a:graphic>
                      </wp:inline>
                    </w:drawing>
                  </w:r>
                </w:p>
              </w:tc>
            </w:tr>
            <w:tr w14:paraId="64EB1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55" w:type="dxa"/>
                  <w:vAlign w:val="top"/>
                </w:tcPr>
                <w:p w14:paraId="1C0D006F">
                  <w:pPr>
                    <w:keepNext w:val="0"/>
                    <w:keepLines w:val="0"/>
                    <w:suppressLineNumbers w:val="0"/>
                    <w:spacing w:before="0" w:beforeAutospacing="0" w:after="0" w:afterAutospacing="0"/>
                    <w:ind w:left="0" w:leftChars="0" w:right="0" w:rightChars="0"/>
                    <w:jc w:val="center"/>
                    <w:rPr>
                      <w:rFonts w:hint="eastAsia"/>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工频电场强度</w:t>
                  </w:r>
                </w:p>
              </w:tc>
              <w:tc>
                <w:tcPr>
                  <w:tcW w:w="4141" w:type="dxa"/>
                  <w:vAlign w:val="top"/>
                </w:tcPr>
                <w:p w14:paraId="12964FEA">
                  <w:pPr>
                    <w:keepNext w:val="0"/>
                    <w:keepLines w:val="0"/>
                    <w:suppressLineNumbers w:val="0"/>
                    <w:spacing w:before="0" w:beforeAutospacing="0" w:after="0" w:afterAutospacing="0"/>
                    <w:ind w:left="0" w:leftChars="0" w:right="0" w:rightChars="0"/>
                    <w:jc w:val="center"/>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磁感应强度</w:t>
                  </w:r>
                </w:p>
              </w:tc>
            </w:tr>
            <w:tr w14:paraId="73AAB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14:paraId="14FF779C">
                  <w:pPr>
                    <w:keepNext w:val="0"/>
                    <w:keepLines w:val="0"/>
                    <w:suppressLineNumbers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0kV输电线路工频电场强度、磁感应强度分布趋势图</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实际距离</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14.0m</w:t>
                  </w:r>
                  <w:r>
                    <w:rPr>
                      <w:rFonts w:hint="eastAsia"/>
                      <w:color w:val="000000" w:themeColor="text1"/>
                      <w:szCs w:val="21"/>
                      <w14:textFill>
                        <w14:solidFill>
                          <w14:schemeClr w14:val="tx1"/>
                        </w14:solidFill>
                      </w14:textFill>
                    </w:rPr>
                    <w:t>）</w:t>
                  </w:r>
                </w:p>
              </w:tc>
            </w:tr>
          </w:tbl>
          <w:p w14:paraId="31949509">
            <w:pPr>
              <w:pStyle w:val="74"/>
              <w:keepNext w:val="0"/>
              <w:keepLines w:val="0"/>
              <w:suppressLineNumbers w:val="0"/>
              <w:spacing w:before="0" w:beforeAutospacing="0" w:after="0" w:afterAutospacing="0" w:line="240" w:lineRule="auto"/>
              <w:ind w:left="0" w:right="0" w:firstLine="42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图 </w:t>
            </w:r>
            <w:r>
              <w:rPr>
                <w:rFonts w:hint="eastAsia" w:cs="Times New Roman"/>
                <w:b/>
                <w:bCs/>
                <w:color w:val="000000" w:themeColor="text1"/>
                <w:kern w:val="2"/>
                <w:sz w:val="24"/>
                <w:szCs w:val="24"/>
                <w:lang w:val="en-US" w:eastAsia="zh-CN" w:bidi="ar-SA"/>
                <w14:textFill>
                  <w14:solidFill>
                    <w14:schemeClr w14:val="tx1"/>
                  </w14:solidFill>
                </w14:textFill>
              </w:rPr>
              <w:t>9</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22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0kV输电线路（220-ED21D-DJ）磁感应强度分布趋势图</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9"/>
              <w:gridCol w:w="4177"/>
            </w:tblGrid>
            <w:tr w14:paraId="798B2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482" w:type="pct"/>
                </w:tcPr>
                <w:p w14:paraId="5288671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2"/>
                      <w:sz w:val="24"/>
                      <w:szCs w:val="24"/>
                      <w:vertAlign w:val="baseline"/>
                      <w:lang w:val="en-US" w:eastAsia="zh-CN" w:bidi="ar-SA"/>
                      <w14:textFill>
                        <w14:solidFill>
                          <w14:schemeClr w14:val="tx1"/>
                        </w14:solidFill>
                      </w14:textFill>
                    </w:rPr>
                  </w:pPr>
                  <w:r>
                    <w:rPr>
                      <w:rFonts w:hint="default"/>
                    </w:rPr>
                    <w:drawing>
                      <wp:inline distT="0" distB="0" distL="114300" distR="114300">
                        <wp:extent cx="2495550" cy="1248410"/>
                        <wp:effectExtent l="0" t="0" r="0" b="8890"/>
                        <wp:docPr id="20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7"/>
                                <pic:cNvPicPr>
                                  <a:picLocks noChangeAspect="1"/>
                                </pic:cNvPicPr>
                              </pic:nvPicPr>
                              <pic:blipFill>
                                <a:blip r:embed="rId77"/>
                                <a:stretch>
                                  <a:fillRect/>
                                </a:stretch>
                              </pic:blipFill>
                              <pic:spPr>
                                <a:xfrm>
                                  <a:off x="0" y="0"/>
                                  <a:ext cx="2495550" cy="1248410"/>
                                </a:xfrm>
                                <a:prstGeom prst="rect">
                                  <a:avLst/>
                                </a:prstGeom>
                                <a:noFill/>
                                <a:ln>
                                  <a:noFill/>
                                </a:ln>
                              </pic:spPr>
                            </pic:pic>
                          </a:graphicData>
                        </a:graphic>
                      </wp:inline>
                    </w:drawing>
                  </w:r>
                </w:p>
              </w:tc>
              <w:tc>
                <w:tcPr>
                  <w:tcW w:w="2517" w:type="pct"/>
                </w:tcPr>
                <w:p w14:paraId="2C3798C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2"/>
                      <w:sz w:val="24"/>
                      <w:szCs w:val="24"/>
                      <w:vertAlign w:val="baseline"/>
                      <w:lang w:val="en-US" w:eastAsia="zh-CN" w:bidi="ar-SA"/>
                      <w14:textFill>
                        <w14:solidFill>
                          <w14:schemeClr w14:val="tx1"/>
                        </w14:solidFill>
                      </w14:textFill>
                    </w:rPr>
                  </w:pPr>
                  <w:r>
                    <w:rPr>
                      <w:rFonts w:hint="default"/>
                    </w:rPr>
                    <w:drawing>
                      <wp:inline distT="0" distB="0" distL="114300" distR="114300">
                        <wp:extent cx="2540000" cy="1270635"/>
                        <wp:effectExtent l="0" t="0" r="12700" b="5715"/>
                        <wp:docPr id="20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58"/>
                                <pic:cNvPicPr>
                                  <a:picLocks noChangeAspect="1"/>
                                </pic:cNvPicPr>
                              </pic:nvPicPr>
                              <pic:blipFill>
                                <a:blip r:embed="rId78"/>
                                <a:stretch>
                                  <a:fillRect/>
                                </a:stretch>
                              </pic:blipFill>
                              <pic:spPr>
                                <a:xfrm>
                                  <a:off x="0" y="0"/>
                                  <a:ext cx="2540000" cy="1270635"/>
                                </a:xfrm>
                                <a:prstGeom prst="rect">
                                  <a:avLst/>
                                </a:prstGeom>
                                <a:noFill/>
                                <a:ln>
                                  <a:noFill/>
                                </a:ln>
                              </pic:spPr>
                            </pic:pic>
                          </a:graphicData>
                        </a:graphic>
                      </wp:inline>
                    </w:drawing>
                  </w:r>
                </w:p>
              </w:tc>
            </w:tr>
            <w:tr w14:paraId="6C962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71C39C7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6.5m</w:t>
                  </w:r>
                </w:p>
              </w:tc>
              <w:tc>
                <w:tcPr>
                  <w:tcW w:w="2517" w:type="pct"/>
                  <w:vAlign w:val="top"/>
                </w:tcPr>
                <w:p w14:paraId="4603320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6.5</w:t>
                  </w:r>
                  <w:r>
                    <w:rPr>
                      <w:rFonts w:hint="default" w:ascii="Times New Roman" w:hAnsi="Times New Roman" w:eastAsia="宋体" w:cs="Times New Roman"/>
                      <w:color w:val="000000" w:themeColor="text1"/>
                      <w:lang w:val="en-US" w:eastAsia="zh-CN"/>
                      <w14:textFill>
                        <w14:solidFill>
                          <w14:schemeClr w14:val="tx1"/>
                        </w14:solidFill>
                      </w14:textFill>
                    </w:rPr>
                    <w:t>m</w:t>
                  </w:r>
                </w:p>
              </w:tc>
            </w:tr>
            <w:tr w14:paraId="2DC30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467A1F4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rPr>
                    <w:drawing>
                      <wp:inline distT="0" distB="0" distL="114300" distR="114300">
                        <wp:extent cx="2504440" cy="1259840"/>
                        <wp:effectExtent l="0" t="0" r="10160" b="16510"/>
                        <wp:docPr id="20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9"/>
                                <pic:cNvPicPr>
                                  <a:picLocks noChangeAspect="1"/>
                                </pic:cNvPicPr>
                              </pic:nvPicPr>
                              <pic:blipFill>
                                <a:blip r:embed="rId79"/>
                                <a:stretch>
                                  <a:fillRect/>
                                </a:stretch>
                              </pic:blipFill>
                              <pic:spPr>
                                <a:xfrm>
                                  <a:off x="0" y="0"/>
                                  <a:ext cx="2504440" cy="1259840"/>
                                </a:xfrm>
                                <a:prstGeom prst="rect">
                                  <a:avLst/>
                                </a:prstGeom>
                                <a:noFill/>
                                <a:ln>
                                  <a:noFill/>
                                </a:ln>
                              </pic:spPr>
                            </pic:pic>
                          </a:graphicData>
                        </a:graphic>
                      </wp:inline>
                    </w:drawing>
                  </w:r>
                </w:p>
              </w:tc>
              <w:tc>
                <w:tcPr>
                  <w:tcW w:w="2517" w:type="pct"/>
                  <w:vAlign w:val="top"/>
                </w:tcPr>
                <w:p w14:paraId="00F22FED">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rPr>
                    <w:drawing>
                      <wp:inline distT="0" distB="0" distL="114300" distR="114300">
                        <wp:extent cx="2527935" cy="1268095"/>
                        <wp:effectExtent l="0" t="0" r="5715" b="8255"/>
                        <wp:docPr id="21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0"/>
                                <pic:cNvPicPr>
                                  <a:picLocks noChangeAspect="1"/>
                                </pic:cNvPicPr>
                              </pic:nvPicPr>
                              <pic:blipFill>
                                <a:blip r:embed="rId80"/>
                                <a:stretch>
                                  <a:fillRect/>
                                </a:stretch>
                              </pic:blipFill>
                              <pic:spPr>
                                <a:xfrm>
                                  <a:off x="0" y="0"/>
                                  <a:ext cx="2527935" cy="1268095"/>
                                </a:xfrm>
                                <a:prstGeom prst="rect">
                                  <a:avLst/>
                                </a:prstGeom>
                                <a:noFill/>
                                <a:ln>
                                  <a:noFill/>
                                </a:ln>
                              </pic:spPr>
                            </pic:pic>
                          </a:graphicData>
                        </a:graphic>
                      </wp:inline>
                    </w:drawing>
                  </w:r>
                </w:p>
              </w:tc>
            </w:tr>
            <w:tr w14:paraId="50C12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56AC4D8A">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7.5m</w:t>
                  </w:r>
                </w:p>
              </w:tc>
              <w:tc>
                <w:tcPr>
                  <w:tcW w:w="2517" w:type="pct"/>
                  <w:vAlign w:val="top"/>
                </w:tcPr>
                <w:p w14:paraId="3464393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7.5</w:t>
                  </w:r>
                  <w:r>
                    <w:rPr>
                      <w:rFonts w:hint="default" w:ascii="Times New Roman" w:hAnsi="Times New Roman" w:eastAsia="宋体" w:cs="Times New Roman"/>
                      <w:color w:val="000000" w:themeColor="text1"/>
                      <w:lang w:val="en-US" w:eastAsia="zh-CN"/>
                      <w14:textFill>
                        <w14:solidFill>
                          <w14:schemeClr w14:val="tx1"/>
                        </w14:solidFill>
                      </w14:textFill>
                    </w:rPr>
                    <w:t>m</w:t>
                  </w:r>
                </w:p>
              </w:tc>
            </w:tr>
            <w:tr w14:paraId="5B6AB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0573C34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rPr>
                    <w:drawing>
                      <wp:inline distT="0" distB="0" distL="114300" distR="114300">
                        <wp:extent cx="2560320" cy="1268730"/>
                        <wp:effectExtent l="0" t="0" r="11430" b="7620"/>
                        <wp:docPr id="21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61"/>
                                <pic:cNvPicPr>
                                  <a:picLocks noChangeAspect="1"/>
                                </pic:cNvPicPr>
                              </pic:nvPicPr>
                              <pic:blipFill>
                                <a:blip r:embed="rId81"/>
                                <a:stretch>
                                  <a:fillRect/>
                                </a:stretch>
                              </pic:blipFill>
                              <pic:spPr>
                                <a:xfrm>
                                  <a:off x="0" y="0"/>
                                  <a:ext cx="2560320" cy="1268730"/>
                                </a:xfrm>
                                <a:prstGeom prst="rect">
                                  <a:avLst/>
                                </a:prstGeom>
                                <a:noFill/>
                                <a:ln>
                                  <a:noFill/>
                                </a:ln>
                              </pic:spPr>
                            </pic:pic>
                          </a:graphicData>
                        </a:graphic>
                      </wp:inline>
                    </w:drawing>
                  </w:r>
                </w:p>
              </w:tc>
              <w:tc>
                <w:tcPr>
                  <w:tcW w:w="2517" w:type="pct"/>
                  <w:vAlign w:val="top"/>
                </w:tcPr>
                <w:p w14:paraId="5C487DA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rPr>
                    <w:drawing>
                      <wp:inline distT="0" distB="0" distL="114300" distR="114300">
                        <wp:extent cx="2520315" cy="1262380"/>
                        <wp:effectExtent l="0" t="0" r="13335" b="13970"/>
                        <wp:docPr id="21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62"/>
                                <pic:cNvPicPr>
                                  <a:picLocks noChangeAspect="1"/>
                                </pic:cNvPicPr>
                              </pic:nvPicPr>
                              <pic:blipFill>
                                <a:blip r:embed="rId82"/>
                                <a:stretch>
                                  <a:fillRect/>
                                </a:stretch>
                              </pic:blipFill>
                              <pic:spPr>
                                <a:xfrm>
                                  <a:off x="0" y="0"/>
                                  <a:ext cx="2520315" cy="1262380"/>
                                </a:xfrm>
                                <a:prstGeom prst="rect">
                                  <a:avLst/>
                                </a:prstGeom>
                                <a:noFill/>
                                <a:ln>
                                  <a:noFill/>
                                </a:ln>
                              </pic:spPr>
                            </pic:pic>
                          </a:graphicData>
                        </a:graphic>
                      </wp:inline>
                    </w:drawing>
                  </w:r>
                </w:p>
              </w:tc>
            </w:tr>
            <w:tr w14:paraId="3AD6B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2" w:type="pct"/>
                  <w:vAlign w:val="top"/>
                </w:tcPr>
                <w:p w14:paraId="14A1849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工频电场强度</w:t>
                  </w:r>
                  <w:r>
                    <w:rPr>
                      <w:rFonts w:hint="eastAsia" w:ascii="Times New Roman" w:hAnsi="Times New Roman" w:eastAsia="宋体" w:cs="Times New Roman"/>
                      <w:color w:val="000000" w:themeColor="text1"/>
                      <w:lang w:val="en-US" w:eastAsia="zh-CN"/>
                      <w14:textFill>
                        <w14:solidFill>
                          <w14:schemeClr w14:val="tx1"/>
                        </w14:solidFill>
                      </w14:textFill>
                    </w:rPr>
                    <w:t>16.0m</w:t>
                  </w:r>
                </w:p>
              </w:tc>
              <w:tc>
                <w:tcPr>
                  <w:tcW w:w="2517" w:type="pct"/>
                  <w:vAlign w:val="top"/>
                </w:tcPr>
                <w:p w14:paraId="705C7FA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磁感应强度</w:t>
                  </w:r>
                  <w:r>
                    <w:rPr>
                      <w:rFonts w:hint="eastAsia" w:ascii="Times New Roman" w:hAnsi="Times New Roman" w:eastAsia="宋体" w:cs="Times New Roman"/>
                      <w:color w:val="000000" w:themeColor="text1"/>
                      <w:lang w:val="en-US" w:eastAsia="zh-CN"/>
                      <w14:textFill>
                        <w14:solidFill>
                          <w14:schemeClr w14:val="tx1"/>
                        </w14:solidFill>
                      </w14:textFill>
                    </w:rPr>
                    <w:t>16.0</w:t>
                  </w:r>
                  <w:r>
                    <w:rPr>
                      <w:rFonts w:hint="default" w:ascii="Times New Roman" w:hAnsi="Times New Roman" w:eastAsia="宋体" w:cs="Times New Roman"/>
                      <w:color w:val="000000" w:themeColor="text1"/>
                      <w:lang w:val="en-US" w:eastAsia="zh-CN"/>
                      <w14:textFill>
                        <w14:solidFill>
                          <w14:schemeClr w14:val="tx1"/>
                        </w14:solidFill>
                      </w14:textFill>
                    </w:rPr>
                    <w:t>m</w:t>
                  </w:r>
                </w:p>
              </w:tc>
            </w:tr>
          </w:tbl>
          <w:p w14:paraId="49982E51">
            <w:pPr>
              <w:pStyle w:val="74"/>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图 </w:t>
            </w:r>
            <w:r>
              <w:rPr>
                <w:rFonts w:hint="eastAsia" w:cs="Times New Roman"/>
                <w:b/>
                <w:bCs/>
                <w:color w:val="000000" w:themeColor="text1"/>
                <w:kern w:val="2"/>
                <w:sz w:val="24"/>
                <w:szCs w:val="24"/>
                <w:lang w:val="en-US" w:eastAsia="zh-CN" w:bidi="ar-SA"/>
                <w14:textFill>
                  <w14:solidFill>
                    <w14:schemeClr w14:val="tx1"/>
                  </w14:solidFill>
                </w14:textFill>
              </w:rPr>
              <w:t>10</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22</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0kV输电线路（220-ED21D-DJ）电磁等值线图</w:t>
            </w:r>
          </w:p>
          <w:p w14:paraId="534985AF">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FF0000"/>
                <w:kern w:val="2"/>
                <w:sz w:val="24"/>
                <w:szCs w:val="24"/>
                <w:lang w:val="en-US" w:eastAsia="zh-CN" w:bidi="ar-SA"/>
              </w:rPr>
            </w:pPr>
            <w:r>
              <w:rPr>
                <w:rFonts w:hint="eastAsia" w:ascii="Times New Roman" w:hAnsi="Times New Roman" w:eastAsia="宋体" w:cs="Times New Roman"/>
                <w:b w:val="0"/>
                <w:bCs w:val="0"/>
                <w:color w:val="FF0000"/>
                <w:kern w:val="2"/>
                <w:sz w:val="24"/>
                <w:szCs w:val="24"/>
                <w:lang w:val="en-US" w:eastAsia="zh-CN" w:bidi="ar-SA"/>
              </w:rPr>
              <w:t>根据</w:t>
            </w:r>
            <w:r>
              <w:rPr>
                <w:rFonts w:hint="eastAsia" w:cs="Times New Roman"/>
                <w:b w:val="0"/>
                <w:bCs w:val="0"/>
                <w:color w:val="FF0000"/>
                <w:kern w:val="2"/>
                <w:sz w:val="24"/>
                <w:szCs w:val="24"/>
                <w:lang w:val="en-US" w:eastAsia="zh-CN" w:bidi="ar-SA"/>
              </w:rPr>
              <w:t>理论计算结果</w:t>
            </w:r>
            <w:r>
              <w:rPr>
                <w:rFonts w:hint="eastAsia" w:ascii="Times New Roman" w:hAnsi="Times New Roman" w:eastAsia="宋体" w:cs="Times New Roman"/>
                <w:b w:val="0"/>
                <w:bCs w:val="0"/>
                <w:color w:val="FF0000"/>
                <w:kern w:val="2"/>
                <w:sz w:val="24"/>
                <w:szCs w:val="24"/>
                <w:lang w:val="en-US" w:eastAsia="zh-CN" w:bidi="ar-SA"/>
              </w:rPr>
              <w:t>可知</w:t>
            </w:r>
            <w:r>
              <w:rPr>
                <w:rFonts w:hint="eastAsia" w:cs="Times New Roman"/>
                <w:b w:val="0"/>
                <w:bCs w:val="0"/>
                <w:color w:val="FF0000"/>
                <w:kern w:val="2"/>
                <w:sz w:val="24"/>
                <w:szCs w:val="24"/>
                <w:lang w:val="en-US" w:eastAsia="zh-CN" w:bidi="ar-SA"/>
              </w:rPr>
              <w:t>：</w:t>
            </w:r>
          </w:p>
          <w:p w14:paraId="3D07B6D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FF0000"/>
                <w:sz w:val="24"/>
                <w:szCs w:val="24"/>
                <w:lang w:val="en-US" w:eastAsia="zh-CN"/>
              </w:rPr>
            </w:pPr>
            <w:r>
              <w:rPr>
                <w:rFonts w:hint="eastAsia" w:cs="Times New Roman"/>
                <w:b w:val="0"/>
                <w:bCs w:val="0"/>
                <w:color w:val="FF0000"/>
                <w:sz w:val="24"/>
                <w:szCs w:val="24"/>
                <w:lang w:val="en-US" w:eastAsia="zh-CN"/>
              </w:rPr>
              <w:t>220-ED21D-DJ：在</w:t>
            </w:r>
            <w:r>
              <w:rPr>
                <w:rFonts w:hint="default" w:ascii="Times New Roman" w:hAnsi="Times New Roman" w:cs="Times New Roman"/>
                <w:b w:val="0"/>
                <w:bCs w:val="0"/>
                <w:color w:val="FF0000"/>
                <w:sz w:val="24"/>
                <w:szCs w:val="24"/>
                <w:lang w:val="en-US" w:eastAsia="zh-CN"/>
              </w:rPr>
              <w:t>预测高度为6.</w:t>
            </w:r>
            <w:r>
              <w:rPr>
                <w:rFonts w:hint="eastAsia" w:cs="Times New Roman"/>
                <w:b w:val="0"/>
                <w:bCs w:val="0"/>
                <w:color w:val="FF0000"/>
                <w:sz w:val="24"/>
                <w:szCs w:val="24"/>
                <w:lang w:val="en-US" w:eastAsia="zh-CN"/>
              </w:rPr>
              <w:t>5</w:t>
            </w:r>
            <w:r>
              <w:rPr>
                <w:rFonts w:hint="default" w:ascii="Times New Roman" w:hAnsi="Times New Roman" w:cs="Times New Roman"/>
                <w:b w:val="0"/>
                <w:bCs w:val="0"/>
                <w:color w:val="FF0000"/>
                <w:sz w:val="24"/>
                <w:szCs w:val="24"/>
                <w:lang w:val="en-US" w:eastAsia="zh-CN"/>
              </w:rPr>
              <w:t>m的情况下，</w:t>
            </w:r>
            <w:r>
              <w:rPr>
                <w:rFonts w:hint="eastAsia" w:ascii="Times New Roman" w:hAnsi="Times New Roman" w:eastAsia="宋体" w:cs="Times New Roman"/>
                <w:b w:val="0"/>
                <w:bCs w:val="0"/>
                <w:color w:val="FF0000"/>
                <w:kern w:val="2"/>
                <w:sz w:val="24"/>
                <w:szCs w:val="24"/>
                <w:lang w:val="en-US" w:eastAsia="zh-CN" w:bidi="ar-SA"/>
              </w:rPr>
              <w:t>本工程</w:t>
            </w:r>
            <w:r>
              <w:rPr>
                <w:rFonts w:hint="eastAsia" w:cs="Times New Roman"/>
                <w:b w:val="0"/>
                <w:bCs w:val="0"/>
                <w:color w:val="FF0000"/>
                <w:kern w:val="2"/>
                <w:sz w:val="24"/>
                <w:szCs w:val="24"/>
                <w:lang w:val="en-US" w:eastAsia="zh-CN" w:bidi="ar-SA"/>
              </w:rPr>
              <w:t>220kV单回路</w:t>
            </w:r>
            <w:r>
              <w:rPr>
                <w:rFonts w:hint="eastAsia" w:ascii="Times New Roman" w:hAnsi="Times New Roman" w:eastAsia="宋体" w:cs="Times New Roman"/>
                <w:b w:val="0"/>
                <w:bCs w:val="0"/>
                <w:color w:val="FF0000"/>
                <w:kern w:val="2"/>
                <w:sz w:val="24"/>
                <w:szCs w:val="24"/>
                <w:lang w:val="en-US" w:eastAsia="zh-CN" w:bidi="ar-SA"/>
              </w:rPr>
              <w:t>架空</w:t>
            </w:r>
            <w:r>
              <w:rPr>
                <w:rFonts w:hint="eastAsia" w:cs="Times New Roman"/>
                <w:b w:val="0"/>
                <w:bCs w:val="0"/>
                <w:color w:val="FF0000"/>
                <w:kern w:val="2"/>
                <w:sz w:val="24"/>
                <w:szCs w:val="24"/>
                <w:lang w:val="en-US" w:eastAsia="zh-CN" w:bidi="ar-SA"/>
              </w:rPr>
              <w:t>改造</w:t>
            </w:r>
            <w:r>
              <w:rPr>
                <w:rFonts w:hint="eastAsia" w:ascii="Times New Roman" w:hAnsi="Times New Roman" w:eastAsia="宋体" w:cs="Times New Roman"/>
                <w:b w:val="0"/>
                <w:bCs w:val="0"/>
                <w:color w:val="FF0000"/>
                <w:kern w:val="2"/>
                <w:sz w:val="24"/>
                <w:szCs w:val="24"/>
                <w:lang w:val="en-US" w:eastAsia="zh-CN" w:bidi="ar-SA"/>
              </w:rPr>
              <w:t>线路对地1.5m高度预测产生的电场强度最大为6060.03V/m，磁感应强度最大为52.43</w:t>
            </w:r>
            <w:r>
              <w:rPr>
                <w:rFonts w:hint="default" w:ascii="Times New Roman" w:hAnsi="Times New Roman" w:eastAsia="宋体" w:cs="Times New Roman"/>
                <w:b w:val="0"/>
                <w:bCs w:val="0"/>
                <w:color w:val="FF0000"/>
                <w:kern w:val="2"/>
                <w:sz w:val="24"/>
                <w:szCs w:val="24"/>
                <w:lang w:val="en-US" w:eastAsia="zh-CN" w:bidi="ar-SA"/>
              </w:rPr>
              <w:t>μT</w:t>
            </w:r>
            <w:r>
              <w:rPr>
                <w:rFonts w:hint="eastAsia" w:cs="Times New Roman"/>
                <w:b w:val="0"/>
                <w:bCs w:val="0"/>
                <w:color w:val="FF0000"/>
                <w:kern w:val="2"/>
                <w:sz w:val="24"/>
                <w:szCs w:val="24"/>
                <w:lang w:val="en-US" w:eastAsia="zh-CN" w:bidi="ar-SA"/>
              </w:rPr>
              <w:t>，满足《电磁环境控制限值》（GB 8702-2014）中耕地、园地、牧草地、畜禽饲养地、养殖水面、道路等非居民区场所工频电场强度10kV/m、磁感应强度100µT的限值要求。</w:t>
            </w:r>
            <w:r>
              <w:rPr>
                <w:rFonts w:hint="eastAsia" w:cs="Times New Roman"/>
                <w:b w:val="0"/>
                <w:bCs w:val="0"/>
                <w:color w:val="FF0000"/>
                <w:sz w:val="24"/>
                <w:szCs w:val="24"/>
                <w:lang w:val="en-US" w:eastAsia="zh-CN"/>
              </w:rPr>
              <w:t>在</w:t>
            </w:r>
            <w:r>
              <w:rPr>
                <w:rFonts w:hint="default" w:ascii="Times New Roman" w:hAnsi="Times New Roman" w:cs="Times New Roman"/>
                <w:b w:val="0"/>
                <w:bCs w:val="0"/>
                <w:color w:val="FF0000"/>
                <w:sz w:val="24"/>
                <w:szCs w:val="24"/>
                <w:lang w:val="en-US" w:eastAsia="zh-CN"/>
              </w:rPr>
              <w:t>预测高度为</w:t>
            </w:r>
            <w:r>
              <w:rPr>
                <w:rFonts w:hint="eastAsia" w:cs="Times New Roman"/>
                <w:b w:val="0"/>
                <w:bCs w:val="0"/>
                <w:color w:val="FF0000"/>
                <w:sz w:val="24"/>
                <w:szCs w:val="24"/>
                <w:lang w:val="en-US" w:eastAsia="zh-CN"/>
              </w:rPr>
              <w:t>7.5</w:t>
            </w:r>
            <w:r>
              <w:rPr>
                <w:rFonts w:hint="default" w:ascii="Times New Roman" w:hAnsi="Times New Roman" w:cs="Times New Roman"/>
                <w:b w:val="0"/>
                <w:bCs w:val="0"/>
                <w:color w:val="FF0000"/>
                <w:sz w:val="24"/>
                <w:szCs w:val="24"/>
                <w:lang w:val="en-US" w:eastAsia="zh-CN"/>
              </w:rPr>
              <w:t>m的情况下，</w:t>
            </w:r>
            <w:r>
              <w:rPr>
                <w:rFonts w:hint="eastAsia" w:ascii="Times New Roman" w:hAnsi="Times New Roman" w:eastAsia="宋体" w:cs="Times New Roman"/>
                <w:b w:val="0"/>
                <w:bCs w:val="0"/>
                <w:color w:val="FF0000"/>
                <w:kern w:val="2"/>
                <w:sz w:val="24"/>
                <w:szCs w:val="24"/>
                <w:lang w:val="en-US" w:eastAsia="zh-CN" w:bidi="ar-SA"/>
              </w:rPr>
              <w:t>本工程</w:t>
            </w:r>
            <w:r>
              <w:rPr>
                <w:rFonts w:hint="eastAsia" w:cs="Times New Roman"/>
                <w:b w:val="0"/>
                <w:bCs w:val="0"/>
                <w:color w:val="FF0000"/>
                <w:kern w:val="2"/>
                <w:sz w:val="24"/>
                <w:szCs w:val="24"/>
                <w:lang w:val="en-US" w:eastAsia="zh-CN" w:bidi="ar-SA"/>
              </w:rPr>
              <w:t>220kV单回路</w:t>
            </w:r>
            <w:r>
              <w:rPr>
                <w:rFonts w:hint="eastAsia" w:ascii="Times New Roman" w:hAnsi="Times New Roman" w:eastAsia="宋体" w:cs="Times New Roman"/>
                <w:b w:val="0"/>
                <w:bCs w:val="0"/>
                <w:color w:val="FF0000"/>
                <w:kern w:val="2"/>
                <w:sz w:val="24"/>
                <w:szCs w:val="24"/>
                <w:lang w:val="en-US" w:eastAsia="zh-CN" w:bidi="ar-SA"/>
              </w:rPr>
              <w:t>架空</w:t>
            </w:r>
            <w:r>
              <w:rPr>
                <w:rFonts w:hint="eastAsia" w:cs="Times New Roman"/>
                <w:b w:val="0"/>
                <w:bCs w:val="0"/>
                <w:color w:val="FF0000"/>
                <w:kern w:val="2"/>
                <w:sz w:val="24"/>
                <w:szCs w:val="24"/>
                <w:lang w:val="en-US" w:eastAsia="zh-CN" w:bidi="ar-SA"/>
              </w:rPr>
              <w:t>改造</w:t>
            </w:r>
            <w:r>
              <w:rPr>
                <w:rFonts w:hint="eastAsia" w:ascii="Times New Roman" w:hAnsi="Times New Roman" w:eastAsia="宋体" w:cs="Times New Roman"/>
                <w:b w:val="0"/>
                <w:bCs w:val="0"/>
                <w:color w:val="FF0000"/>
                <w:kern w:val="2"/>
                <w:sz w:val="24"/>
                <w:szCs w:val="24"/>
                <w:lang w:val="en-US" w:eastAsia="zh-CN" w:bidi="ar-SA"/>
              </w:rPr>
              <w:t>线路对地1.5m高度预测产生的电场强度最大为4761.48V/m，磁感应强度最大为</w:t>
            </w:r>
            <w:r>
              <w:rPr>
                <w:rFonts w:hint="eastAsia" w:cs="Times New Roman"/>
                <w:b w:val="0"/>
                <w:bCs w:val="0"/>
                <w:color w:val="FF0000"/>
                <w:kern w:val="2"/>
                <w:sz w:val="24"/>
                <w:szCs w:val="24"/>
                <w:lang w:val="en-US" w:eastAsia="zh-CN" w:bidi="ar-SA"/>
              </w:rPr>
              <w:t>43.10</w:t>
            </w:r>
            <w:r>
              <w:rPr>
                <w:rFonts w:hint="default" w:ascii="Times New Roman" w:hAnsi="Times New Roman" w:eastAsia="宋体" w:cs="Times New Roman"/>
                <w:b w:val="0"/>
                <w:bCs w:val="0"/>
                <w:color w:val="FF0000"/>
                <w:kern w:val="2"/>
                <w:sz w:val="24"/>
                <w:szCs w:val="24"/>
                <w:lang w:val="en-US" w:eastAsia="zh-CN" w:bidi="ar-SA"/>
              </w:rPr>
              <w:t>μT</w:t>
            </w:r>
            <w:r>
              <w:rPr>
                <w:rFonts w:hint="eastAsia" w:cs="Times New Roman"/>
                <w:b w:val="0"/>
                <w:bCs w:val="0"/>
                <w:color w:val="FF0000"/>
                <w:kern w:val="2"/>
                <w:sz w:val="24"/>
                <w:szCs w:val="24"/>
                <w:lang w:val="en-US" w:eastAsia="zh-CN" w:bidi="ar-SA"/>
              </w:rPr>
              <w:t>，不</w:t>
            </w:r>
            <w:r>
              <w:rPr>
                <w:rFonts w:hint="eastAsia" w:ascii="Times New Roman" w:hAnsi="Times New Roman" w:eastAsia="宋体" w:cs="Times New Roman"/>
                <w:b w:val="0"/>
                <w:bCs w:val="0"/>
                <w:color w:val="FF0000"/>
                <w:sz w:val="24"/>
                <w:szCs w:val="24"/>
                <w:lang w:val="en-US" w:eastAsia="zh-CN"/>
              </w:rPr>
              <w:t>满足《电磁环境控制限值》（GB 8702-2014）要求（电场强度</w:t>
            </w:r>
            <w:r>
              <w:rPr>
                <w:rFonts w:hint="eastAsia" w:cs="Times New Roman"/>
                <w:b w:val="0"/>
                <w:bCs w:val="0"/>
                <w:color w:val="FF0000"/>
                <w:sz w:val="24"/>
                <w:szCs w:val="24"/>
                <w:lang w:val="en-US" w:eastAsia="zh-CN"/>
              </w:rPr>
              <w:t>4000</w:t>
            </w:r>
            <w:r>
              <w:rPr>
                <w:rFonts w:hint="eastAsia" w:ascii="Times New Roman" w:hAnsi="Times New Roman" w:eastAsia="宋体" w:cs="Times New Roman"/>
                <w:b w:val="0"/>
                <w:bCs w:val="0"/>
                <w:color w:val="FF0000"/>
                <w:sz w:val="24"/>
                <w:szCs w:val="24"/>
                <w:lang w:val="en-US" w:eastAsia="zh-CN"/>
              </w:rPr>
              <w:t>V/m，磁感应强度100</w:t>
            </w:r>
            <w:r>
              <w:rPr>
                <w:rFonts w:hint="default" w:ascii="Times New Roman" w:hAnsi="Times New Roman" w:eastAsia="宋体" w:cs="Times New Roman"/>
                <w:b w:val="0"/>
                <w:bCs w:val="0"/>
                <w:color w:val="FF0000"/>
                <w:sz w:val="24"/>
                <w:szCs w:val="24"/>
                <w:lang w:val="en-US" w:eastAsia="zh-CN"/>
              </w:rPr>
              <w:t>μT</w:t>
            </w:r>
            <w:r>
              <w:rPr>
                <w:rFonts w:hint="eastAsia" w:ascii="Times New Roman" w:hAnsi="Times New Roman" w:eastAsia="宋体" w:cs="Times New Roman"/>
                <w:b w:val="0"/>
                <w:bCs w:val="0"/>
                <w:color w:val="FF0000"/>
                <w:sz w:val="24"/>
                <w:szCs w:val="24"/>
                <w:lang w:val="en-US" w:eastAsia="zh-CN"/>
              </w:rPr>
              <w:t>）。</w:t>
            </w:r>
          </w:p>
          <w:p w14:paraId="704926BE">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FF0000"/>
                <w:sz w:val="24"/>
                <w:szCs w:val="24"/>
                <w:lang w:val="en-US" w:eastAsia="zh-CN"/>
              </w:rPr>
            </w:pPr>
            <w:r>
              <w:rPr>
                <w:rFonts w:hint="eastAsia" w:cs="Times New Roman"/>
                <w:b w:val="0"/>
                <w:bCs w:val="0"/>
                <w:color w:val="FF0000"/>
                <w:sz w:val="24"/>
                <w:szCs w:val="24"/>
                <w:lang w:val="en-US" w:eastAsia="zh-CN"/>
              </w:rPr>
              <w:t>在实际</w:t>
            </w:r>
            <w:r>
              <w:rPr>
                <w:rFonts w:hint="default" w:ascii="Times New Roman" w:hAnsi="Times New Roman" w:cs="Times New Roman"/>
                <w:b w:val="0"/>
                <w:bCs w:val="0"/>
                <w:color w:val="FF0000"/>
                <w:sz w:val="24"/>
                <w:szCs w:val="24"/>
                <w:lang w:val="en-US" w:eastAsia="zh-CN"/>
              </w:rPr>
              <w:t>高度为</w:t>
            </w:r>
            <w:r>
              <w:rPr>
                <w:rFonts w:hint="eastAsia" w:cs="Times New Roman"/>
                <w:b w:val="0"/>
                <w:bCs w:val="0"/>
                <w:color w:val="FF0000"/>
                <w:sz w:val="24"/>
                <w:szCs w:val="24"/>
                <w:lang w:val="en-US" w:eastAsia="zh-CN"/>
              </w:rPr>
              <w:t>16.0</w:t>
            </w:r>
            <w:r>
              <w:rPr>
                <w:rFonts w:hint="default" w:ascii="Times New Roman" w:hAnsi="Times New Roman" w:cs="Times New Roman"/>
                <w:b w:val="0"/>
                <w:bCs w:val="0"/>
                <w:color w:val="FF0000"/>
                <w:sz w:val="24"/>
                <w:szCs w:val="24"/>
                <w:lang w:val="en-US" w:eastAsia="zh-CN"/>
              </w:rPr>
              <w:t>m的情况下，</w:t>
            </w:r>
            <w:r>
              <w:rPr>
                <w:rFonts w:hint="eastAsia" w:ascii="Times New Roman" w:hAnsi="Times New Roman" w:eastAsia="宋体" w:cs="Times New Roman"/>
                <w:b w:val="0"/>
                <w:bCs w:val="0"/>
                <w:color w:val="FF0000"/>
                <w:kern w:val="2"/>
                <w:sz w:val="24"/>
                <w:szCs w:val="24"/>
                <w:lang w:val="en-US" w:eastAsia="zh-CN" w:bidi="ar-SA"/>
              </w:rPr>
              <w:t>本工程</w:t>
            </w:r>
            <w:r>
              <w:rPr>
                <w:rFonts w:hint="eastAsia" w:cs="Times New Roman"/>
                <w:b w:val="0"/>
                <w:bCs w:val="0"/>
                <w:color w:val="FF0000"/>
                <w:kern w:val="2"/>
                <w:sz w:val="24"/>
                <w:szCs w:val="24"/>
                <w:lang w:val="en-US" w:eastAsia="zh-CN" w:bidi="ar-SA"/>
              </w:rPr>
              <w:t>220kV单回路</w:t>
            </w:r>
            <w:r>
              <w:rPr>
                <w:rFonts w:hint="eastAsia" w:ascii="Times New Roman" w:hAnsi="Times New Roman" w:eastAsia="宋体" w:cs="Times New Roman"/>
                <w:b w:val="0"/>
                <w:bCs w:val="0"/>
                <w:color w:val="FF0000"/>
                <w:kern w:val="2"/>
                <w:sz w:val="24"/>
                <w:szCs w:val="24"/>
                <w:lang w:val="en-US" w:eastAsia="zh-CN" w:bidi="ar-SA"/>
              </w:rPr>
              <w:t>架空</w:t>
            </w:r>
            <w:r>
              <w:rPr>
                <w:rFonts w:hint="eastAsia" w:cs="Times New Roman"/>
                <w:b w:val="0"/>
                <w:bCs w:val="0"/>
                <w:color w:val="FF0000"/>
                <w:kern w:val="2"/>
                <w:sz w:val="24"/>
                <w:szCs w:val="24"/>
                <w:lang w:val="en-US" w:eastAsia="zh-CN" w:bidi="ar-SA"/>
              </w:rPr>
              <w:t>改造</w:t>
            </w:r>
            <w:r>
              <w:rPr>
                <w:rFonts w:hint="eastAsia" w:ascii="Times New Roman" w:hAnsi="Times New Roman" w:eastAsia="宋体" w:cs="Times New Roman"/>
                <w:b w:val="0"/>
                <w:bCs w:val="0"/>
                <w:color w:val="FF0000"/>
                <w:kern w:val="2"/>
                <w:sz w:val="24"/>
                <w:szCs w:val="24"/>
                <w:lang w:val="en-US" w:eastAsia="zh-CN" w:bidi="ar-SA"/>
              </w:rPr>
              <w:t>线路对地1.5m高度预测产生的电场强度最大为1259.42V/m，磁感应强度最大为</w:t>
            </w:r>
            <w:r>
              <w:rPr>
                <w:rFonts w:hint="eastAsia" w:cs="Times New Roman"/>
                <w:b w:val="0"/>
                <w:bCs w:val="0"/>
                <w:color w:val="FF0000"/>
                <w:kern w:val="2"/>
                <w:sz w:val="24"/>
                <w:szCs w:val="24"/>
                <w:lang w:val="en-US" w:eastAsia="zh-CN" w:bidi="ar-SA"/>
              </w:rPr>
              <w:t>12.42</w:t>
            </w:r>
            <w:r>
              <w:rPr>
                <w:rFonts w:hint="default" w:ascii="Times New Roman" w:hAnsi="Times New Roman" w:eastAsia="宋体" w:cs="Times New Roman"/>
                <w:b w:val="0"/>
                <w:bCs w:val="0"/>
                <w:color w:val="FF0000"/>
                <w:kern w:val="2"/>
                <w:sz w:val="24"/>
                <w:szCs w:val="24"/>
                <w:lang w:val="en-US" w:eastAsia="zh-CN" w:bidi="ar-SA"/>
              </w:rPr>
              <w:t>μT</w:t>
            </w:r>
            <w:r>
              <w:rPr>
                <w:rFonts w:hint="eastAsia" w:cs="Times New Roman"/>
                <w:b w:val="0"/>
                <w:bCs w:val="0"/>
                <w:color w:val="FF0000"/>
                <w:kern w:val="2"/>
                <w:sz w:val="24"/>
                <w:szCs w:val="24"/>
                <w:lang w:val="en-US" w:eastAsia="zh-CN" w:bidi="ar-SA"/>
              </w:rPr>
              <w:t>，</w:t>
            </w:r>
            <w:r>
              <w:rPr>
                <w:rFonts w:hint="eastAsia" w:ascii="Times New Roman" w:hAnsi="Times New Roman" w:eastAsia="宋体" w:cs="Times New Roman"/>
                <w:b w:val="0"/>
                <w:bCs w:val="0"/>
                <w:color w:val="FF0000"/>
                <w:sz w:val="24"/>
                <w:szCs w:val="24"/>
                <w:lang w:val="en-US" w:eastAsia="zh-CN"/>
              </w:rPr>
              <w:t>满足《电磁环境控制限值》（GB 8702-2014）要求（电场强度</w:t>
            </w:r>
            <w:r>
              <w:rPr>
                <w:rFonts w:hint="eastAsia" w:cs="Times New Roman"/>
                <w:b w:val="0"/>
                <w:bCs w:val="0"/>
                <w:color w:val="FF0000"/>
                <w:sz w:val="24"/>
                <w:szCs w:val="24"/>
                <w:lang w:val="en-US" w:eastAsia="zh-CN"/>
              </w:rPr>
              <w:t>4000</w:t>
            </w:r>
            <w:r>
              <w:rPr>
                <w:rFonts w:hint="eastAsia" w:ascii="Times New Roman" w:hAnsi="Times New Roman" w:eastAsia="宋体" w:cs="Times New Roman"/>
                <w:b w:val="0"/>
                <w:bCs w:val="0"/>
                <w:color w:val="FF0000"/>
                <w:sz w:val="24"/>
                <w:szCs w:val="24"/>
                <w:lang w:val="en-US" w:eastAsia="zh-CN"/>
              </w:rPr>
              <w:t>V/m，磁感应强度100</w:t>
            </w:r>
            <w:r>
              <w:rPr>
                <w:rFonts w:hint="default" w:ascii="Times New Roman" w:hAnsi="Times New Roman" w:eastAsia="宋体" w:cs="Times New Roman"/>
                <w:b w:val="0"/>
                <w:bCs w:val="0"/>
                <w:color w:val="FF0000"/>
                <w:sz w:val="24"/>
                <w:szCs w:val="24"/>
                <w:lang w:val="en-US" w:eastAsia="zh-CN"/>
              </w:rPr>
              <w:t>μT</w:t>
            </w:r>
            <w:r>
              <w:rPr>
                <w:rFonts w:hint="eastAsia" w:ascii="Times New Roman" w:hAnsi="Times New Roman" w:eastAsia="宋体" w:cs="Times New Roman"/>
                <w:b w:val="0"/>
                <w:bCs w:val="0"/>
                <w:color w:val="FF0000"/>
                <w:sz w:val="24"/>
                <w:szCs w:val="24"/>
                <w:lang w:val="en-US" w:eastAsia="zh-CN"/>
              </w:rPr>
              <w:t>）。</w:t>
            </w:r>
          </w:p>
          <w:p w14:paraId="1B139C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综上所述，在不同的预测高度下，本项目新建线路</w:t>
            </w:r>
            <w:r>
              <w:rPr>
                <w:rFonts w:hint="eastAsia" w:cs="Times New Roman"/>
                <w:b w:val="0"/>
                <w:bCs w:val="0"/>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改造线路</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满足《电磁环境控制限值》（GB 8702-2014）要求。</w:t>
            </w:r>
          </w:p>
          <w:p w14:paraId="1286F0E2">
            <w:pPr>
              <w:pStyle w:val="22"/>
              <w:keepNext w:val="0"/>
              <w:keepLines w:val="0"/>
              <w:suppressLineNumbers w:val="0"/>
              <w:spacing w:before="0" w:beforeAutospacing="0" w:after="0" w:afterAutospacing="0" w:line="360" w:lineRule="auto"/>
              <w:ind w:left="0" w:right="0" w:firstLine="482" w:firstLineChars="200"/>
              <w:rPr>
                <w:rFonts w:hint="default"/>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（四）电磁环境防护措施</w:t>
            </w:r>
            <w:bookmarkEnd w:id="36"/>
            <w:bookmarkEnd w:id="37"/>
            <w:bookmarkEnd w:id="38"/>
            <w:bookmarkEnd w:id="39"/>
          </w:p>
          <w:p w14:paraId="2DF73FBB">
            <w:pPr>
              <w:pStyle w:val="22"/>
              <w:keepNext w:val="0"/>
              <w:keepLines w:val="0"/>
              <w:suppressLineNumbers w:val="0"/>
              <w:spacing w:before="0" w:beforeAutospacing="0" w:after="0" w:afterAutospacing="0" w:line="360" w:lineRule="auto"/>
              <w:ind w:left="0" w:right="0" w:firstLine="480" w:firstLineChars="200"/>
              <w:rPr>
                <w:rFonts w:hint="eastAsia"/>
                <w:b w:val="0"/>
                <w:bCs w:val="0"/>
                <w:color w:val="000000" w:themeColor="text1"/>
                <w:kern w:val="2"/>
                <w:sz w:val="24"/>
                <w:szCs w:val="24"/>
                <w14:textFill>
                  <w14:solidFill>
                    <w14:schemeClr w14:val="tx1"/>
                  </w14:solidFill>
                </w14:textFill>
              </w:rPr>
            </w:pPr>
            <w:bookmarkStart w:id="40" w:name="_Toc10270"/>
            <w:bookmarkStart w:id="41" w:name="_Toc16903"/>
            <w:bookmarkStart w:id="42" w:name="_Toc22933"/>
            <w:bookmarkStart w:id="43" w:name="_Toc19397"/>
            <w:r>
              <w:rPr>
                <w:rFonts w:hint="eastAsia"/>
                <w:b w:val="0"/>
                <w:bCs w:val="0"/>
                <w:color w:val="000000" w:themeColor="text1"/>
                <w:kern w:val="2"/>
                <w:sz w:val="24"/>
                <w:szCs w:val="24"/>
                <w14:textFill>
                  <w14:solidFill>
                    <w14:schemeClr w14:val="tx1"/>
                  </w14:solidFill>
                </w14:textFill>
              </w:rPr>
              <w:t>为保证项目的电磁辐射环境符合标准，建设单位应采取以下措施：</w:t>
            </w:r>
            <w:bookmarkEnd w:id="40"/>
            <w:bookmarkEnd w:id="41"/>
            <w:bookmarkEnd w:id="42"/>
            <w:bookmarkEnd w:id="43"/>
          </w:p>
          <w:p w14:paraId="53401925">
            <w:pPr>
              <w:pStyle w:val="22"/>
              <w:keepNext w:val="0"/>
              <w:keepLines w:val="0"/>
              <w:suppressLineNumbers w:val="0"/>
              <w:spacing w:before="0" w:beforeAutospacing="0" w:after="0" w:afterAutospacing="0" w:line="360" w:lineRule="auto"/>
              <w:ind w:left="0" w:right="0" w:firstLine="480" w:firstLineChars="200"/>
              <w:rPr>
                <w:rFonts w:hint="eastAsia"/>
                <w:b w:val="0"/>
                <w:bCs w:val="0"/>
                <w:color w:val="000000" w:themeColor="text1"/>
                <w:kern w:val="2"/>
                <w:sz w:val="24"/>
                <w:szCs w:val="24"/>
                <w14:textFill>
                  <w14:solidFill>
                    <w14:schemeClr w14:val="tx1"/>
                  </w14:solidFill>
                </w14:textFill>
              </w:rPr>
            </w:pPr>
            <w:bookmarkStart w:id="44" w:name="_Toc6962"/>
            <w:bookmarkStart w:id="45" w:name="_Toc29776"/>
            <w:bookmarkStart w:id="46" w:name="_Toc938"/>
            <w:bookmarkStart w:id="47" w:name="_Toc10829"/>
            <w:r>
              <w:rPr>
                <w:rFonts w:hint="eastAsia"/>
                <w:b w:val="0"/>
                <w:bCs w:val="0"/>
                <w:color w:val="000000" w:themeColor="text1"/>
                <w:kern w:val="2"/>
                <w:sz w:val="24"/>
                <w:szCs w:val="24"/>
                <w:lang w:eastAsia="zh-CN"/>
                <w14:textFill>
                  <w14:solidFill>
                    <w14:schemeClr w14:val="tx1"/>
                  </w14:solidFill>
                </w14:textFill>
              </w:rPr>
              <w:t>（</w:t>
            </w:r>
            <w:r>
              <w:rPr>
                <w:rFonts w:hint="eastAsia"/>
                <w:b w:val="0"/>
                <w:bCs w:val="0"/>
                <w:color w:val="000000" w:themeColor="text1"/>
                <w:kern w:val="2"/>
                <w:sz w:val="24"/>
                <w:szCs w:val="24"/>
                <w:lang w:val="en-US" w:eastAsia="zh-CN"/>
                <w14:textFill>
                  <w14:solidFill>
                    <w14:schemeClr w14:val="tx1"/>
                  </w14:solidFill>
                </w14:textFill>
              </w:rPr>
              <w:t>1</w:t>
            </w:r>
            <w:r>
              <w:rPr>
                <w:rFonts w:hint="eastAsia"/>
                <w:b w:val="0"/>
                <w:bCs w:val="0"/>
                <w:color w:val="000000" w:themeColor="text1"/>
                <w:kern w:val="2"/>
                <w:sz w:val="24"/>
                <w:szCs w:val="24"/>
                <w:lang w:eastAsia="zh-CN"/>
                <w14:textFill>
                  <w14:solidFill>
                    <w14:schemeClr w14:val="tx1"/>
                  </w14:solidFill>
                </w14:textFill>
              </w:rPr>
              <w:t>）</w:t>
            </w:r>
            <w:r>
              <w:rPr>
                <w:rFonts w:hint="eastAsia"/>
                <w:b w:val="0"/>
                <w:bCs w:val="0"/>
                <w:color w:val="000000" w:themeColor="text1"/>
                <w:kern w:val="2"/>
                <w:sz w:val="24"/>
                <w:szCs w:val="24"/>
                <w14:textFill>
                  <w14:solidFill>
                    <w14:schemeClr w14:val="tx1"/>
                  </w14:solidFill>
                </w14:textFill>
              </w:rPr>
              <w:t>合理设计并保证设备及配件加工精良</w:t>
            </w:r>
            <w:bookmarkEnd w:id="44"/>
            <w:bookmarkEnd w:id="45"/>
            <w:bookmarkEnd w:id="46"/>
            <w:bookmarkEnd w:id="47"/>
          </w:p>
          <w:p w14:paraId="3659DA84">
            <w:pPr>
              <w:pStyle w:val="22"/>
              <w:keepNext w:val="0"/>
              <w:keepLines w:val="0"/>
              <w:suppressLineNumbers w:val="0"/>
              <w:spacing w:before="0" w:beforeAutospacing="0" w:after="0" w:afterAutospacing="0" w:line="360" w:lineRule="auto"/>
              <w:ind w:left="0" w:right="0" w:firstLine="480" w:firstLineChars="200"/>
              <w:rPr>
                <w:rFonts w:hint="default"/>
                <w:b w:val="0"/>
                <w:bCs w:val="0"/>
                <w:color w:val="000000" w:themeColor="text1"/>
                <w:kern w:val="2"/>
                <w:sz w:val="24"/>
                <w:szCs w:val="24"/>
                <w:lang w:val="en-US" w:eastAsia="zh-CN"/>
                <w14:textFill>
                  <w14:solidFill>
                    <w14:schemeClr w14:val="tx1"/>
                  </w14:solidFill>
                </w14:textFill>
              </w:rPr>
            </w:pPr>
            <w:bookmarkStart w:id="48" w:name="_Toc12399"/>
            <w:bookmarkStart w:id="49" w:name="_Toc22063"/>
            <w:bookmarkStart w:id="50" w:name="_Toc14327"/>
            <w:bookmarkStart w:id="51" w:name="_Toc2690"/>
            <w:r>
              <w:rPr>
                <w:rFonts w:hint="eastAsia"/>
                <w:b w:val="0"/>
                <w:bCs w:val="0"/>
                <w:color w:val="000000" w:themeColor="text1"/>
                <w:kern w:val="2"/>
                <w:sz w:val="24"/>
                <w:szCs w:val="24"/>
                <w:lang w:val="en-US" w:eastAsia="zh-CN"/>
                <w14:textFill>
                  <w14:solidFill>
                    <w14:schemeClr w14:val="tx1"/>
                  </w14:solidFill>
                </w14:textFill>
              </w:rPr>
              <w:t>输电线路设计中应选择合理优化的路径方案，使所选路径对环境影响降至最小，在线路设计中严格执行有关设计规程、规范、合理选用塔型、塔高、以尽量减小路径走廊宽度及减低路线走廊下的静电感应强度。</w:t>
            </w:r>
            <w:bookmarkEnd w:id="48"/>
            <w:bookmarkEnd w:id="49"/>
            <w:bookmarkEnd w:id="50"/>
            <w:bookmarkEnd w:id="51"/>
          </w:p>
          <w:p w14:paraId="75FE8C7B">
            <w:pPr>
              <w:pStyle w:val="22"/>
              <w:keepNext w:val="0"/>
              <w:keepLines w:val="0"/>
              <w:suppressLineNumbers w:val="0"/>
              <w:spacing w:before="0" w:beforeAutospacing="0" w:after="0" w:afterAutospacing="0" w:line="360" w:lineRule="auto"/>
              <w:ind w:left="0" w:right="0" w:firstLine="480" w:firstLineChars="200"/>
              <w:rPr>
                <w:rFonts w:hint="eastAsia"/>
                <w:b w:val="0"/>
                <w:bCs w:val="0"/>
                <w:color w:val="000000" w:themeColor="text1"/>
                <w:kern w:val="2"/>
                <w:sz w:val="24"/>
                <w:szCs w:val="24"/>
                <w:lang w:eastAsia="zh-CN"/>
                <w14:textFill>
                  <w14:solidFill>
                    <w14:schemeClr w14:val="tx1"/>
                  </w14:solidFill>
                </w14:textFill>
              </w:rPr>
            </w:pPr>
            <w:bookmarkStart w:id="52" w:name="_Toc18863"/>
            <w:bookmarkStart w:id="53" w:name="_Toc30568"/>
            <w:bookmarkStart w:id="54" w:name="_Toc10004"/>
            <w:bookmarkStart w:id="55" w:name="_Toc295"/>
            <w:r>
              <w:rPr>
                <w:rFonts w:hint="eastAsia"/>
                <w:b w:val="0"/>
                <w:bCs w:val="0"/>
                <w:color w:val="000000" w:themeColor="text1"/>
                <w:kern w:val="2"/>
                <w:sz w:val="24"/>
                <w:szCs w:val="24"/>
                <w:lang w:val="en-US" w:eastAsia="zh-CN"/>
                <w14:textFill>
                  <w14:solidFill>
                    <w14:schemeClr w14:val="tx1"/>
                  </w14:solidFill>
                </w14:textFill>
              </w:rPr>
              <w:t>（2）控制绝缘子表</w:t>
            </w:r>
            <w:r>
              <w:rPr>
                <w:rFonts w:hint="eastAsia"/>
                <w:b w:val="0"/>
                <w:bCs w:val="0"/>
                <w:color w:val="000000" w:themeColor="text1"/>
                <w:kern w:val="2"/>
                <w:sz w:val="24"/>
                <w:szCs w:val="24"/>
                <w:lang w:eastAsia="zh-CN"/>
                <w14:textFill>
                  <w14:solidFill>
                    <w14:schemeClr w14:val="tx1"/>
                  </w14:solidFill>
                </w14:textFill>
              </w:rPr>
              <w:t>面放电</w:t>
            </w:r>
            <w:bookmarkEnd w:id="52"/>
            <w:bookmarkEnd w:id="53"/>
            <w:bookmarkEnd w:id="54"/>
            <w:bookmarkEnd w:id="55"/>
          </w:p>
          <w:p w14:paraId="4095FB18">
            <w:pPr>
              <w:pStyle w:val="22"/>
              <w:keepNext w:val="0"/>
              <w:keepLines w:val="0"/>
              <w:suppressLineNumbers w:val="0"/>
              <w:spacing w:before="0" w:beforeAutospacing="0" w:after="0" w:afterAutospacing="0" w:line="360" w:lineRule="auto"/>
              <w:ind w:left="0" w:right="0" w:firstLine="480" w:firstLineChars="200"/>
              <w:rPr>
                <w:rFonts w:hint="eastAsia"/>
                <w:b w:val="0"/>
                <w:bCs w:val="0"/>
                <w:color w:val="000000" w:themeColor="text1"/>
                <w:kern w:val="2"/>
                <w:sz w:val="24"/>
                <w:szCs w:val="24"/>
                <w14:textFill>
                  <w14:solidFill>
                    <w14:schemeClr w14:val="tx1"/>
                  </w14:solidFill>
                </w14:textFill>
              </w:rPr>
            </w:pPr>
            <w:bookmarkStart w:id="56" w:name="_Toc18431"/>
            <w:bookmarkStart w:id="57" w:name="_Toc2580"/>
            <w:bookmarkStart w:id="58" w:name="_Toc2068"/>
            <w:bookmarkStart w:id="59" w:name="_Toc23029"/>
            <w:r>
              <w:rPr>
                <w:rFonts w:hint="eastAsia"/>
                <w:b w:val="0"/>
                <w:bCs w:val="0"/>
                <w:color w:val="000000" w:themeColor="text1"/>
                <w:kern w:val="2"/>
                <w:sz w:val="24"/>
                <w:szCs w:val="24"/>
                <w14:textFill>
                  <w14:solidFill>
                    <w14:schemeClr w14:val="tx1"/>
                  </w14:solidFill>
                </w14:textFill>
              </w:rPr>
              <w:t>使用设计合理的绝缘子，要特别关注绝缘子的几何形状及关键部位材料的特性，尽量使用能改善绝缘子表面或沿绝缘子串电压分布的保护装置。</w:t>
            </w:r>
            <w:bookmarkEnd w:id="56"/>
            <w:bookmarkEnd w:id="57"/>
            <w:bookmarkEnd w:id="58"/>
            <w:bookmarkEnd w:id="59"/>
          </w:p>
          <w:p w14:paraId="6E6C8C90">
            <w:pPr>
              <w:pStyle w:val="22"/>
              <w:keepNext w:val="0"/>
              <w:keepLines w:val="0"/>
              <w:suppressLineNumbers w:val="0"/>
              <w:spacing w:before="0" w:beforeAutospacing="0" w:after="0" w:afterAutospacing="0" w:line="360" w:lineRule="auto"/>
              <w:ind w:left="0" w:right="0" w:firstLine="480" w:firstLineChars="200"/>
              <w:rPr>
                <w:rFonts w:hint="eastAsia"/>
                <w:b w:val="0"/>
                <w:bCs w:val="0"/>
                <w:color w:val="000000" w:themeColor="text1"/>
                <w:kern w:val="2"/>
                <w:sz w:val="24"/>
                <w:szCs w:val="24"/>
                <w:lang w:val="en-US" w:eastAsia="zh-CN"/>
                <w14:textFill>
                  <w14:solidFill>
                    <w14:schemeClr w14:val="tx1"/>
                  </w14:solidFill>
                </w14:textFill>
              </w:rPr>
            </w:pPr>
            <w:bookmarkStart w:id="60" w:name="_Toc8254"/>
            <w:bookmarkStart w:id="61" w:name="_Toc24198"/>
            <w:bookmarkStart w:id="62" w:name="_Toc9095"/>
            <w:bookmarkStart w:id="63" w:name="_Toc20671"/>
            <w:r>
              <w:rPr>
                <w:rFonts w:hint="eastAsia"/>
                <w:b w:val="0"/>
                <w:bCs w:val="0"/>
                <w:color w:val="000000" w:themeColor="text1"/>
                <w:kern w:val="2"/>
                <w:sz w:val="24"/>
                <w:szCs w:val="24"/>
                <w:lang w:val="en-US" w:eastAsia="zh-CN"/>
                <w14:textFill>
                  <w14:solidFill>
                    <w14:schemeClr w14:val="tx1"/>
                  </w14:solidFill>
                </w14:textFill>
              </w:rPr>
              <w:t>（3）减小因接触不良而产生的火花放电</w:t>
            </w:r>
            <w:bookmarkEnd w:id="60"/>
            <w:bookmarkEnd w:id="61"/>
            <w:bookmarkEnd w:id="62"/>
            <w:bookmarkEnd w:id="63"/>
          </w:p>
          <w:p w14:paraId="32015AF5">
            <w:pPr>
              <w:keepNext w:val="0"/>
              <w:keepLines w:val="0"/>
              <w:suppressLineNumbers w:val="0"/>
              <w:spacing w:before="0" w:beforeAutospacing="0" w:after="0" w:afterAutospacing="0" w:line="360" w:lineRule="auto"/>
              <w:ind w:left="0" w:right="0" w:firstLine="480" w:firstLineChars="200"/>
              <w:rPr>
                <w:rFonts w:hint="default"/>
                <w:b w:val="0"/>
                <w:bCs w:val="0"/>
                <w:color w:val="000000" w:themeColor="text1"/>
                <w:kern w:val="2"/>
                <w:sz w:val="24"/>
                <w:szCs w:val="24"/>
                <w14:textFill>
                  <w14:solidFill>
                    <w14:schemeClr w14:val="tx1"/>
                  </w14:solidFill>
                </w14:textFill>
              </w:rPr>
            </w:pPr>
            <w:bookmarkStart w:id="64" w:name="_Toc451"/>
            <w:bookmarkStart w:id="65" w:name="_Toc8579"/>
            <w:bookmarkStart w:id="66" w:name="_Toc8283"/>
            <w:bookmarkStart w:id="67" w:name="_Toc12167"/>
            <w:r>
              <w:rPr>
                <w:rFonts w:hint="eastAsia"/>
                <w:b w:val="0"/>
                <w:bCs w:val="0"/>
                <w:color w:val="000000" w:themeColor="text1"/>
                <w:kern w:val="2"/>
                <w:sz w:val="24"/>
                <w:szCs w:val="24"/>
                <w14:textFill>
                  <w14:solidFill>
                    <w14:schemeClr w14:val="tx1"/>
                  </w14:solidFill>
                </w14:textFill>
              </w:rPr>
              <w:t>在安装设备时，保证所有的固定螺栓都可靠拧紧，导电元件尽可能接地，或连接导线电位。</w:t>
            </w:r>
            <w:bookmarkEnd w:id="64"/>
            <w:bookmarkEnd w:id="65"/>
            <w:bookmarkEnd w:id="66"/>
            <w:bookmarkEnd w:id="67"/>
            <w:bookmarkStart w:id="68" w:name="_Toc13154"/>
            <w:bookmarkStart w:id="69" w:name="_Toc2850"/>
            <w:bookmarkStart w:id="70" w:name="_Toc12573"/>
            <w:bookmarkStart w:id="71" w:name="_Toc27007"/>
          </w:p>
          <w:p w14:paraId="364A5B27">
            <w:pPr>
              <w:pStyle w:val="22"/>
              <w:keepNext w:val="0"/>
              <w:keepLines w:val="0"/>
              <w:suppressLineNumbers w:val="0"/>
              <w:spacing w:before="0" w:beforeAutospacing="0" w:after="0" w:afterAutospacing="0" w:line="360" w:lineRule="auto"/>
              <w:ind w:left="0" w:right="0" w:firstLine="482" w:firstLineChars="200"/>
              <w:rPr>
                <w:rFonts w:hint="default"/>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五</w:t>
            </w:r>
            <w:r>
              <w:rPr>
                <w:rFonts w:hint="eastAsia"/>
                <w:color w:val="000000" w:themeColor="text1"/>
                <w:sz w:val="24"/>
                <w:szCs w:val="24"/>
                <w14:textFill>
                  <w14:solidFill>
                    <w14:schemeClr w14:val="tx1"/>
                  </w14:solidFill>
                </w14:textFill>
              </w:rPr>
              <w:t>）</w:t>
            </w:r>
            <w:r>
              <w:rPr>
                <w:rFonts w:hint="default"/>
                <w:color w:val="000000" w:themeColor="text1"/>
                <w:sz w:val="24"/>
                <w:szCs w:val="24"/>
                <w14:textFill>
                  <w14:solidFill>
                    <w14:schemeClr w14:val="tx1"/>
                  </w14:solidFill>
                </w14:textFill>
              </w:rPr>
              <w:t>事故风险分析</w:t>
            </w:r>
            <w:bookmarkEnd w:id="68"/>
            <w:bookmarkEnd w:id="69"/>
            <w:bookmarkEnd w:id="70"/>
            <w:bookmarkEnd w:id="71"/>
          </w:p>
          <w:p w14:paraId="485C7E97">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高压和超高压输变电工程事故的发生原因主要由雷电或短路产生，它将导致线路的过电流或过电压。带断路器及良好的接地（接地电阻小于0.5Ω），当高压</w:t>
            </w:r>
            <w:r>
              <w:rPr>
                <w:rFonts w:hint="eastAsia"/>
                <w:color w:val="000000" w:themeColor="text1"/>
                <w:sz w:val="24"/>
                <w:lang w:eastAsia="zh-CN"/>
                <w14:textFill>
                  <w14:solidFill>
                    <w14:schemeClr w14:val="tx1"/>
                  </w14:solidFill>
                </w14:textFill>
              </w:rPr>
              <w:t>输配电系统</w:t>
            </w:r>
            <w:r>
              <w:rPr>
                <w:rFonts w:hint="default"/>
                <w:color w:val="000000" w:themeColor="text1"/>
                <w:sz w:val="24"/>
                <w14:textFill>
                  <w14:solidFill>
                    <w14:schemeClr w14:val="tx1"/>
                  </w14:solidFill>
                </w14:textFill>
              </w:rPr>
              <w:t>的电压或电流超出正常运行的范围，在几十毫秒时间内断路器断开，实现变电器停运。因此，</w:t>
            </w:r>
            <w:r>
              <w:rPr>
                <w:rFonts w:hint="eastAsia"/>
                <w:color w:val="000000" w:themeColor="text1"/>
                <w:sz w:val="24"/>
                <w14:textFill>
                  <w14:solidFill>
                    <w14:schemeClr w14:val="tx1"/>
                  </w14:solidFill>
                </w14:textFill>
              </w:rPr>
              <w:t>本项目</w:t>
            </w:r>
            <w:r>
              <w:rPr>
                <w:rFonts w:hint="default"/>
                <w:color w:val="000000" w:themeColor="text1"/>
                <w:sz w:val="24"/>
                <w14:textFill>
                  <w14:solidFill>
                    <w14:schemeClr w14:val="tx1"/>
                  </w14:solidFill>
                </w14:textFill>
              </w:rPr>
              <w:t>输电线路不存在事故时的运行，其事故情况下不会对周围环境产生电磁影响。</w:t>
            </w:r>
          </w:p>
        </w:tc>
      </w:tr>
    </w:tbl>
    <w:p w14:paraId="0A017BE4">
      <w:pPr>
        <w:pStyle w:val="74"/>
        <w:ind w:firstLine="420"/>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479EBA75">
      <w:pPr>
        <w:pStyle w:val="2"/>
        <w:spacing w:before="0" w:after="0" w:line="240" w:lineRule="auto"/>
        <w:ind w:left="431" w:hanging="431"/>
        <w:rPr>
          <w:sz w:val="24"/>
          <w:szCs w:val="24"/>
        </w:rPr>
      </w:pPr>
      <w:bookmarkStart w:id="72" w:name="_Toc19195"/>
      <w:r>
        <w:rPr>
          <w:sz w:val="24"/>
          <w:szCs w:val="24"/>
        </w:rPr>
        <w:t xml:space="preserve">附件1 </w:t>
      </w:r>
      <w:r>
        <w:rPr>
          <w:rFonts w:hint="eastAsia"/>
          <w:sz w:val="24"/>
          <w:szCs w:val="24"/>
          <w:lang w:val="en-US" w:eastAsia="zh-CN"/>
        </w:rPr>
        <w:t>可研</w:t>
      </w:r>
      <w:r>
        <w:rPr>
          <w:sz w:val="24"/>
          <w:szCs w:val="24"/>
        </w:rPr>
        <w:t>文件</w:t>
      </w:r>
      <w:bookmarkEnd w:id="72"/>
    </w:p>
    <w:p w14:paraId="041A0224">
      <w:pPr>
        <w:pStyle w:val="74"/>
        <w:spacing w:line="240" w:lineRule="auto"/>
        <w:ind w:firstLine="0" w:firstLineChars="0"/>
        <w:jc w:val="center"/>
        <w:rPr>
          <w:rFonts w:hint="eastAsia" w:eastAsia="宋体"/>
          <w:b/>
          <w:bCs/>
          <w:sz w:val="24"/>
          <w:szCs w:val="32"/>
          <w:lang w:eastAsia="zh-CN"/>
        </w:rPr>
      </w:pPr>
      <w:r>
        <w:drawing>
          <wp:inline distT="0" distB="0" distL="114300" distR="114300">
            <wp:extent cx="5270500" cy="7467600"/>
            <wp:effectExtent l="0" t="0" r="6350" b="0"/>
            <wp:docPr id="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9"/>
                    <pic:cNvPicPr>
                      <a:picLocks noChangeAspect="1"/>
                    </pic:cNvPicPr>
                  </pic:nvPicPr>
                  <pic:blipFill>
                    <a:blip r:embed="rId83"/>
                    <a:stretch>
                      <a:fillRect/>
                    </a:stretch>
                  </pic:blipFill>
                  <pic:spPr>
                    <a:xfrm>
                      <a:off x="0" y="0"/>
                      <a:ext cx="5270500" cy="7467600"/>
                    </a:xfrm>
                    <a:prstGeom prst="rect">
                      <a:avLst/>
                    </a:prstGeom>
                    <a:noFill/>
                    <a:ln>
                      <a:noFill/>
                    </a:ln>
                  </pic:spPr>
                </pic:pic>
              </a:graphicData>
            </a:graphic>
          </wp:inline>
        </w:drawing>
      </w:r>
      <w:r>
        <w:drawing>
          <wp:inline distT="0" distB="0" distL="114300" distR="114300">
            <wp:extent cx="5272405" cy="7404100"/>
            <wp:effectExtent l="0" t="0" r="4445" b="635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84"/>
                    <a:stretch>
                      <a:fillRect/>
                    </a:stretch>
                  </pic:blipFill>
                  <pic:spPr>
                    <a:xfrm>
                      <a:off x="0" y="0"/>
                      <a:ext cx="5272405" cy="7404100"/>
                    </a:xfrm>
                    <a:prstGeom prst="rect">
                      <a:avLst/>
                    </a:prstGeom>
                    <a:noFill/>
                    <a:ln>
                      <a:noFill/>
                    </a:ln>
                  </pic:spPr>
                </pic:pic>
              </a:graphicData>
            </a:graphic>
          </wp:inline>
        </w:drawing>
      </w:r>
      <w:r>
        <w:drawing>
          <wp:inline distT="0" distB="0" distL="114300" distR="114300">
            <wp:extent cx="5273675" cy="7494905"/>
            <wp:effectExtent l="0" t="0" r="3175" b="10795"/>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85"/>
                    <a:stretch>
                      <a:fillRect/>
                    </a:stretch>
                  </pic:blipFill>
                  <pic:spPr>
                    <a:xfrm>
                      <a:off x="0" y="0"/>
                      <a:ext cx="5273675" cy="7494905"/>
                    </a:xfrm>
                    <a:prstGeom prst="rect">
                      <a:avLst/>
                    </a:prstGeom>
                    <a:noFill/>
                    <a:ln>
                      <a:noFill/>
                    </a:ln>
                  </pic:spPr>
                </pic:pic>
              </a:graphicData>
            </a:graphic>
          </wp:inline>
        </w:drawing>
      </w:r>
      <w:r>
        <w:drawing>
          <wp:inline distT="0" distB="0" distL="114300" distR="114300">
            <wp:extent cx="5272405" cy="7412990"/>
            <wp:effectExtent l="0" t="0" r="4445" b="16510"/>
            <wp:docPr id="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2"/>
                    <pic:cNvPicPr>
                      <a:picLocks noChangeAspect="1"/>
                    </pic:cNvPicPr>
                  </pic:nvPicPr>
                  <pic:blipFill>
                    <a:blip r:embed="rId86"/>
                    <a:stretch>
                      <a:fillRect/>
                    </a:stretch>
                  </pic:blipFill>
                  <pic:spPr>
                    <a:xfrm>
                      <a:off x="0" y="0"/>
                      <a:ext cx="5272405" cy="7412990"/>
                    </a:xfrm>
                    <a:prstGeom prst="rect">
                      <a:avLst/>
                    </a:prstGeom>
                    <a:noFill/>
                    <a:ln>
                      <a:noFill/>
                    </a:ln>
                  </pic:spPr>
                </pic:pic>
              </a:graphicData>
            </a:graphic>
          </wp:inline>
        </w:drawing>
      </w:r>
      <w:r>
        <w:drawing>
          <wp:inline distT="0" distB="0" distL="114300" distR="114300">
            <wp:extent cx="7517765" cy="5307965"/>
            <wp:effectExtent l="0" t="0" r="6985" b="6985"/>
            <wp:docPr id="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
                    <pic:cNvPicPr>
                      <a:picLocks noChangeAspect="1"/>
                    </pic:cNvPicPr>
                  </pic:nvPicPr>
                  <pic:blipFill>
                    <a:blip r:embed="rId87"/>
                    <a:stretch>
                      <a:fillRect/>
                    </a:stretch>
                  </pic:blipFill>
                  <pic:spPr>
                    <a:xfrm rot="5400000">
                      <a:off x="0" y="0"/>
                      <a:ext cx="7517765" cy="5307965"/>
                    </a:xfrm>
                    <a:prstGeom prst="rect">
                      <a:avLst/>
                    </a:prstGeom>
                    <a:noFill/>
                    <a:ln>
                      <a:noFill/>
                    </a:ln>
                  </pic:spPr>
                </pic:pic>
              </a:graphicData>
            </a:graphic>
          </wp:inline>
        </w:drawing>
      </w:r>
      <w:r>
        <w:drawing>
          <wp:inline distT="0" distB="0" distL="114300" distR="114300">
            <wp:extent cx="5268595" cy="7418705"/>
            <wp:effectExtent l="0" t="0" r="8255" b="10795"/>
            <wp:docPr id="9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4"/>
                    <pic:cNvPicPr>
                      <a:picLocks noChangeAspect="1"/>
                    </pic:cNvPicPr>
                  </pic:nvPicPr>
                  <pic:blipFill>
                    <a:blip r:embed="rId88"/>
                    <a:stretch>
                      <a:fillRect/>
                    </a:stretch>
                  </pic:blipFill>
                  <pic:spPr>
                    <a:xfrm>
                      <a:off x="0" y="0"/>
                      <a:ext cx="5268595" cy="7418705"/>
                    </a:xfrm>
                    <a:prstGeom prst="rect">
                      <a:avLst/>
                    </a:prstGeom>
                    <a:noFill/>
                    <a:ln>
                      <a:noFill/>
                    </a:ln>
                  </pic:spPr>
                </pic:pic>
              </a:graphicData>
            </a:graphic>
          </wp:inline>
        </w:drawing>
      </w:r>
    </w:p>
    <w:p w14:paraId="0BA6DACE">
      <w:pPr>
        <w:pStyle w:val="74"/>
        <w:ind w:firstLine="0" w:firstLineChars="0"/>
      </w:pPr>
    </w:p>
    <w:p w14:paraId="470B58BB">
      <w:pPr>
        <w:pStyle w:val="74"/>
        <w:ind w:firstLine="0" w:firstLineChars="0"/>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2203712D">
      <w:pPr>
        <w:pStyle w:val="2"/>
        <w:spacing w:before="0" w:after="0" w:line="240" w:lineRule="auto"/>
        <w:ind w:left="11" w:leftChars="0" w:hanging="11" w:firstLineChars="0"/>
        <w:jc w:val="left"/>
        <w:rPr>
          <w:rFonts w:hint="eastAsia" w:eastAsia="黑体"/>
          <w:sz w:val="24"/>
          <w:szCs w:val="24"/>
          <w:lang w:val="en-US" w:eastAsia="zh-CN"/>
        </w:rPr>
      </w:pPr>
      <w:bookmarkStart w:id="73" w:name="_Toc26413"/>
      <w:bookmarkStart w:id="74" w:name="_Toc3081"/>
      <w:bookmarkStart w:id="75" w:name="_Toc22775"/>
      <w:bookmarkStart w:id="76" w:name="_Toc8835"/>
      <w:r>
        <w:rPr>
          <w:rFonts w:hint="eastAsia"/>
          <w:sz w:val="24"/>
          <w:szCs w:val="24"/>
        </w:rPr>
        <w:t>附件</w:t>
      </w:r>
      <w:r>
        <w:rPr>
          <w:rFonts w:hint="eastAsia"/>
          <w:sz w:val="24"/>
          <w:szCs w:val="24"/>
          <w:lang w:val="en-US" w:eastAsia="zh-CN"/>
        </w:rPr>
        <w:t>2</w:t>
      </w:r>
      <w:r>
        <w:rPr>
          <w:rFonts w:hint="eastAsia"/>
          <w:sz w:val="24"/>
          <w:szCs w:val="24"/>
        </w:rPr>
        <w:t xml:space="preserve"> </w:t>
      </w:r>
      <w:r>
        <w:rPr>
          <w:rFonts w:hint="eastAsia"/>
          <w:sz w:val="24"/>
          <w:szCs w:val="24"/>
          <w:lang w:val="en-US" w:eastAsia="zh-CN"/>
        </w:rPr>
        <w:t>路径相关文件</w:t>
      </w:r>
    </w:p>
    <w:p w14:paraId="7CDEA382">
      <w:pPr>
        <w:jc w:val="center"/>
        <w:rPr>
          <w:rFonts w:hint="eastAsia" w:eastAsia="宋体"/>
          <w:sz w:val="24"/>
          <w:szCs w:val="24"/>
          <w:lang w:eastAsia="zh-CN"/>
        </w:rPr>
      </w:pPr>
      <w:r>
        <w:drawing>
          <wp:inline distT="0" distB="0" distL="114300" distR="114300">
            <wp:extent cx="5271135" cy="7628890"/>
            <wp:effectExtent l="0" t="0" r="5715" b="10160"/>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89"/>
                    <a:stretch>
                      <a:fillRect/>
                    </a:stretch>
                  </pic:blipFill>
                  <pic:spPr>
                    <a:xfrm>
                      <a:off x="0" y="0"/>
                      <a:ext cx="5271135" cy="7628890"/>
                    </a:xfrm>
                    <a:prstGeom prst="rect">
                      <a:avLst/>
                    </a:prstGeom>
                    <a:noFill/>
                    <a:ln>
                      <a:noFill/>
                    </a:ln>
                  </pic:spPr>
                </pic:pic>
              </a:graphicData>
            </a:graphic>
          </wp:inline>
        </w:drawing>
      </w:r>
      <w:r>
        <w:drawing>
          <wp:inline distT="0" distB="0" distL="114300" distR="114300">
            <wp:extent cx="4514850" cy="7143750"/>
            <wp:effectExtent l="0" t="0" r="0" b="0"/>
            <wp:docPr id="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
                    <pic:cNvPicPr>
                      <a:picLocks noChangeAspect="1"/>
                    </pic:cNvPicPr>
                  </pic:nvPicPr>
                  <pic:blipFill>
                    <a:blip r:embed="rId90"/>
                    <a:stretch>
                      <a:fillRect/>
                    </a:stretch>
                  </pic:blipFill>
                  <pic:spPr>
                    <a:xfrm>
                      <a:off x="0" y="0"/>
                      <a:ext cx="4514850" cy="7143750"/>
                    </a:xfrm>
                    <a:prstGeom prst="rect">
                      <a:avLst/>
                    </a:prstGeom>
                    <a:noFill/>
                    <a:ln>
                      <a:noFill/>
                    </a:ln>
                  </pic:spPr>
                </pic:pic>
              </a:graphicData>
            </a:graphic>
          </wp:inline>
        </w:drawing>
      </w:r>
      <w:r>
        <w:rPr>
          <w:rFonts w:hint="eastAsia" w:eastAsia="宋体"/>
          <w:sz w:val="24"/>
          <w:szCs w:val="24"/>
          <w:lang w:eastAsia="zh-CN"/>
        </w:rPr>
        <w:drawing>
          <wp:inline distT="0" distB="0" distL="114300" distR="114300">
            <wp:extent cx="5262880" cy="7237730"/>
            <wp:effectExtent l="0" t="0" r="13970" b="1270"/>
            <wp:docPr id="16" name="图片 16" descr="微信图片_2024101815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41018154854"/>
                    <pic:cNvPicPr>
                      <a:picLocks noChangeAspect="1"/>
                    </pic:cNvPicPr>
                  </pic:nvPicPr>
                  <pic:blipFill>
                    <a:blip r:embed="rId91"/>
                    <a:stretch>
                      <a:fillRect/>
                    </a:stretch>
                  </pic:blipFill>
                  <pic:spPr>
                    <a:xfrm>
                      <a:off x="0" y="0"/>
                      <a:ext cx="5262880" cy="7237730"/>
                    </a:xfrm>
                    <a:prstGeom prst="rect">
                      <a:avLst/>
                    </a:prstGeom>
                  </pic:spPr>
                </pic:pic>
              </a:graphicData>
            </a:graphic>
          </wp:inline>
        </w:drawing>
      </w:r>
      <w:r>
        <w:rPr>
          <w:rFonts w:hint="eastAsia" w:eastAsia="宋体"/>
          <w:sz w:val="24"/>
          <w:szCs w:val="24"/>
          <w:lang w:eastAsia="zh-CN"/>
        </w:rPr>
        <w:drawing>
          <wp:inline distT="0" distB="0" distL="114300" distR="114300">
            <wp:extent cx="5262880" cy="7237730"/>
            <wp:effectExtent l="0" t="0" r="13970" b="1270"/>
            <wp:docPr id="35" name="图片 35" descr="微信图片_2024101815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41018154903"/>
                    <pic:cNvPicPr>
                      <a:picLocks noChangeAspect="1"/>
                    </pic:cNvPicPr>
                  </pic:nvPicPr>
                  <pic:blipFill>
                    <a:blip r:embed="rId92"/>
                    <a:stretch>
                      <a:fillRect/>
                    </a:stretch>
                  </pic:blipFill>
                  <pic:spPr>
                    <a:xfrm>
                      <a:off x="0" y="0"/>
                      <a:ext cx="5262880" cy="7237730"/>
                    </a:xfrm>
                    <a:prstGeom prst="rect">
                      <a:avLst/>
                    </a:prstGeom>
                  </pic:spPr>
                </pic:pic>
              </a:graphicData>
            </a:graphic>
          </wp:inline>
        </w:drawing>
      </w:r>
    </w:p>
    <w:p w14:paraId="34F7A083">
      <w:pPr>
        <w:rPr>
          <w:rFonts w:hint="eastAsia"/>
          <w:sz w:val="24"/>
          <w:szCs w:val="24"/>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67C3BAC8">
      <w:pPr>
        <w:pStyle w:val="2"/>
        <w:spacing w:before="0" w:after="0" w:line="240" w:lineRule="auto"/>
        <w:ind w:left="11" w:leftChars="0" w:hanging="11" w:firstLineChars="0"/>
        <w:jc w:val="left"/>
        <w:rPr>
          <w:rFonts w:hint="eastAsia"/>
          <w:sz w:val="24"/>
          <w:szCs w:val="24"/>
        </w:rPr>
      </w:pPr>
      <w:r>
        <w:rPr>
          <w:rFonts w:hint="eastAsia"/>
          <w:sz w:val="24"/>
          <w:szCs w:val="24"/>
          <w:lang w:val="en-US" w:eastAsia="zh-CN"/>
        </w:rPr>
        <w:t>附件3变电站</w:t>
      </w:r>
      <w:r>
        <w:rPr>
          <w:rFonts w:hint="eastAsia"/>
          <w:sz w:val="24"/>
          <w:szCs w:val="24"/>
        </w:rPr>
        <w:t>类比检测</w:t>
      </w:r>
      <w:bookmarkEnd w:id="73"/>
      <w:bookmarkEnd w:id="74"/>
      <w:bookmarkEnd w:id="75"/>
      <w:bookmarkEnd w:id="76"/>
    </w:p>
    <w:p w14:paraId="2A84D77B">
      <w:pPr>
        <w:pStyle w:val="74"/>
        <w:ind w:firstLine="0" w:firstLineChars="0"/>
        <w:jc w:val="center"/>
      </w:pPr>
      <w:r>
        <w:drawing>
          <wp:inline distT="0" distB="0" distL="114300" distR="114300">
            <wp:extent cx="5271135" cy="7459980"/>
            <wp:effectExtent l="0" t="0" r="5715" b="7620"/>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93"/>
                    <a:stretch>
                      <a:fillRect/>
                    </a:stretch>
                  </pic:blipFill>
                  <pic:spPr>
                    <a:xfrm>
                      <a:off x="0" y="0"/>
                      <a:ext cx="5271135" cy="7459980"/>
                    </a:xfrm>
                    <a:prstGeom prst="rect">
                      <a:avLst/>
                    </a:prstGeom>
                    <a:noFill/>
                    <a:ln>
                      <a:noFill/>
                    </a:ln>
                  </pic:spPr>
                </pic:pic>
              </a:graphicData>
            </a:graphic>
          </wp:inline>
        </w:drawing>
      </w:r>
      <w:r>
        <w:drawing>
          <wp:inline distT="0" distB="0" distL="114300" distR="114300">
            <wp:extent cx="5270500" cy="7457440"/>
            <wp:effectExtent l="0" t="0" r="6350" b="10160"/>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94"/>
                    <a:stretch>
                      <a:fillRect/>
                    </a:stretch>
                  </pic:blipFill>
                  <pic:spPr>
                    <a:xfrm>
                      <a:off x="0" y="0"/>
                      <a:ext cx="5270500" cy="7457440"/>
                    </a:xfrm>
                    <a:prstGeom prst="rect">
                      <a:avLst/>
                    </a:prstGeom>
                    <a:noFill/>
                    <a:ln>
                      <a:noFill/>
                    </a:ln>
                  </pic:spPr>
                </pic:pic>
              </a:graphicData>
            </a:graphic>
          </wp:inline>
        </w:drawing>
      </w:r>
      <w:r>
        <w:drawing>
          <wp:inline distT="0" distB="0" distL="114300" distR="114300">
            <wp:extent cx="5272405" cy="7473315"/>
            <wp:effectExtent l="0" t="0" r="4445" b="13335"/>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pic:cNvPicPr>
                      <a:picLocks noChangeAspect="1"/>
                    </pic:cNvPicPr>
                  </pic:nvPicPr>
                  <pic:blipFill>
                    <a:blip r:embed="rId95"/>
                    <a:stretch>
                      <a:fillRect/>
                    </a:stretch>
                  </pic:blipFill>
                  <pic:spPr>
                    <a:xfrm>
                      <a:off x="0" y="0"/>
                      <a:ext cx="5272405" cy="7473315"/>
                    </a:xfrm>
                    <a:prstGeom prst="rect">
                      <a:avLst/>
                    </a:prstGeom>
                    <a:noFill/>
                    <a:ln>
                      <a:noFill/>
                    </a:ln>
                  </pic:spPr>
                </pic:pic>
              </a:graphicData>
            </a:graphic>
          </wp:inline>
        </w:drawing>
      </w:r>
      <w:r>
        <w:drawing>
          <wp:inline distT="0" distB="0" distL="114300" distR="114300">
            <wp:extent cx="5272405" cy="7436485"/>
            <wp:effectExtent l="0" t="0" r="4445" b="12065"/>
            <wp:docPr id="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96"/>
                    <a:stretch>
                      <a:fillRect/>
                    </a:stretch>
                  </pic:blipFill>
                  <pic:spPr>
                    <a:xfrm>
                      <a:off x="0" y="0"/>
                      <a:ext cx="5272405" cy="7436485"/>
                    </a:xfrm>
                    <a:prstGeom prst="rect">
                      <a:avLst/>
                    </a:prstGeom>
                    <a:noFill/>
                    <a:ln>
                      <a:noFill/>
                    </a:ln>
                  </pic:spPr>
                </pic:pic>
              </a:graphicData>
            </a:graphic>
          </wp:inline>
        </w:drawing>
      </w:r>
      <w:r>
        <w:drawing>
          <wp:inline distT="0" distB="0" distL="114300" distR="114300">
            <wp:extent cx="5269865" cy="7385050"/>
            <wp:effectExtent l="0" t="0" r="6985" b="6350"/>
            <wp:docPr id="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
                    <pic:cNvPicPr>
                      <a:picLocks noChangeAspect="1"/>
                    </pic:cNvPicPr>
                  </pic:nvPicPr>
                  <pic:blipFill>
                    <a:blip r:embed="rId97"/>
                    <a:stretch>
                      <a:fillRect/>
                    </a:stretch>
                  </pic:blipFill>
                  <pic:spPr>
                    <a:xfrm>
                      <a:off x="0" y="0"/>
                      <a:ext cx="5269865" cy="7385050"/>
                    </a:xfrm>
                    <a:prstGeom prst="rect">
                      <a:avLst/>
                    </a:prstGeom>
                    <a:noFill/>
                    <a:ln>
                      <a:noFill/>
                    </a:ln>
                  </pic:spPr>
                </pic:pic>
              </a:graphicData>
            </a:graphic>
          </wp:inline>
        </w:drawing>
      </w:r>
      <w:r>
        <w:drawing>
          <wp:inline distT="0" distB="0" distL="114300" distR="114300">
            <wp:extent cx="5272405" cy="7454900"/>
            <wp:effectExtent l="0" t="0" r="4445" b="1270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98"/>
                    <a:stretch>
                      <a:fillRect/>
                    </a:stretch>
                  </pic:blipFill>
                  <pic:spPr>
                    <a:xfrm>
                      <a:off x="0" y="0"/>
                      <a:ext cx="5272405" cy="7454900"/>
                    </a:xfrm>
                    <a:prstGeom prst="rect">
                      <a:avLst/>
                    </a:prstGeom>
                    <a:noFill/>
                    <a:ln>
                      <a:noFill/>
                    </a:ln>
                  </pic:spPr>
                </pic:pic>
              </a:graphicData>
            </a:graphic>
          </wp:inline>
        </w:drawing>
      </w:r>
    </w:p>
    <w:p w14:paraId="5009A9A4">
      <w:pPr>
        <w:pStyle w:val="74"/>
        <w:ind w:firstLine="0" w:firstLineChars="0"/>
        <w:jc w:val="left"/>
      </w:pPr>
    </w:p>
    <w:p w14:paraId="5FD89F09">
      <w:pPr>
        <w:pStyle w:val="74"/>
        <w:ind w:firstLine="0" w:firstLineChars="0"/>
        <w:jc w:val="left"/>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10668D5A">
      <w:pPr>
        <w:pStyle w:val="2"/>
        <w:spacing w:before="0" w:after="0" w:line="240" w:lineRule="auto"/>
        <w:ind w:left="11" w:leftChars="0" w:hanging="11" w:firstLineChars="0"/>
        <w:jc w:val="left"/>
        <w:rPr>
          <w:rFonts w:hint="eastAsia"/>
          <w:lang w:val="en-US" w:eastAsia="zh-CN"/>
        </w:rPr>
      </w:pPr>
      <w:r>
        <w:rPr>
          <w:rFonts w:hint="eastAsia"/>
          <w:sz w:val="24"/>
          <w:szCs w:val="24"/>
        </w:rPr>
        <w:t>附件</w:t>
      </w:r>
      <w:r>
        <w:rPr>
          <w:rFonts w:hint="eastAsia"/>
          <w:sz w:val="24"/>
          <w:szCs w:val="24"/>
          <w:lang w:val="en-US" w:eastAsia="zh-CN"/>
        </w:rPr>
        <w:t>4</w:t>
      </w:r>
      <w:r>
        <w:rPr>
          <w:rFonts w:hint="eastAsia"/>
          <w:sz w:val="24"/>
          <w:szCs w:val="24"/>
        </w:rPr>
        <w:t xml:space="preserve"> </w:t>
      </w:r>
      <w:r>
        <w:rPr>
          <w:rFonts w:hint="eastAsia"/>
          <w:sz w:val="24"/>
          <w:szCs w:val="24"/>
          <w:lang w:val="en-US" w:eastAsia="zh-CN"/>
        </w:rPr>
        <w:t>线路</w:t>
      </w:r>
      <w:r>
        <w:rPr>
          <w:rFonts w:hint="eastAsia"/>
          <w:sz w:val="24"/>
          <w:szCs w:val="24"/>
        </w:rPr>
        <w:t>类比检测</w:t>
      </w:r>
    </w:p>
    <w:p w14:paraId="07F18A4A">
      <w:pPr>
        <w:rPr>
          <w:color w:val="auto"/>
        </w:rPr>
      </w:pPr>
      <w:r>
        <w:rPr>
          <w:color w:val="auto"/>
        </w:rPr>
        <w:drawing>
          <wp:inline distT="0" distB="0" distL="114300" distR="114300">
            <wp:extent cx="5345430" cy="7558405"/>
            <wp:effectExtent l="0" t="0" r="7620" b="4445"/>
            <wp:docPr id="1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5"/>
                    <pic:cNvPicPr>
                      <a:picLocks noChangeAspect="1"/>
                    </pic:cNvPicPr>
                  </pic:nvPicPr>
                  <pic:blipFill>
                    <a:blip r:embed="rId99"/>
                    <a:stretch>
                      <a:fillRect/>
                    </a:stretch>
                  </pic:blipFill>
                  <pic:spPr>
                    <a:xfrm>
                      <a:off x="0" y="0"/>
                      <a:ext cx="5345430" cy="7558405"/>
                    </a:xfrm>
                    <a:prstGeom prst="rect">
                      <a:avLst/>
                    </a:prstGeom>
                    <a:noFill/>
                    <a:ln>
                      <a:noFill/>
                    </a:ln>
                  </pic:spPr>
                </pic:pic>
              </a:graphicData>
            </a:graphic>
          </wp:inline>
        </w:drawing>
      </w:r>
    </w:p>
    <w:p w14:paraId="3C5C4D7D">
      <w:pPr>
        <w:pStyle w:val="29"/>
        <w:ind w:left="0" w:leftChars="0" w:firstLine="0" w:firstLineChars="0"/>
        <w:outlineLvl w:val="9"/>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rPr>
        <w:drawing>
          <wp:inline distT="0" distB="0" distL="114300" distR="114300">
            <wp:extent cx="5354955" cy="7572375"/>
            <wp:effectExtent l="0" t="0" r="17145" b="9525"/>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pic:cNvPicPr>
                      <a:picLocks noChangeAspect="1"/>
                    </pic:cNvPicPr>
                  </pic:nvPicPr>
                  <pic:blipFill>
                    <a:blip r:embed="rId100"/>
                    <a:stretch>
                      <a:fillRect/>
                    </a:stretch>
                  </pic:blipFill>
                  <pic:spPr>
                    <a:xfrm>
                      <a:off x="0" y="0"/>
                      <a:ext cx="5354955" cy="7572375"/>
                    </a:xfrm>
                    <a:prstGeom prst="rect">
                      <a:avLst/>
                    </a:prstGeom>
                    <a:noFill/>
                    <a:ln>
                      <a:noFill/>
                    </a:ln>
                  </pic:spPr>
                </pic:pic>
              </a:graphicData>
            </a:graphic>
          </wp:inline>
        </w:drawing>
      </w:r>
      <w:r>
        <w:rPr>
          <w:color w:val="auto"/>
        </w:rPr>
        <w:drawing>
          <wp:inline distT="0" distB="0" distL="114300" distR="114300">
            <wp:extent cx="5354955" cy="7572375"/>
            <wp:effectExtent l="0" t="0" r="17145" b="9525"/>
            <wp:docPr id="10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7"/>
                    <pic:cNvPicPr>
                      <a:picLocks noChangeAspect="1"/>
                    </pic:cNvPicPr>
                  </pic:nvPicPr>
                  <pic:blipFill>
                    <a:blip r:embed="rId101"/>
                    <a:stretch>
                      <a:fillRect/>
                    </a:stretch>
                  </pic:blipFill>
                  <pic:spPr>
                    <a:xfrm>
                      <a:off x="0" y="0"/>
                      <a:ext cx="5354955" cy="7572375"/>
                    </a:xfrm>
                    <a:prstGeom prst="rect">
                      <a:avLst/>
                    </a:prstGeom>
                    <a:noFill/>
                    <a:ln>
                      <a:noFill/>
                    </a:ln>
                  </pic:spPr>
                </pic:pic>
              </a:graphicData>
            </a:graphic>
          </wp:inline>
        </w:drawing>
      </w:r>
      <w:r>
        <w:rPr>
          <w:color w:val="auto"/>
        </w:rPr>
        <w:drawing>
          <wp:inline distT="0" distB="0" distL="114300" distR="114300">
            <wp:extent cx="5393690" cy="7626985"/>
            <wp:effectExtent l="0" t="0" r="16510" b="12065"/>
            <wp:docPr id="1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8"/>
                    <pic:cNvPicPr>
                      <a:picLocks noChangeAspect="1"/>
                    </pic:cNvPicPr>
                  </pic:nvPicPr>
                  <pic:blipFill>
                    <a:blip r:embed="rId102"/>
                    <a:stretch>
                      <a:fillRect/>
                    </a:stretch>
                  </pic:blipFill>
                  <pic:spPr>
                    <a:xfrm>
                      <a:off x="0" y="0"/>
                      <a:ext cx="5393690" cy="7626985"/>
                    </a:xfrm>
                    <a:prstGeom prst="rect">
                      <a:avLst/>
                    </a:prstGeom>
                    <a:noFill/>
                    <a:ln>
                      <a:noFill/>
                    </a:ln>
                  </pic:spPr>
                </pic:pic>
              </a:graphicData>
            </a:graphic>
          </wp:inline>
        </w:drawing>
      </w:r>
      <w:r>
        <w:rPr>
          <w:color w:val="auto"/>
        </w:rPr>
        <w:drawing>
          <wp:inline distT="0" distB="0" distL="114300" distR="114300">
            <wp:extent cx="5260340" cy="7438390"/>
            <wp:effectExtent l="0" t="0" r="16510" b="10160"/>
            <wp:docPr id="1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9"/>
                    <pic:cNvPicPr>
                      <a:picLocks noChangeAspect="1"/>
                    </pic:cNvPicPr>
                  </pic:nvPicPr>
                  <pic:blipFill>
                    <a:blip r:embed="rId103"/>
                    <a:stretch>
                      <a:fillRect/>
                    </a:stretch>
                  </pic:blipFill>
                  <pic:spPr>
                    <a:xfrm>
                      <a:off x="0" y="0"/>
                      <a:ext cx="5260340" cy="7438390"/>
                    </a:xfrm>
                    <a:prstGeom prst="rect">
                      <a:avLst/>
                    </a:prstGeom>
                    <a:noFill/>
                    <a:ln>
                      <a:noFill/>
                    </a:ln>
                  </pic:spPr>
                </pic:pic>
              </a:graphicData>
            </a:graphic>
          </wp:inline>
        </w:drawing>
      </w:r>
      <w:r>
        <w:rPr>
          <w:color w:val="auto"/>
        </w:rPr>
        <w:drawing>
          <wp:inline distT="0" distB="0" distL="114300" distR="114300">
            <wp:extent cx="5345430" cy="7558405"/>
            <wp:effectExtent l="0" t="0" r="7620" b="4445"/>
            <wp:docPr id="10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0"/>
                    <pic:cNvPicPr>
                      <a:picLocks noChangeAspect="1"/>
                    </pic:cNvPicPr>
                  </pic:nvPicPr>
                  <pic:blipFill>
                    <a:blip r:embed="rId104"/>
                    <a:stretch>
                      <a:fillRect/>
                    </a:stretch>
                  </pic:blipFill>
                  <pic:spPr>
                    <a:xfrm>
                      <a:off x="0" y="0"/>
                      <a:ext cx="5345430" cy="7558405"/>
                    </a:xfrm>
                    <a:prstGeom prst="rect">
                      <a:avLst/>
                    </a:prstGeom>
                    <a:noFill/>
                    <a:ln>
                      <a:noFill/>
                    </a:ln>
                  </pic:spPr>
                </pic:pic>
              </a:graphicData>
            </a:graphic>
          </wp:inline>
        </w:drawing>
      </w:r>
      <w:r>
        <w:rPr>
          <w:color w:val="auto"/>
        </w:rPr>
        <w:drawing>
          <wp:inline distT="0" distB="0" distL="114300" distR="114300">
            <wp:extent cx="5336540" cy="7546340"/>
            <wp:effectExtent l="0" t="0" r="16510" b="16510"/>
            <wp:docPr id="1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1"/>
                    <pic:cNvPicPr>
                      <a:picLocks noChangeAspect="1"/>
                    </pic:cNvPicPr>
                  </pic:nvPicPr>
                  <pic:blipFill>
                    <a:blip r:embed="rId105"/>
                    <a:stretch>
                      <a:fillRect/>
                    </a:stretch>
                  </pic:blipFill>
                  <pic:spPr>
                    <a:xfrm>
                      <a:off x="0" y="0"/>
                      <a:ext cx="5336540" cy="7546340"/>
                    </a:xfrm>
                    <a:prstGeom prst="rect">
                      <a:avLst/>
                    </a:prstGeom>
                    <a:noFill/>
                    <a:ln>
                      <a:noFill/>
                    </a:ln>
                  </pic:spPr>
                </pic:pic>
              </a:graphicData>
            </a:graphic>
          </wp:inline>
        </w:drawing>
      </w:r>
      <w:r>
        <w:rPr>
          <w:color w:val="auto"/>
        </w:rPr>
        <w:drawing>
          <wp:inline distT="0" distB="0" distL="114300" distR="114300">
            <wp:extent cx="5260340" cy="7438390"/>
            <wp:effectExtent l="0" t="0" r="16510" b="10160"/>
            <wp:docPr id="1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2"/>
                    <pic:cNvPicPr>
                      <a:picLocks noChangeAspect="1"/>
                    </pic:cNvPicPr>
                  </pic:nvPicPr>
                  <pic:blipFill>
                    <a:blip r:embed="rId106"/>
                    <a:stretch>
                      <a:fillRect/>
                    </a:stretch>
                  </pic:blipFill>
                  <pic:spPr>
                    <a:xfrm>
                      <a:off x="0" y="0"/>
                      <a:ext cx="5260340" cy="7438390"/>
                    </a:xfrm>
                    <a:prstGeom prst="rect">
                      <a:avLst/>
                    </a:prstGeom>
                    <a:noFill/>
                    <a:ln>
                      <a:noFill/>
                    </a:ln>
                  </pic:spPr>
                </pic:pic>
              </a:graphicData>
            </a:graphic>
          </wp:inline>
        </w:drawing>
      </w:r>
      <w:r>
        <w:rPr>
          <w:color w:val="auto"/>
        </w:rPr>
        <w:drawing>
          <wp:inline distT="0" distB="0" distL="114300" distR="114300">
            <wp:extent cx="5393690" cy="7626985"/>
            <wp:effectExtent l="0" t="0" r="16510" b="12065"/>
            <wp:docPr id="1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3"/>
                    <pic:cNvPicPr>
                      <a:picLocks noChangeAspect="1"/>
                    </pic:cNvPicPr>
                  </pic:nvPicPr>
                  <pic:blipFill>
                    <a:blip r:embed="rId107"/>
                    <a:stretch>
                      <a:fillRect/>
                    </a:stretch>
                  </pic:blipFill>
                  <pic:spPr>
                    <a:xfrm>
                      <a:off x="0" y="0"/>
                      <a:ext cx="5393690" cy="7626985"/>
                    </a:xfrm>
                    <a:prstGeom prst="rect">
                      <a:avLst/>
                    </a:prstGeom>
                    <a:noFill/>
                    <a:ln>
                      <a:noFill/>
                    </a:ln>
                  </pic:spPr>
                </pic:pic>
              </a:graphicData>
            </a:graphic>
          </wp:inline>
        </w:drawing>
      </w:r>
      <w:bookmarkStart w:id="77" w:name="_Toc32580"/>
    </w:p>
    <w:p w14:paraId="11475C42">
      <w:pPr>
        <w:pStyle w:val="2"/>
        <w:spacing w:before="0" w:after="0" w:line="240" w:lineRule="auto"/>
        <w:ind w:left="431" w:hanging="431"/>
        <w:rPr>
          <w:rFonts w:hint="eastAsia"/>
          <w:sz w:val="24"/>
          <w:szCs w:val="24"/>
          <w:highlight w:val="none"/>
          <w:shd w:val="clear"/>
        </w:rPr>
      </w:pPr>
      <w:r>
        <w:rPr>
          <w:rFonts w:hint="eastAsia"/>
          <w:sz w:val="24"/>
          <w:szCs w:val="24"/>
          <w:highlight w:val="none"/>
          <w:shd w:val="clear"/>
        </w:rPr>
        <w:t>附件</w:t>
      </w:r>
      <w:r>
        <w:rPr>
          <w:rFonts w:hint="eastAsia"/>
          <w:sz w:val="24"/>
          <w:szCs w:val="24"/>
          <w:highlight w:val="none"/>
          <w:shd w:val="clear"/>
          <w:lang w:val="en-US" w:eastAsia="zh-CN"/>
        </w:rPr>
        <w:t>5</w:t>
      </w:r>
      <w:r>
        <w:rPr>
          <w:rFonts w:hint="eastAsia"/>
          <w:sz w:val="24"/>
          <w:szCs w:val="24"/>
          <w:highlight w:val="none"/>
          <w:shd w:val="clear"/>
        </w:rPr>
        <w:t xml:space="preserve"> 现状检测报告</w:t>
      </w:r>
      <w:bookmarkEnd w:id="77"/>
    </w:p>
    <w:p w14:paraId="5FF2E938">
      <w:pPr>
        <w:pStyle w:val="23"/>
        <w:ind w:left="0" w:leftChars="0" w:firstLine="0" w:firstLineChars="0"/>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69230" cy="7435215"/>
            <wp:effectExtent l="0" t="0" r="7620" b="13335"/>
            <wp:docPr id="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pic:cNvPicPr>
                      <a:picLocks noChangeAspect="1"/>
                    </pic:cNvPicPr>
                  </pic:nvPicPr>
                  <pic:blipFill>
                    <a:blip r:embed="rId108"/>
                    <a:stretch>
                      <a:fillRect/>
                    </a:stretch>
                  </pic:blipFill>
                  <pic:spPr>
                    <a:xfrm>
                      <a:off x="0" y="0"/>
                      <a:ext cx="5269230" cy="7435215"/>
                    </a:xfrm>
                    <a:prstGeom prst="rect">
                      <a:avLst/>
                    </a:prstGeom>
                    <a:noFill/>
                    <a:ln>
                      <a:noFill/>
                    </a:ln>
                  </pic:spPr>
                </pic:pic>
              </a:graphicData>
            </a:graphic>
          </wp:inline>
        </w:drawing>
      </w:r>
      <w:r>
        <w:drawing>
          <wp:inline distT="0" distB="0" distL="114300" distR="114300">
            <wp:extent cx="5269865" cy="7438390"/>
            <wp:effectExtent l="0" t="0" r="6985" b="10160"/>
            <wp:docPr id="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pic:cNvPicPr>
                      <a:picLocks noChangeAspect="1"/>
                    </pic:cNvPicPr>
                  </pic:nvPicPr>
                  <pic:blipFill>
                    <a:blip r:embed="rId109"/>
                    <a:stretch>
                      <a:fillRect/>
                    </a:stretch>
                  </pic:blipFill>
                  <pic:spPr>
                    <a:xfrm>
                      <a:off x="0" y="0"/>
                      <a:ext cx="5269865" cy="7438390"/>
                    </a:xfrm>
                    <a:prstGeom prst="rect">
                      <a:avLst/>
                    </a:prstGeom>
                    <a:noFill/>
                    <a:ln>
                      <a:noFill/>
                    </a:ln>
                  </pic:spPr>
                </pic:pic>
              </a:graphicData>
            </a:graphic>
          </wp:inline>
        </w:drawing>
      </w:r>
      <w:r>
        <w:drawing>
          <wp:inline distT="0" distB="0" distL="114300" distR="114300">
            <wp:extent cx="5269230" cy="7381875"/>
            <wp:effectExtent l="0" t="0" r="7620" b="9525"/>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110"/>
                    <a:stretch>
                      <a:fillRect/>
                    </a:stretch>
                  </pic:blipFill>
                  <pic:spPr>
                    <a:xfrm>
                      <a:off x="0" y="0"/>
                      <a:ext cx="5269230" cy="7381875"/>
                    </a:xfrm>
                    <a:prstGeom prst="rect">
                      <a:avLst/>
                    </a:prstGeom>
                    <a:noFill/>
                    <a:ln>
                      <a:noFill/>
                    </a:ln>
                  </pic:spPr>
                </pic:pic>
              </a:graphicData>
            </a:graphic>
          </wp:inline>
        </w:drawing>
      </w:r>
      <w:r>
        <w:drawing>
          <wp:inline distT="0" distB="0" distL="114300" distR="114300">
            <wp:extent cx="5271135" cy="7459980"/>
            <wp:effectExtent l="0" t="0" r="5715" b="7620"/>
            <wp:docPr id="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pic:cNvPicPr>
                      <a:picLocks noChangeAspect="1"/>
                    </pic:cNvPicPr>
                  </pic:nvPicPr>
                  <pic:blipFill>
                    <a:blip r:embed="rId111"/>
                    <a:stretch>
                      <a:fillRect/>
                    </a:stretch>
                  </pic:blipFill>
                  <pic:spPr>
                    <a:xfrm>
                      <a:off x="0" y="0"/>
                      <a:ext cx="5271135" cy="7459980"/>
                    </a:xfrm>
                    <a:prstGeom prst="rect">
                      <a:avLst/>
                    </a:prstGeom>
                    <a:noFill/>
                    <a:ln>
                      <a:noFill/>
                    </a:ln>
                  </pic:spPr>
                </pic:pic>
              </a:graphicData>
            </a:graphic>
          </wp:inline>
        </w:drawing>
      </w:r>
      <w:r>
        <w:drawing>
          <wp:inline distT="0" distB="0" distL="114300" distR="114300">
            <wp:extent cx="5269230" cy="7435215"/>
            <wp:effectExtent l="0" t="0" r="7620" b="13335"/>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112"/>
                    <a:stretch>
                      <a:fillRect/>
                    </a:stretch>
                  </pic:blipFill>
                  <pic:spPr>
                    <a:xfrm>
                      <a:off x="0" y="0"/>
                      <a:ext cx="5269230" cy="7435215"/>
                    </a:xfrm>
                    <a:prstGeom prst="rect">
                      <a:avLst/>
                    </a:prstGeom>
                    <a:noFill/>
                    <a:ln>
                      <a:noFill/>
                    </a:ln>
                  </pic:spPr>
                </pic:pic>
              </a:graphicData>
            </a:graphic>
          </wp:inline>
        </w:drawing>
      </w:r>
      <w:r>
        <w:drawing>
          <wp:inline distT="0" distB="0" distL="114300" distR="114300">
            <wp:extent cx="5269865" cy="7465060"/>
            <wp:effectExtent l="0" t="0" r="6985" b="2540"/>
            <wp:docPr id="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pic:cNvPicPr>
                      <a:picLocks noChangeAspect="1"/>
                    </pic:cNvPicPr>
                  </pic:nvPicPr>
                  <pic:blipFill>
                    <a:blip r:embed="rId113"/>
                    <a:stretch>
                      <a:fillRect/>
                    </a:stretch>
                  </pic:blipFill>
                  <pic:spPr>
                    <a:xfrm>
                      <a:off x="0" y="0"/>
                      <a:ext cx="5269865" cy="7465060"/>
                    </a:xfrm>
                    <a:prstGeom prst="rect">
                      <a:avLst/>
                    </a:prstGeom>
                    <a:noFill/>
                    <a:ln>
                      <a:noFill/>
                    </a:ln>
                  </pic:spPr>
                </pic:pic>
              </a:graphicData>
            </a:graphic>
          </wp:inline>
        </w:drawing>
      </w:r>
      <w:r>
        <w:drawing>
          <wp:inline distT="0" distB="0" distL="114300" distR="114300">
            <wp:extent cx="5271135" cy="7433310"/>
            <wp:effectExtent l="0" t="0" r="5715" b="15240"/>
            <wp:docPr id="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9"/>
                    <pic:cNvPicPr>
                      <a:picLocks noChangeAspect="1"/>
                    </pic:cNvPicPr>
                  </pic:nvPicPr>
                  <pic:blipFill>
                    <a:blip r:embed="rId114"/>
                    <a:stretch>
                      <a:fillRect/>
                    </a:stretch>
                  </pic:blipFill>
                  <pic:spPr>
                    <a:xfrm>
                      <a:off x="0" y="0"/>
                      <a:ext cx="5271135" cy="7433310"/>
                    </a:xfrm>
                    <a:prstGeom prst="rect">
                      <a:avLst/>
                    </a:prstGeom>
                    <a:noFill/>
                    <a:ln>
                      <a:noFill/>
                    </a:ln>
                  </pic:spPr>
                </pic:pic>
              </a:graphicData>
            </a:graphic>
          </wp:inline>
        </w:drawing>
      </w:r>
      <w:r>
        <w:drawing>
          <wp:inline distT="0" distB="0" distL="114300" distR="114300">
            <wp:extent cx="5273040" cy="7359015"/>
            <wp:effectExtent l="0" t="0" r="3810" b="13335"/>
            <wp:docPr id="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pic:cNvPicPr>
                      <a:picLocks noChangeAspect="1"/>
                    </pic:cNvPicPr>
                  </pic:nvPicPr>
                  <pic:blipFill>
                    <a:blip r:embed="rId115"/>
                    <a:stretch>
                      <a:fillRect/>
                    </a:stretch>
                  </pic:blipFill>
                  <pic:spPr>
                    <a:xfrm>
                      <a:off x="0" y="0"/>
                      <a:ext cx="5273040" cy="7359015"/>
                    </a:xfrm>
                    <a:prstGeom prst="rect">
                      <a:avLst/>
                    </a:prstGeom>
                    <a:noFill/>
                    <a:ln>
                      <a:noFill/>
                    </a:ln>
                  </pic:spPr>
                </pic:pic>
              </a:graphicData>
            </a:graphic>
          </wp:inline>
        </w:drawing>
      </w:r>
      <w:r>
        <w:drawing>
          <wp:inline distT="0" distB="0" distL="114300" distR="114300">
            <wp:extent cx="5272405" cy="7418705"/>
            <wp:effectExtent l="0" t="0" r="4445" b="10795"/>
            <wp:docPr id="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1"/>
                    <pic:cNvPicPr>
                      <a:picLocks noChangeAspect="1"/>
                    </pic:cNvPicPr>
                  </pic:nvPicPr>
                  <pic:blipFill>
                    <a:blip r:embed="rId116"/>
                    <a:stretch>
                      <a:fillRect/>
                    </a:stretch>
                  </pic:blipFill>
                  <pic:spPr>
                    <a:xfrm>
                      <a:off x="0" y="0"/>
                      <a:ext cx="5272405" cy="7418705"/>
                    </a:xfrm>
                    <a:prstGeom prst="rect">
                      <a:avLst/>
                    </a:prstGeom>
                    <a:noFill/>
                    <a:ln>
                      <a:noFill/>
                    </a:ln>
                  </pic:spPr>
                </pic:pic>
              </a:graphicData>
            </a:graphic>
          </wp:inline>
        </w:drawing>
      </w:r>
      <w:r>
        <w:drawing>
          <wp:inline distT="0" distB="0" distL="114300" distR="114300">
            <wp:extent cx="5269230" cy="7444105"/>
            <wp:effectExtent l="0" t="0" r="7620" b="4445"/>
            <wp:docPr id="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2"/>
                    <pic:cNvPicPr>
                      <a:picLocks noChangeAspect="1"/>
                    </pic:cNvPicPr>
                  </pic:nvPicPr>
                  <pic:blipFill>
                    <a:blip r:embed="rId117"/>
                    <a:stretch>
                      <a:fillRect/>
                    </a:stretch>
                  </pic:blipFill>
                  <pic:spPr>
                    <a:xfrm>
                      <a:off x="0" y="0"/>
                      <a:ext cx="5269230" cy="7444105"/>
                    </a:xfrm>
                    <a:prstGeom prst="rect">
                      <a:avLst/>
                    </a:prstGeom>
                    <a:noFill/>
                    <a:ln>
                      <a:noFill/>
                    </a:ln>
                  </pic:spPr>
                </pic:pic>
              </a:graphicData>
            </a:graphic>
          </wp:inline>
        </w:drawing>
      </w:r>
      <w:r>
        <w:drawing>
          <wp:inline distT="0" distB="0" distL="114300" distR="114300">
            <wp:extent cx="5271135" cy="7415530"/>
            <wp:effectExtent l="0" t="0" r="5715" b="13970"/>
            <wp:docPr id="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pic:cNvPicPr>
                      <a:picLocks noChangeAspect="1"/>
                    </pic:cNvPicPr>
                  </pic:nvPicPr>
                  <pic:blipFill>
                    <a:blip r:embed="rId118"/>
                    <a:stretch>
                      <a:fillRect/>
                    </a:stretch>
                  </pic:blipFill>
                  <pic:spPr>
                    <a:xfrm>
                      <a:off x="0" y="0"/>
                      <a:ext cx="5271135" cy="7415530"/>
                    </a:xfrm>
                    <a:prstGeom prst="rect">
                      <a:avLst/>
                    </a:prstGeom>
                    <a:noFill/>
                    <a:ln>
                      <a:noFill/>
                    </a:ln>
                  </pic:spPr>
                </pic:pic>
              </a:graphicData>
            </a:graphic>
          </wp:inline>
        </w:drawing>
      </w:r>
      <w:r>
        <w:drawing>
          <wp:inline distT="0" distB="0" distL="114300" distR="114300">
            <wp:extent cx="5273675" cy="7476490"/>
            <wp:effectExtent l="0" t="0" r="3175" b="10160"/>
            <wp:docPr id="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4"/>
                    <pic:cNvPicPr>
                      <a:picLocks noChangeAspect="1"/>
                    </pic:cNvPicPr>
                  </pic:nvPicPr>
                  <pic:blipFill>
                    <a:blip r:embed="rId119"/>
                    <a:stretch>
                      <a:fillRect/>
                    </a:stretch>
                  </pic:blipFill>
                  <pic:spPr>
                    <a:xfrm>
                      <a:off x="0" y="0"/>
                      <a:ext cx="5273675" cy="7476490"/>
                    </a:xfrm>
                    <a:prstGeom prst="rect">
                      <a:avLst/>
                    </a:prstGeom>
                    <a:noFill/>
                    <a:ln>
                      <a:noFill/>
                    </a:ln>
                  </pic:spPr>
                </pic:pic>
              </a:graphicData>
            </a:graphic>
          </wp:inline>
        </w:drawing>
      </w:r>
      <w:r>
        <w:drawing>
          <wp:inline distT="0" distB="0" distL="114300" distR="114300">
            <wp:extent cx="5269230" cy="7417435"/>
            <wp:effectExtent l="0" t="0" r="7620" b="12065"/>
            <wp:docPr id="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5"/>
                    <pic:cNvPicPr>
                      <a:picLocks noChangeAspect="1"/>
                    </pic:cNvPicPr>
                  </pic:nvPicPr>
                  <pic:blipFill>
                    <a:blip r:embed="rId120"/>
                    <a:stretch>
                      <a:fillRect/>
                    </a:stretch>
                  </pic:blipFill>
                  <pic:spPr>
                    <a:xfrm>
                      <a:off x="0" y="0"/>
                      <a:ext cx="5269230" cy="7417435"/>
                    </a:xfrm>
                    <a:prstGeom prst="rect">
                      <a:avLst/>
                    </a:prstGeom>
                    <a:noFill/>
                    <a:ln>
                      <a:noFill/>
                    </a:ln>
                  </pic:spPr>
                </pic:pic>
              </a:graphicData>
            </a:graphic>
          </wp:inline>
        </w:drawing>
      </w:r>
      <w:r>
        <w:drawing>
          <wp:inline distT="0" distB="0" distL="114300" distR="114300">
            <wp:extent cx="5271135" cy="7433310"/>
            <wp:effectExtent l="0" t="0" r="5715" b="15240"/>
            <wp:docPr id="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
                    <pic:cNvPicPr>
                      <a:picLocks noChangeAspect="1"/>
                    </pic:cNvPicPr>
                  </pic:nvPicPr>
                  <pic:blipFill>
                    <a:blip r:embed="rId121"/>
                    <a:stretch>
                      <a:fillRect/>
                    </a:stretch>
                  </pic:blipFill>
                  <pic:spPr>
                    <a:xfrm>
                      <a:off x="0" y="0"/>
                      <a:ext cx="5271135" cy="7433310"/>
                    </a:xfrm>
                    <a:prstGeom prst="rect">
                      <a:avLst/>
                    </a:prstGeom>
                    <a:noFill/>
                    <a:ln>
                      <a:noFill/>
                    </a:ln>
                  </pic:spPr>
                </pic:pic>
              </a:graphicData>
            </a:graphic>
          </wp:inline>
        </w:drawing>
      </w:r>
      <w:r>
        <w:drawing>
          <wp:inline distT="0" distB="0" distL="114300" distR="114300">
            <wp:extent cx="5269865" cy="7402830"/>
            <wp:effectExtent l="0" t="0" r="6985" b="7620"/>
            <wp:docPr id="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pic:cNvPicPr>
                      <a:picLocks noChangeAspect="1"/>
                    </pic:cNvPicPr>
                  </pic:nvPicPr>
                  <pic:blipFill>
                    <a:blip r:embed="rId122"/>
                    <a:stretch>
                      <a:fillRect/>
                    </a:stretch>
                  </pic:blipFill>
                  <pic:spPr>
                    <a:xfrm>
                      <a:off x="0" y="0"/>
                      <a:ext cx="5269865" cy="7402830"/>
                    </a:xfrm>
                    <a:prstGeom prst="rect">
                      <a:avLst/>
                    </a:prstGeom>
                    <a:noFill/>
                    <a:ln>
                      <a:noFill/>
                    </a:ln>
                  </pic:spPr>
                </pic:pic>
              </a:graphicData>
            </a:graphic>
          </wp:inline>
        </w:drawing>
      </w:r>
      <w:r>
        <w:drawing>
          <wp:inline distT="0" distB="0" distL="114300" distR="114300">
            <wp:extent cx="5270500" cy="7475220"/>
            <wp:effectExtent l="0" t="0" r="6350" b="11430"/>
            <wp:docPr id="6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8"/>
                    <pic:cNvPicPr>
                      <a:picLocks noChangeAspect="1"/>
                    </pic:cNvPicPr>
                  </pic:nvPicPr>
                  <pic:blipFill>
                    <a:blip r:embed="rId123"/>
                    <a:stretch>
                      <a:fillRect/>
                    </a:stretch>
                  </pic:blipFill>
                  <pic:spPr>
                    <a:xfrm>
                      <a:off x="0" y="0"/>
                      <a:ext cx="5270500" cy="7475220"/>
                    </a:xfrm>
                    <a:prstGeom prst="rect">
                      <a:avLst/>
                    </a:prstGeom>
                    <a:noFill/>
                    <a:ln>
                      <a:noFill/>
                    </a:ln>
                  </pic:spPr>
                </pic:pic>
              </a:graphicData>
            </a:graphic>
          </wp:inline>
        </w:drawing>
      </w:r>
      <w:r>
        <w:drawing>
          <wp:inline distT="0" distB="0" distL="114300" distR="114300">
            <wp:extent cx="5272405" cy="7536180"/>
            <wp:effectExtent l="0" t="0" r="4445" b="7620"/>
            <wp:docPr id="6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9"/>
                    <pic:cNvPicPr>
                      <a:picLocks noChangeAspect="1"/>
                    </pic:cNvPicPr>
                  </pic:nvPicPr>
                  <pic:blipFill>
                    <a:blip r:embed="rId124"/>
                    <a:stretch>
                      <a:fillRect/>
                    </a:stretch>
                  </pic:blipFill>
                  <pic:spPr>
                    <a:xfrm>
                      <a:off x="0" y="0"/>
                      <a:ext cx="5272405" cy="7536180"/>
                    </a:xfrm>
                    <a:prstGeom prst="rect">
                      <a:avLst/>
                    </a:prstGeom>
                    <a:noFill/>
                    <a:ln>
                      <a:noFill/>
                    </a:ln>
                  </pic:spPr>
                </pic:pic>
              </a:graphicData>
            </a:graphic>
          </wp:inline>
        </w:drawing>
      </w:r>
      <w:r>
        <w:drawing>
          <wp:inline distT="0" distB="0" distL="114300" distR="114300">
            <wp:extent cx="5271135" cy="7424420"/>
            <wp:effectExtent l="0" t="0" r="5715" b="5080"/>
            <wp:docPr id="4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0"/>
                    <pic:cNvPicPr>
                      <a:picLocks noChangeAspect="1"/>
                    </pic:cNvPicPr>
                  </pic:nvPicPr>
                  <pic:blipFill>
                    <a:blip r:embed="rId125"/>
                    <a:stretch>
                      <a:fillRect/>
                    </a:stretch>
                  </pic:blipFill>
                  <pic:spPr>
                    <a:xfrm>
                      <a:off x="0" y="0"/>
                      <a:ext cx="5271135" cy="7424420"/>
                    </a:xfrm>
                    <a:prstGeom prst="rect">
                      <a:avLst/>
                    </a:prstGeom>
                    <a:noFill/>
                    <a:ln>
                      <a:noFill/>
                    </a:ln>
                  </pic:spPr>
                </pic:pic>
              </a:graphicData>
            </a:graphic>
          </wp:inline>
        </w:drawing>
      </w:r>
      <w:r>
        <w:drawing>
          <wp:inline distT="0" distB="0" distL="114300" distR="114300">
            <wp:extent cx="5048250" cy="7124700"/>
            <wp:effectExtent l="0" t="0" r="0" b="0"/>
            <wp:docPr id="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
                    <pic:cNvPicPr>
                      <a:picLocks noChangeAspect="1"/>
                    </pic:cNvPicPr>
                  </pic:nvPicPr>
                  <pic:blipFill>
                    <a:blip r:embed="rId126"/>
                    <a:stretch>
                      <a:fillRect/>
                    </a:stretch>
                  </pic:blipFill>
                  <pic:spPr>
                    <a:xfrm>
                      <a:off x="0" y="0"/>
                      <a:ext cx="5048250" cy="7124700"/>
                    </a:xfrm>
                    <a:prstGeom prst="rect">
                      <a:avLst/>
                    </a:prstGeom>
                    <a:noFill/>
                    <a:ln>
                      <a:noFill/>
                    </a:ln>
                  </pic:spPr>
                </pic:pic>
              </a:graphicData>
            </a:graphic>
          </wp:inline>
        </w:drawing>
      </w:r>
      <w:r>
        <w:drawing>
          <wp:inline distT="0" distB="0" distL="114300" distR="114300">
            <wp:extent cx="5057775" cy="7172325"/>
            <wp:effectExtent l="0" t="0" r="9525" b="9525"/>
            <wp:docPr id="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2"/>
                    <pic:cNvPicPr>
                      <a:picLocks noChangeAspect="1"/>
                    </pic:cNvPicPr>
                  </pic:nvPicPr>
                  <pic:blipFill>
                    <a:blip r:embed="rId127"/>
                    <a:stretch>
                      <a:fillRect/>
                    </a:stretch>
                  </pic:blipFill>
                  <pic:spPr>
                    <a:xfrm>
                      <a:off x="0" y="0"/>
                      <a:ext cx="5057775" cy="7172325"/>
                    </a:xfrm>
                    <a:prstGeom prst="rect">
                      <a:avLst/>
                    </a:prstGeom>
                    <a:noFill/>
                    <a:ln>
                      <a:noFill/>
                    </a:ln>
                  </pic:spPr>
                </pic:pic>
              </a:graphicData>
            </a:graphic>
          </wp:inline>
        </w:drawing>
      </w:r>
      <w:r>
        <w:drawing>
          <wp:inline distT="0" distB="0" distL="114300" distR="114300">
            <wp:extent cx="5105400" cy="7172325"/>
            <wp:effectExtent l="0" t="0" r="0" b="9525"/>
            <wp:docPr id="2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3"/>
                    <pic:cNvPicPr>
                      <a:picLocks noChangeAspect="1"/>
                    </pic:cNvPicPr>
                  </pic:nvPicPr>
                  <pic:blipFill>
                    <a:blip r:embed="rId128"/>
                    <a:stretch>
                      <a:fillRect/>
                    </a:stretch>
                  </pic:blipFill>
                  <pic:spPr>
                    <a:xfrm>
                      <a:off x="0" y="0"/>
                      <a:ext cx="5105400" cy="7172325"/>
                    </a:xfrm>
                    <a:prstGeom prst="rect">
                      <a:avLst/>
                    </a:prstGeom>
                    <a:noFill/>
                    <a:ln>
                      <a:noFill/>
                    </a:ln>
                  </pic:spPr>
                </pic:pic>
              </a:graphicData>
            </a:graphic>
          </wp:inline>
        </w:drawing>
      </w:r>
      <w:r>
        <w:drawing>
          <wp:inline distT="0" distB="0" distL="114300" distR="114300">
            <wp:extent cx="5086350" cy="7172325"/>
            <wp:effectExtent l="0" t="0" r="0" b="9525"/>
            <wp:docPr id="3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4"/>
                    <pic:cNvPicPr>
                      <a:picLocks noChangeAspect="1"/>
                    </pic:cNvPicPr>
                  </pic:nvPicPr>
                  <pic:blipFill>
                    <a:blip r:embed="rId129"/>
                    <a:stretch>
                      <a:fillRect/>
                    </a:stretch>
                  </pic:blipFill>
                  <pic:spPr>
                    <a:xfrm>
                      <a:off x="0" y="0"/>
                      <a:ext cx="5086350" cy="7172325"/>
                    </a:xfrm>
                    <a:prstGeom prst="rect">
                      <a:avLst/>
                    </a:prstGeom>
                    <a:noFill/>
                    <a:ln>
                      <a:noFill/>
                    </a:ln>
                  </pic:spPr>
                </pic:pic>
              </a:graphicData>
            </a:graphic>
          </wp:inline>
        </w:drawing>
      </w:r>
      <w:r>
        <w:drawing>
          <wp:inline distT="0" distB="0" distL="114300" distR="114300">
            <wp:extent cx="5067300" cy="7191375"/>
            <wp:effectExtent l="0" t="0" r="0" b="9525"/>
            <wp:docPr id="3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5"/>
                    <pic:cNvPicPr>
                      <a:picLocks noChangeAspect="1"/>
                    </pic:cNvPicPr>
                  </pic:nvPicPr>
                  <pic:blipFill>
                    <a:blip r:embed="rId130"/>
                    <a:stretch>
                      <a:fillRect/>
                    </a:stretch>
                  </pic:blipFill>
                  <pic:spPr>
                    <a:xfrm>
                      <a:off x="0" y="0"/>
                      <a:ext cx="5067300" cy="7191375"/>
                    </a:xfrm>
                    <a:prstGeom prst="rect">
                      <a:avLst/>
                    </a:prstGeom>
                    <a:noFill/>
                    <a:ln>
                      <a:noFill/>
                    </a:ln>
                  </pic:spPr>
                </pic:pic>
              </a:graphicData>
            </a:graphic>
          </wp:inline>
        </w:drawing>
      </w:r>
      <w:r>
        <w:drawing>
          <wp:inline distT="0" distB="0" distL="114300" distR="114300">
            <wp:extent cx="5105400" cy="7172325"/>
            <wp:effectExtent l="0" t="0" r="0" b="9525"/>
            <wp:docPr id="4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6"/>
                    <pic:cNvPicPr>
                      <a:picLocks noChangeAspect="1"/>
                    </pic:cNvPicPr>
                  </pic:nvPicPr>
                  <pic:blipFill>
                    <a:blip r:embed="rId131"/>
                    <a:stretch>
                      <a:fillRect/>
                    </a:stretch>
                  </pic:blipFill>
                  <pic:spPr>
                    <a:xfrm>
                      <a:off x="0" y="0"/>
                      <a:ext cx="5105400" cy="7172325"/>
                    </a:xfrm>
                    <a:prstGeom prst="rect">
                      <a:avLst/>
                    </a:prstGeom>
                    <a:noFill/>
                    <a:ln>
                      <a:noFill/>
                    </a:ln>
                  </pic:spPr>
                </pic:pic>
              </a:graphicData>
            </a:graphic>
          </wp:inline>
        </w:drawing>
      </w:r>
      <w:r>
        <w:drawing>
          <wp:inline distT="0" distB="0" distL="114300" distR="114300">
            <wp:extent cx="5057775" cy="7181850"/>
            <wp:effectExtent l="0" t="0" r="9525" b="0"/>
            <wp:docPr id="2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7"/>
                    <pic:cNvPicPr>
                      <a:picLocks noChangeAspect="1"/>
                    </pic:cNvPicPr>
                  </pic:nvPicPr>
                  <pic:blipFill>
                    <a:blip r:embed="rId132"/>
                    <a:stretch>
                      <a:fillRect/>
                    </a:stretch>
                  </pic:blipFill>
                  <pic:spPr>
                    <a:xfrm>
                      <a:off x="0" y="0"/>
                      <a:ext cx="5057775" cy="7181850"/>
                    </a:xfrm>
                    <a:prstGeom prst="rect">
                      <a:avLst/>
                    </a:prstGeom>
                    <a:noFill/>
                    <a:ln>
                      <a:noFill/>
                    </a:ln>
                  </pic:spPr>
                </pic:pic>
              </a:graphicData>
            </a:graphic>
          </wp:inline>
        </w:drawing>
      </w:r>
    </w:p>
    <w:p w14:paraId="49321C5F">
      <w:pPr>
        <w:pStyle w:val="2"/>
        <w:spacing w:before="0" w:after="0" w:line="240" w:lineRule="auto"/>
        <w:ind w:left="11" w:leftChars="0" w:hanging="11" w:firstLineChars="0"/>
        <w:jc w:val="left"/>
        <w:rPr>
          <w:rFonts w:hint="eastAsia" w:ascii="Times New Roman" w:hAnsi="Times New Roman" w:cs="Times New Roman"/>
          <w:sz w:val="24"/>
          <w:szCs w:val="24"/>
        </w:rPr>
      </w:pPr>
      <w:r>
        <w:rPr>
          <w:rFonts w:hint="eastAsia" w:ascii="Times New Roman" w:hAnsi="Times New Roman" w:cs="Times New Roman"/>
          <w:sz w:val="24"/>
          <w:szCs w:val="24"/>
        </w:rPr>
        <w:t>附件</w:t>
      </w:r>
      <w:r>
        <w:rPr>
          <w:rFonts w:hint="eastAsia" w:cs="Times New Roman"/>
          <w:sz w:val="24"/>
          <w:szCs w:val="24"/>
          <w:lang w:val="en-US" w:eastAsia="zh-CN"/>
        </w:rPr>
        <w:t>6</w:t>
      </w:r>
      <w:r>
        <w:rPr>
          <w:rFonts w:hint="eastAsia" w:ascii="Times New Roman" w:hAnsi="Times New Roman" w:cs="Times New Roman"/>
          <w:sz w:val="24"/>
          <w:szCs w:val="24"/>
        </w:rPr>
        <w:t xml:space="preserve"> “</w:t>
      </w:r>
      <w:r>
        <w:rPr>
          <w:rFonts w:hint="eastAsia" w:cs="Times New Roman"/>
          <w:sz w:val="24"/>
          <w:szCs w:val="24"/>
          <w:lang w:eastAsia="zh-CN"/>
        </w:rPr>
        <w:t>生态环境分区管控</w:t>
      </w:r>
      <w:r>
        <w:rPr>
          <w:rFonts w:hint="eastAsia" w:ascii="Times New Roman" w:hAnsi="Times New Roman" w:cs="Times New Roman"/>
          <w:sz w:val="24"/>
          <w:szCs w:val="24"/>
        </w:rPr>
        <w:t>”符合性分析报告</w:t>
      </w:r>
    </w:p>
    <w:p w14:paraId="4E71EF14">
      <w:pPr>
        <w:jc w:val="center"/>
        <w:rPr>
          <w:rFonts w:hint="eastAsia"/>
          <w:lang w:val="en-US" w:eastAsia="zh-CN"/>
        </w:rPr>
      </w:pPr>
      <w:r>
        <w:drawing>
          <wp:inline distT="0" distB="0" distL="114300" distR="114300">
            <wp:extent cx="6705600" cy="4709160"/>
            <wp:effectExtent l="0" t="0" r="0" b="15240"/>
            <wp:docPr id="21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63"/>
                    <pic:cNvPicPr>
                      <a:picLocks noChangeAspect="1"/>
                    </pic:cNvPicPr>
                  </pic:nvPicPr>
                  <pic:blipFill>
                    <a:blip r:embed="rId133"/>
                    <a:stretch>
                      <a:fillRect/>
                    </a:stretch>
                  </pic:blipFill>
                  <pic:spPr>
                    <a:xfrm>
                      <a:off x="0" y="0"/>
                      <a:ext cx="6705600" cy="4709160"/>
                    </a:xfrm>
                    <a:prstGeom prst="rect">
                      <a:avLst/>
                    </a:prstGeom>
                    <a:noFill/>
                    <a:ln>
                      <a:noFill/>
                    </a:ln>
                  </pic:spPr>
                </pic:pic>
              </a:graphicData>
            </a:graphic>
          </wp:inline>
        </w:drawing>
      </w:r>
      <w:r>
        <w:drawing>
          <wp:inline distT="0" distB="0" distL="114300" distR="114300">
            <wp:extent cx="7134225" cy="5019675"/>
            <wp:effectExtent l="0" t="0" r="9525" b="9525"/>
            <wp:docPr id="21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4"/>
                    <pic:cNvPicPr>
                      <a:picLocks noChangeAspect="1"/>
                    </pic:cNvPicPr>
                  </pic:nvPicPr>
                  <pic:blipFill>
                    <a:blip r:embed="rId134"/>
                    <a:stretch>
                      <a:fillRect/>
                    </a:stretch>
                  </pic:blipFill>
                  <pic:spPr>
                    <a:xfrm>
                      <a:off x="0" y="0"/>
                      <a:ext cx="7134225" cy="5019675"/>
                    </a:xfrm>
                    <a:prstGeom prst="rect">
                      <a:avLst/>
                    </a:prstGeom>
                    <a:noFill/>
                    <a:ln>
                      <a:noFill/>
                    </a:ln>
                  </pic:spPr>
                </pic:pic>
              </a:graphicData>
            </a:graphic>
          </wp:inline>
        </w:drawing>
      </w:r>
      <w:r>
        <w:drawing>
          <wp:inline distT="0" distB="0" distL="114300" distR="114300">
            <wp:extent cx="7143750" cy="5048250"/>
            <wp:effectExtent l="0" t="0" r="0" b="0"/>
            <wp:docPr id="21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5"/>
                    <pic:cNvPicPr>
                      <a:picLocks noChangeAspect="1"/>
                    </pic:cNvPicPr>
                  </pic:nvPicPr>
                  <pic:blipFill>
                    <a:blip r:embed="rId135"/>
                    <a:stretch>
                      <a:fillRect/>
                    </a:stretch>
                  </pic:blipFill>
                  <pic:spPr>
                    <a:xfrm>
                      <a:off x="0" y="0"/>
                      <a:ext cx="7143750" cy="5048250"/>
                    </a:xfrm>
                    <a:prstGeom prst="rect">
                      <a:avLst/>
                    </a:prstGeom>
                    <a:noFill/>
                    <a:ln>
                      <a:noFill/>
                    </a:ln>
                  </pic:spPr>
                </pic:pic>
              </a:graphicData>
            </a:graphic>
          </wp:inline>
        </w:drawing>
      </w:r>
      <w:r>
        <w:drawing>
          <wp:inline distT="0" distB="0" distL="114300" distR="114300">
            <wp:extent cx="7134225" cy="5048250"/>
            <wp:effectExtent l="0" t="0" r="9525" b="0"/>
            <wp:docPr id="21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6"/>
                    <pic:cNvPicPr>
                      <a:picLocks noChangeAspect="1"/>
                    </pic:cNvPicPr>
                  </pic:nvPicPr>
                  <pic:blipFill>
                    <a:blip r:embed="rId136"/>
                    <a:stretch>
                      <a:fillRect/>
                    </a:stretch>
                  </pic:blipFill>
                  <pic:spPr>
                    <a:xfrm>
                      <a:off x="0" y="0"/>
                      <a:ext cx="7134225" cy="5048250"/>
                    </a:xfrm>
                    <a:prstGeom prst="rect">
                      <a:avLst/>
                    </a:prstGeom>
                    <a:noFill/>
                    <a:ln>
                      <a:noFill/>
                    </a:ln>
                  </pic:spPr>
                </pic:pic>
              </a:graphicData>
            </a:graphic>
          </wp:inline>
        </w:drawing>
      </w:r>
      <w:r>
        <w:drawing>
          <wp:inline distT="0" distB="0" distL="114300" distR="114300">
            <wp:extent cx="7172325" cy="5086350"/>
            <wp:effectExtent l="0" t="0" r="9525" b="0"/>
            <wp:docPr id="21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7"/>
                    <pic:cNvPicPr>
                      <a:picLocks noChangeAspect="1"/>
                    </pic:cNvPicPr>
                  </pic:nvPicPr>
                  <pic:blipFill>
                    <a:blip r:embed="rId137"/>
                    <a:stretch>
                      <a:fillRect/>
                    </a:stretch>
                  </pic:blipFill>
                  <pic:spPr>
                    <a:xfrm>
                      <a:off x="0" y="0"/>
                      <a:ext cx="7172325" cy="5086350"/>
                    </a:xfrm>
                    <a:prstGeom prst="rect">
                      <a:avLst/>
                    </a:prstGeom>
                    <a:noFill/>
                    <a:ln>
                      <a:noFill/>
                    </a:ln>
                  </pic:spPr>
                </pic:pic>
              </a:graphicData>
            </a:graphic>
          </wp:inline>
        </w:drawing>
      </w:r>
      <w:r>
        <w:drawing>
          <wp:inline distT="0" distB="0" distL="114300" distR="114300">
            <wp:extent cx="7124700" cy="5029200"/>
            <wp:effectExtent l="0" t="0" r="0" b="0"/>
            <wp:docPr id="21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68"/>
                    <pic:cNvPicPr>
                      <a:picLocks noChangeAspect="1"/>
                    </pic:cNvPicPr>
                  </pic:nvPicPr>
                  <pic:blipFill>
                    <a:blip r:embed="rId138"/>
                    <a:stretch>
                      <a:fillRect/>
                    </a:stretch>
                  </pic:blipFill>
                  <pic:spPr>
                    <a:xfrm>
                      <a:off x="0" y="0"/>
                      <a:ext cx="7124700" cy="5029200"/>
                    </a:xfrm>
                    <a:prstGeom prst="rect">
                      <a:avLst/>
                    </a:prstGeom>
                    <a:noFill/>
                    <a:ln>
                      <a:noFill/>
                    </a:ln>
                  </pic:spPr>
                </pic:pic>
              </a:graphicData>
            </a:graphic>
          </wp:inline>
        </w:drawing>
      </w:r>
      <w:r>
        <w:drawing>
          <wp:inline distT="0" distB="0" distL="114300" distR="114300">
            <wp:extent cx="7143750" cy="5057775"/>
            <wp:effectExtent l="0" t="0" r="0" b="9525"/>
            <wp:docPr id="21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9"/>
                    <pic:cNvPicPr>
                      <a:picLocks noChangeAspect="1"/>
                    </pic:cNvPicPr>
                  </pic:nvPicPr>
                  <pic:blipFill>
                    <a:blip r:embed="rId139"/>
                    <a:stretch>
                      <a:fillRect/>
                    </a:stretch>
                  </pic:blipFill>
                  <pic:spPr>
                    <a:xfrm>
                      <a:off x="0" y="0"/>
                      <a:ext cx="7143750" cy="5057775"/>
                    </a:xfrm>
                    <a:prstGeom prst="rect">
                      <a:avLst/>
                    </a:prstGeom>
                    <a:noFill/>
                    <a:ln>
                      <a:noFill/>
                    </a:ln>
                  </pic:spPr>
                </pic:pic>
              </a:graphicData>
            </a:graphic>
          </wp:inline>
        </w:drawing>
      </w:r>
      <w:r>
        <w:drawing>
          <wp:inline distT="0" distB="0" distL="114300" distR="114300">
            <wp:extent cx="7143750" cy="5048250"/>
            <wp:effectExtent l="0" t="0" r="0" b="0"/>
            <wp:docPr id="22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0"/>
                    <pic:cNvPicPr>
                      <a:picLocks noChangeAspect="1"/>
                    </pic:cNvPicPr>
                  </pic:nvPicPr>
                  <pic:blipFill>
                    <a:blip r:embed="rId140"/>
                    <a:stretch>
                      <a:fillRect/>
                    </a:stretch>
                  </pic:blipFill>
                  <pic:spPr>
                    <a:xfrm>
                      <a:off x="0" y="0"/>
                      <a:ext cx="7143750" cy="5048250"/>
                    </a:xfrm>
                    <a:prstGeom prst="rect">
                      <a:avLst/>
                    </a:prstGeom>
                    <a:noFill/>
                    <a:ln>
                      <a:noFill/>
                    </a:ln>
                  </pic:spPr>
                </pic:pic>
              </a:graphicData>
            </a:graphic>
          </wp:inline>
        </w:drawing>
      </w:r>
      <w:r>
        <w:drawing>
          <wp:inline distT="0" distB="0" distL="114300" distR="114300">
            <wp:extent cx="7124700" cy="5057775"/>
            <wp:effectExtent l="0" t="0" r="0" b="9525"/>
            <wp:docPr id="22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1"/>
                    <pic:cNvPicPr>
                      <a:picLocks noChangeAspect="1"/>
                    </pic:cNvPicPr>
                  </pic:nvPicPr>
                  <pic:blipFill>
                    <a:blip r:embed="rId141"/>
                    <a:stretch>
                      <a:fillRect/>
                    </a:stretch>
                  </pic:blipFill>
                  <pic:spPr>
                    <a:xfrm>
                      <a:off x="0" y="0"/>
                      <a:ext cx="7124700" cy="5057775"/>
                    </a:xfrm>
                    <a:prstGeom prst="rect">
                      <a:avLst/>
                    </a:prstGeom>
                    <a:noFill/>
                    <a:ln>
                      <a:noFill/>
                    </a:ln>
                  </pic:spPr>
                </pic:pic>
              </a:graphicData>
            </a:graphic>
          </wp:inline>
        </w:drawing>
      </w:r>
      <w:r>
        <w:drawing>
          <wp:inline distT="0" distB="0" distL="114300" distR="114300">
            <wp:extent cx="7134225" cy="5000625"/>
            <wp:effectExtent l="0" t="0" r="9525" b="9525"/>
            <wp:docPr id="22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72"/>
                    <pic:cNvPicPr>
                      <a:picLocks noChangeAspect="1"/>
                    </pic:cNvPicPr>
                  </pic:nvPicPr>
                  <pic:blipFill>
                    <a:blip r:embed="rId142"/>
                    <a:stretch>
                      <a:fillRect/>
                    </a:stretch>
                  </pic:blipFill>
                  <pic:spPr>
                    <a:xfrm>
                      <a:off x="0" y="0"/>
                      <a:ext cx="7134225" cy="5000625"/>
                    </a:xfrm>
                    <a:prstGeom prst="rect">
                      <a:avLst/>
                    </a:prstGeom>
                    <a:noFill/>
                    <a:ln>
                      <a:noFill/>
                    </a:ln>
                  </pic:spPr>
                </pic:pic>
              </a:graphicData>
            </a:graphic>
          </wp:inline>
        </w:drawing>
      </w:r>
      <w:r>
        <w:drawing>
          <wp:inline distT="0" distB="0" distL="114300" distR="114300">
            <wp:extent cx="7143750" cy="5038725"/>
            <wp:effectExtent l="0" t="0" r="0" b="9525"/>
            <wp:docPr id="22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73"/>
                    <pic:cNvPicPr>
                      <a:picLocks noChangeAspect="1"/>
                    </pic:cNvPicPr>
                  </pic:nvPicPr>
                  <pic:blipFill>
                    <a:blip r:embed="rId143"/>
                    <a:stretch>
                      <a:fillRect/>
                    </a:stretch>
                  </pic:blipFill>
                  <pic:spPr>
                    <a:xfrm>
                      <a:off x="0" y="0"/>
                      <a:ext cx="7143750" cy="5038725"/>
                    </a:xfrm>
                    <a:prstGeom prst="rect">
                      <a:avLst/>
                    </a:prstGeom>
                    <a:noFill/>
                    <a:ln>
                      <a:noFill/>
                    </a:ln>
                  </pic:spPr>
                </pic:pic>
              </a:graphicData>
            </a:graphic>
          </wp:inline>
        </w:drawing>
      </w:r>
      <w:r>
        <w:drawing>
          <wp:inline distT="0" distB="0" distL="114300" distR="114300">
            <wp:extent cx="7134225" cy="5038725"/>
            <wp:effectExtent l="0" t="0" r="9525" b="9525"/>
            <wp:docPr id="22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74"/>
                    <pic:cNvPicPr>
                      <a:picLocks noChangeAspect="1"/>
                    </pic:cNvPicPr>
                  </pic:nvPicPr>
                  <pic:blipFill>
                    <a:blip r:embed="rId144"/>
                    <a:stretch>
                      <a:fillRect/>
                    </a:stretch>
                  </pic:blipFill>
                  <pic:spPr>
                    <a:xfrm>
                      <a:off x="0" y="0"/>
                      <a:ext cx="7134225" cy="5038725"/>
                    </a:xfrm>
                    <a:prstGeom prst="rect">
                      <a:avLst/>
                    </a:prstGeom>
                    <a:noFill/>
                    <a:ln>
                      <a:noFill/>
                    </a:ln>
                  </pic:spPr>
                </pic:pic>
              </a:graphicData>
            </a:graphic>
          </wp:inline>
        </w:drawing>
      </w:r>
      <w:r>
        <w:drawing>
          <wp:inline distT="0" distB="0" distL="114300" distR="114300">
            <wp:extent cx="7143750" cy="5048250"/>
            <wp:effectExtent l="0" t="0" r="0" b="0"/>
            <wp:docPr id="22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75"/>
                    <pic:cNvPicPr>
                      <a:picLocks noChangeAspect="1"/>
                    </pic:cNvPicPr>
                  </pic:nvPicPr>
                  <pic:blipFill>
                    <a:blip r:embed="rId145"/>
                    <a:stretch>
                      <a:fillRect/>
                    </a:stretch>
                  </pic:blipFill>
                  <pic:spPr>
                    <a:xfrm>
                      <a:off x="0" y="0"/>
                      <a:ext cx="7143750" cy="5048250"/>
                    </a:xfrm>
                    <a:prstGeom prst="rect">
                      <a:avLst/>
                    </a:prstGeom>
                    <a:noFill/>
                    <a:ln>
                      <a:noFill/>
                    </a:ln>
                  </pic:spPr>
                </pic:pic>
              </a:graphicData>
            </a:graphic>
          </wp:inline>
        </w:drawing>
      </w:r>
      <w:r>
        <w:drawing>
          <wp:inline distT="0" distB="0" distL="114300" distR="114300">
            <wp:extent cx="7105650" cy="5029200"/>
            <wp:effectExtent l="0" t="0" r="0" b="0"/>
            <wp:docPr id="22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76"/>
                    <pic:cNvPicPr>
                      <a:picLocks noChangeAspect="1"/>
                    </pic:cNvPicPr>
                  </pic:nvPicPr>
                  <pic:blipFill>
                    <a:blip r:embed="rId146"/>
                    <a:stretch>
                      <a:fillRect/>
                    </a:stretch>
                  </pic:blipFill>
                  <pic:spPr>
                    <a:xfrm>
                      <a:off x="0" y="0"/>
                      <a:ext cx="7105650" cy="5029200"/>
                    </a:xfrm>
                    <a:prstGeom prst="rect">
                      <a:avLst/>
                    </a:prstGeom>
                    <a:noFill/>
                    <a:ln>
                      <a:noFill/>
                    </a:ln>
                  </pic:spPr>
                </pic:pic>
              </a:graphicData>
            </a:graphic>
          </wp:inline>
        </w:drawing>
      </w:r>
      <w:r>
        <w:drawing>
          <wp:inline distT="0" distB="0" distL="114300" distR="114300">
            <wp:extent cx="7124700" cy="5057775"/>
            <wp:effectExtent l="0" t="0" r="0" b="9525"/>
            <wp:docPr id="22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77"/>
                    <pic:cNvPicPr>
                      <a:picLocks noChangeAspect="1"/>
                    </pic:cNvPicPr>
                  </pic:nvPicPr>
                  <pic:blipFill>
                    <a:blip r:embed="rId147"/>
                    <a:stretch>
                      <a:fillRect/>
                    </a:stretch>
                  </pic:blipFill>
                  <pic:spPr>
                    <a:xfrm>
                      <a:off x="0" y="0"/>
                      <a:ext cx="7124700" cy="5057775"/>
                    </a:xfrm>
                    <a:prstGeom prst="rect">
                      <a:avLst/>
                    </a:prstGeom>
                    <a:noFill/>
                    <a:ln>
                      <a:noFill/>
                    </a:ln>
                  </pic:spPr>
                </pic:pic>
              </a:graphicData>
            </a:graphic>
          </wp:inline>
        </w:drawing>
      </w:r>
      <w:r>
        <w:drawing>
          <wp:inline distT="0" distB="0" distL="114300" distR="114300">
            <wp:extent cx="7096125" cy="5010150"/>
            <wp:effectExtent l="0" t="0" r="9525" b="0"/>
            <wp:docPr id="22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78"/>
                    <pic:cNvPicPr>
                      <a:picLocks noChangeAspect="1"/>
                    </pic:cNvPicPr>
                  </pic:nvPicPr>
                  <pic:blipFill>
                    <a:blip r:embed="rId148"/>
                    <a:stretch>
                      <a:fillRect/>
                    </a:stretch>
                  </pic:blipFill>
                  <pic:spPr>
                    <a:xfrm>
                      <a:off x="0" y="0"/>
                      <a:ext cx="7096125" cy="5010150"/>
                    </a:xfrm>
                    <a:prstGeom prst="rect">
                      <a:avLst/>
                    </a:prstGeom>
                    <a:noFill/>
                    <a:ln>
                      <a:noFill/>
                    </a:ln>
                  </pic:spPr>
                </pic:pic>
              </a:graphicData>
            </a:graphic>
          </wp:inline>
        </w:drawing>
      </w:r>
    </w:p>
    <w:p w14:paraId="4403E8F0">
      <w:pPr>
        <w:jc w:val="center"/>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C8FA5C3">
      <w:pPr>
        <w:pStyle w:val="74"/>
        <w:spacing w:line="240" w:lineRule="auto"/>
        <w:ind w:firstLine="0" w:firstLineChars="0"/>
        <w:jc w:val="center"/>
        <w:rPr>
          <w:rFonts w:hint="eastAsia" w:eastAsia="宋体"/>
          <w:lang w:eastAsia="zh-CN"/>
        </w:rPr>
      </w:pPr>
      <w:r>
        <w:rPr>
          <w:sz w:val="24"/>
        </w:rPr>
        <mc:AlternateContent>
          <mc:Choice Requires="wps">
            <w:drawing>
              <wp:anchor distT="0" distB="0" distL="114300" distR="114300" simplePos="0" relativeHeight="251667456" behindDoc="0" locked="0" layoutInCell="1" allowOverlap="1">
                <wp:simplePos x="0" y="0"/>
                <wp:positionH relativeFrom="column">
                  <wp:posOffset>6519545</wp:posOffset>
                </wp:positionH>
                <wp:positionV relativeFrom="paragraph">
                  <wp:posOffset>2619375</wp:posOffset>
                </wp:positionV>
                <wp:extent cx="1903095" cy="1524635"/>
                <wp:effectExtent l="12700" t="537845" r="27305" b="13970"/>
                <wp:wrapNone/>
                <wp:docPr id="36" name="矩形标注 36"/>
                <wp:cNvGraphicFramePr/>
                <a:graphic xmlns:a="http://schemas.openxmlformats.org/drawingml/2006/main">
                  <a:graphicData uri="http://schemas.microsoft.com/office/word/2010/wordprocessingShape">
                    <wps:wsp>
                      <wps:cNvSpPr/>
                      <wps:spPr>
                        <a:xfrm>
                          <a:off x="5749290" y="2404745"/>
                          <a:ext cx="1903095" cy="1524635"/>
                        </a:xfrm>
                        <a:prstGeom prst="wedgeRectCallout">
                          <a:avLst>
                            <a:gd name="adj1" fmla="val -750"/>
                            <a:gd name="adj2" fmla="val -84443"/>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8483861">
                            <w:pPr>
                              <w:jc w:val="center"/>
                              <w:rPr>
                                <w:rFonts w:hint="eastAsia" w:eastAsia="宋体"/>
                                <w:lang w:eastAsia="zh-CN"/>
                              </w:rPr>
                            </w:pPr>
                            <w:r>
                              <w:drawing>
                                <wp:inline distT="0" distB="0" distL="114300" distR="114300">
                                  <wp:extent cx="1524000" cy="1381125"/>
                                  <wp:effectExtent l="0" t="0" r="0" b="9525"/>
                                  <wp:docPr id="23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1"/>
                                          <pic:cNvPicPr>
                                            <a:picLocks noChangeAspect="1"/>
                                          </pic:cNvPicPr>
                                        </pic:nvPicPr>
                                        <pic:blipFill>
                                          <a:blip r:embed="rId149"/>
                                          <a:stretch>
                                            <a:fillRect/>
                                          </a:stretch>
                                        </pic:blipFill>
                                        <pic:spPr>
                                          <a:xfrm>
                                            <a:off x="0" y="0"/>
                                            <a:ext cx="1524000" cy="1381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13.35pt;margin-top:206.25pt;height:120.05pt;width:149.85pt;z-index:251667456;v-text-anchor:middle;mso-width-relative:page;mso-height-relative:page;" filled="f" stroked="t" coordsize="21600,21600" o:gfxdata="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DAiWQTcAAAADQEAAA8AAAAAAAAAAQAgAAAAIgAAAGRycy9k&#10;b3ducmV2LnhtbFBLAQIUABQAAAAIAIdO4kD47bfkqQIAADEFAAAOAAAAAAAAAAEAIAAAACsBAABk&#10;cnMvZTJvRG9jLnhtbFBLBQYAAAAABgAGAFkBAABGBgAAAAA=&#10;" adj="10638,-7440">
                <v:fill on="f" focussize="0,0"/>
                <v:stroke weight="2pt" color="#000000 [3213]" joinstyle="round"/>
                <v:imagedata o:title=""/>
                <o:lock v:ext="edit" aspectratio="f"/>
                <v:textbox>
                  <w:txbxContent>
                    <w:p w14:paraId="38483861">
                      <w:pPr>
                        <w:jc w:val="center"/>
                        <w:rPr>
                          <w:rFonts w:hint="eastAsia" w:eastAsia="宋体"/>
                          <w:lang w:eastAsia="zh-CN"/>
                        </w:rPr>
                      </w:pPr>
                      <w:r>
                        <w:drawing>
                          <wp:inline distT="0" distB="0" distL="114300" distR="114300">
                            <wp:extent cx="1524000" cy="1381125"/>
                            <wp:effectExtent l="0" t="0" r="0" b="9525"/>
                            <wp:docPr id="23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1"/>
                                    <pic:cNvPicPr>
                                      <a:picLocks noChangeAspect="1"/>
                                    </pic:cNvPicPr>
                                  </pic:nvPicPr>
                                  <pic:blipFill>
                                    <a:blip r:embed="rId149"/>
                                    <a:stretch>
                                      <a:fillRect/>
                                    </a:stretch>
                                  </pic:blipFill>
                                  <pic:spPr>
                                    <a:xfrm>
                                      <a:off x="0" y="0"/>
                                      <a:ext cx="1524000" cy="1381125"/>
                                    </a:xfrm>
                                    <a:prstGeom prst="rect">
                                      <a:avLst/>
                                    </a:prstGeom>
                                    <a:noFill/>
                                    <a:ln>
                                      <a:noFill/>
                                    </a:ln>
                                  </pic:spPr>
                                </pic:pic>
                              </a:graphicData>
                            </a:graphic>
                          </wp:inline>
                        </w:drawing>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2079625</wp:posOffset>
                </wp:positionH>
                <wp:positionV relativeFrom="paragraph">
                  <wp:posOffset>635000</wp:posOffset>
                </wp:positionV>
                <wp:extent cx="1856740" cy="1631315"/>
                <wp:effectExtent l="1144905" t="12700" r="27305" b="13335"/>
                <wp:wrapNone/>
                <wp:docPr id="114" name="矩形标注 114"/>
                <wp:cNvGraphicFramePr/>
                <a:graphic xmlns:a="http://schemas.openxmlformats.org/drawingml/2006/main">
                  <a:graphicData uri="http://schemas.microsoft.com/office/word/2010/wordprocessingShape">
                    <wps:wsp>
                      <wps:cNvSpPr/>
                      <wps:spPr>
                        <a:xfrm>
                          <a:off x="0" y="0"/>
                          <a:ext cx="1856740" cy="1631315"/>
                        </a:xfrm>
                        <a:prstGeom prst="wedgeRectCallout">
                          <a:avLst>
                            <a:gd name="adj1" fmla="val -110978"/>
                            <a:gd name="adj2" fmla="val 2199"/>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8E3550D">
                            <w:pPr>
                              <w:jc w:val="center"/>
                              <w:rPr>
                                <w:rFonts w:hint="eastAsia" w:eastAsia="宋体"/>
                                <w:lang w:eastAsia="zh-CN"/>
                              </w:rPr>
                            </w:pPr>
                            <w:r>
                              <w:drawing>
                                <wp:inline distT="0" distB="0" distL="114300" distR="114300">
                                  <wp:extent cx="1645920" cy="1546225"/>
                                  <wp:effectExtent l="0" t="0" r="11430" b="15875"/>
                                  <wp:docPr id="23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80"/>
                                          <pic:cNvPicPr>
                                            <a:picLocks noChangeAspect="1"/>
                                          </pic:cNvPicPr>
                                        </pic:nvPicPr>
                                        <pic:blipFill>
                                          <a:blip r:embed="rId150"/>
                                          <a:stretch>
                                            <a:fillRect/>
                                          </a:stretch>
                                        </pic:blipFill>
                                        <pic:spPr>
                                          <a:xfrm>
                                            <a:off x="0" y="0"/>
                                            <a:ext cx="1645920" cy="15462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3.75pt;margin-top:50pt;height:128.45pt;width:146.2pt;z-index:251669504;v-text-anchor:middle;mso-width-relative:page;mso-height-relative:page;" filled="f" stroked="t" coordsize="21600,21600" o:gfxdata="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CoMajzZAAAACwEAAA8AAAAAAAAAAQAgAAAAIgAAAGRycy9kb3ducmV2LnhtbFBLAQIU&#10;ABQAAAAIAIdO4kAZSBa9nQIAACgFAAAOAAAAAAAAAAEAIAAAACgBAABkcnMvZTJvRG9jLnhtbFBL&#10;BQYAAAAABgAGAFkBAAA3BgAAAAA=&#10;" adj="-13171,11275">
                <v:fill on="f" focussize="0,0"/>
                <v:stroke weight="2pt" color="#000000 [3213]" joinstyle="round"/>
                <v:imagedata o:title=""/>
                <o:lock v:ext="edit" aspectratio="f"/>
                <v:textbox>
                  <w:txbxContent>
                    <w:p w14:paraId="68E3550D">
                      <w:pPr>
                        <w:jc w:val="center"/>
                        <w:rPr>
                          <w:rFonts w:hint="eastAsia" w:eastAsia="宋体"/>
                          <w:lang w:eastAsia="zh-CN"/>
                        </w:rPr>
                      </w:pPr>
                      <w:r>
                        <w:drawing>
                          <wp:inline distT="0" distB="0" distL="114300" distR="114300">
                            <wp:extent cx="1645920" cy="1546225"/>
                            <wp:effectExtent l="0" t="0" r="11430" b="15875"/>
                            <wp:docPr id="23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80"/>
                                    <pic:cNvPicPr>
                                      <a:picLocks noChangeAspect="1"/>
                                    </pic:cNvPicPr>
                                  </pic:nvPicPr>
                                  <pic:blipFill>
                                    <a:blip r:embed="rId150"/>
                                    <a:stretch>
                                      <a:fillRect/>
                                    </a:stretch>
                                  </pic:blipFill>
                                  <pic:spPr>
                                    <a:xfrm>
                                      <a:off x="0" y="0"/>
                                      <a:ext cx="1645920" cy="1546225"/>
                                    </a:xfrm>
                                    <a:prstGeom prst="rect">
                                      <a:avLst/>
                                    </a:prstGeom>
                                    <a:noFill/>
                                    <a:ln>
                                      <a:noFill/>
                                    </a:ln>
                                  </pic:spPr>
                                </pic:pic>
                              </a:graphicData>
                            </a:graphic>
                          </wp:inline>
                        </w:drawing>
                      </w:r>
                    </w:p>
                  </w:txbxContent>
                </v:textbox>
              </v:shape>
            </w:pict>
          </mc:Fallback>
        </mc:AlternateContent>
      </w:r>
      <w:r>
        <w:drawing>
          <wp:inline distT="0" distB="0" distL="114300" distR="114300">
            <wp:extent cx="8856345" cy="4259580"/>
            <wp:effectExtent l="0" t="0" r="1905" b="7620"/>
            <wp:docPr id="22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79"/>
                    <pic:cNvPicPr>
                      <a:picLocks noChangeAspect="1"/>
                    </pic:cNvPicPr>
                  </pic:nvPicPr>
                  <pic:blipFill>
                    <a:blip r:embed="rId151"/>
                    <a:stretch>
                      <a:fillRect/>
                    </a:stretch>
                  </pic:blipFill>
                  <pic:spPr>
                    <a:xfrm>
                      <a:off x="0" y="0"/>
                      <a:ext cx="8856345" cy="4259580"/>
                    </a:xfrm>
                    <a:prstGeom prst="rect">
                      <a:avLst/>
                    </a:prstGeom>
                    <a:noFill/>
                    <a:ln>
                      <a:noFill/>
                    </a:ln>
                  </pic:spPr>
                </pic:pic>
              </a:graphicData>
            </a:graphic>
          </wp:inline>
        </w:drawing>
      </w:r>
      <w:r>
        <w:rPr>
          <w:rFonts w:ascii="宋体" w:hAnsi="宋体" w:eastAsia="宋体" w:cs="宋体"/>
          <w:sz w:val="24"/>
          <w:szCs w:val="24"/>
        </w:rPr>
        <w:drawing>
          <wp:anchor distT="0" distB="0" distL="114300" distR="114300" simplePos="0" relativeHeight="251668480" behindDoc="0" locked="0" layoutInCell="1" allowOverlap="1">
            <wp:simplePos x="0" y="0"/>
            <wp:positionH relativeFrom="column">
              <wp:posOffset>8195310</wp:posOffset>
            </wp:positionH>
            <wp:positionV relativeFrom="paragraph">
              <wp:posOffset>33655</wp:posOffset>
            </wp:positionV>
            <wp:extent cx="638175" cy="638175"/>
            <wp:effectExtent l="0" t="0" r="9525" b="9525"/>
            <wp:wrapNone/>
            <wp:docPr id="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G_256"/>
                    <pic:cNvPicPr>
                      <a:picLocks noChangeAspect="1"/>
                    </pic:cNvPicPr>
                  </pic:nvPicPr>
                  <pic:blipFill>
                    <a:blip r:embed="rId152"/>
                    <a:stretch>
                      <a:fillRect/>
                    </a:stretch>
                  </pic:blipFill>
                  <pic:spPr>
                    <a:xfrm>
                      <a:off x="0" y="0"/>
                      <a:ext cx="638175" cy="638175"/>
                    </a:xfrm>
                    <a:prstGeom prst="rect">
                      <a:avLst/>
                    </a:prstGeom>
                    <a:noFill/>
                    <a:ln>
                      <a:noFill/>
                    </a:ln>
                  </pic:spPr>
                </pic:pic>
              </a:graphicData>
            </a:graphic>
          </wp:anchor>
        </w:drawing>
      </w:r>
    </w:p>
    <w:p w14:paraId="7C9E395E">
      <w:pPr>
        <w:pStyle w:val="2"/>
        <w:spacing w:before="0" w:after="0" w:line="240" w:lineRule="auto"/>
        <w:ind w:left="431" w:hanging="431"/>
        <w:jc w:val="center"/>
        <w:rPr>
          <w:sz w:val="24"/>
          <w:szCs w:val="24"/>
        </w:rPr>
        <w:sectPr>
          <w:footerReference r:id="rId6" w:type="default"/>
          <w:pgSz w:w="16838" w:h="11906" w:orient="landscape"/>
          <w:pgMar w:top="1800" w:right="1440" w:bottom="1800" w:left="1440" w:header="851" w:footer="1077" w:gutter="0"/>
          <w:pgBorders>
            <w:top w:val="none" w:sz="0" w:space="0"/>
            <w:left w:val="none" w:sz="0" w:space="0"/>
            <w:bottom w:val="none" w:sz="0" w:space="0"/>
            <w:right w:val="none" w:sz="0" w:space="0"/>
          </w:pgBorders>
          <w:cols w:space="720" w:num="1"/>
          <w:docGrid w:linePitch="312" w:charSpace="0"/>
        </w:sectPr>
      </w:pPr>
      <w:bookmarkStart w:id="78" w:name="_Toc16676"/>
      <w:r>
        <w:rPr>
          <w:rFonts w:hint="eastAsia"/>
          <w:sz w:val="24"/>
          <w:szCs w:val="24"/>
        </w:rPr>
        <w:t>附图1 建设项目地理位置图</w:t>
      </w:r>
      <w:bookmarkEnd w:id="78"/>
    </w:p>
    <w:p w14:paraId="1BAE7AE0">
      <w:pPr>
        <w:jc w:val="center"/>
        <w:rPr>
          <w:rFonts w:hint="eastAsia" w:eastAsia="宋体"/>
          <w:lang w:eastAsia="zh-CN"/>
        </w:rPr>
      </w:pPr>
      <w:r>
        <w:rPr>
          <w:sz w:val="24"/>
        </w:rPr>
        <mc:AlternateContent>
          <mc:Choice Requires="wps">
            <w:drawing>
              <wp:anchor distT="0" distB="0" distL="114300" distR="114300" simplePos="0" relativeHeight="251683840" behindDoc="0" locked="0" layoutInCell="1" allowOverlap="1">
                <wp:simplePos x="0" y="0"/>
                <wp:positionH relativeFrom="column">
                  <wp:posOffset>1591310</wp:posOffset>
                </wp:positionH>
                <wp:positionV relativeFrom="paragraph">
                  <wp:posOffset>63500</wp:posOffset>
                </wp:positionV>
                <wp:extent cx="2249805" cy="1952625"/>
                <wp:effectExtent l="1059815" t="12700" r="24130" b="15875"/>
                <wp:wrapNone/>
                <wp:docPr id="235" name="矩形标注 235"/>
                <wp:cNvGraphicFramePr/>
                <a:graphic xmlns:a="http://schemas.openxmlformats.org/drawingml/2006/main">
                  <a:graphicData uri="http://schemas.microsoft.com/office/word/2010/wordprocessingShape">
                    <wps:wsp>
                      <wps:cNvSpPr/>
                      <wps:spPr>
                        <a:xfrm>
                          <a:off x="0" y="0"/>
                          <a:ext cx="2249805" cy="1952625"/>
                        </a:xfrm>
                        <a:prstGeom prst="wedgeRectCallout">
                          <a:avLst>
                            <a:gd name="adj1" fmla="val -96542"/>
                            <a:gd name="adj2" fmla="val -11528"/>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7EBF267">
                            <w:pPr>
                              <w:jc w:val="center"/>
                              <w:rPr>
                                <w:rFonts w:hint="eastAsia" w:eastAsia="宋体"/>
                                <w:lang w:eastAsia="zh-CN"/>
                              </w:rPr>
                            </w:pPr>
                            <w:r>
                              <w:drawing>
                                <wp:inline distT="0" distB="0" distL="114300" distR="114300">
                                  <wp:extent cx="2025650" cy="1903095"/>
                                  <wp:effectExtent l="0" t="0" r="12700" b="1905"/>
                                  <wp:docPr id="23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80"/>
                                          <pic:cNvPicPr>
                                            <a:picLocks noChangeAspect="1"/>
                                          </pic:cNvPicPr>
                                        </pic:nvPicPr>
                                        <pic:blipFill>
                                          <a:blip r:embed="rId150"/>
                                          <a:stretch>
                                            <a:fillRect/>
                                          </a:stretch>
                                        </pic:blipFill>
                                        <pic:spPr>
                                          <a:xfrm>
                                            <a:off x="0" y="0"/>
                                            <a:ext cx="2025650" cy="19030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5.3pt;margin-top:5pt;height:153.75pt;width:177.15pt;z-index:251683840;v-text-anchor:middle;mso-width-relative:page;mso-height-relative:page;" filled="f" stroked="t" coordsize="21600,21600" o:gfxdata="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DfK/i7ZAAAACgEAAA8AAAAAAAAAAQAgAAAAIgAAAGRycy9kb3ducmV2LnhtbFBLAQIU&#10;ABQAAAAIAIdO4kAZRFkZnQIAACkFAAAOAAAAAAAAAAEAIAAAACgBAABkcnMvZTJvRG9jLnhtbFBL&#10;BQYAAAAABgAGAFkBAAA3BgAAAAA=&#10;" adj="-10053,8310">
                <v:fill on="f" focussize="0,0"/>
                <v:stroke weight="2pt" color="#000000 [3213]" joinstyle="round"/>
                <v:imagedata o:title=""/>
                <o:lock v:ext="edit" aspectratio="f"/>
                <v:textbox>
                  <w:txbxContent>
                    <w:p w14:paraId="77EBF267">
                      <w:pPr>
                        <w:jc w:val="center"/>
                        <w:rPr>
                          <w:rFonts w:hint="eastAsia" w:eastAsia="宋体"/>
                          <w:lang w:eastAsia="zh-CN"/>
                        </w:rPr>
                      </w:pPr>
                      <w:r>
                        <w:drawing>
                          <wp:inline distT="0" distB="0" distL="114300" distR="114300">
                            <wp:extent cx="2025650" cy="1903095"/>
                            <wp:effectExtent l="0" t="0" r="12700" b="1905"/>
                            <wp:docPr id="23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80"/>
                                    <pic:cNvPicPr>
                                      <a:picLocks noChangeAspect="1"/>
                                    </pic:cNvPicPr>
                                  </pic:nvPicPr>
                                  <pic:blipFill>
                                    <a:blip r:embed="rId150"/>
                                    <a:stretch>
                                      <a:fillRect/>
                                    </a:stretch>
                                  </pic:blipFill>
                                  <pic:spPr>
                                    <a:xfrm>
                                      <a:off x="0" y="0"/>
                                      <a:ext cx="2025650" cy="1903095"/>
                                    </a:xfrm>
                                    <a:prstGeom prst="rect">
                                      <a:avLst/>
                                    </a:prstGeom>
                                    <a:noFill/>
                                    <a:ln>
                                      <a:noFill/>
                                    </a:ln>
                                  </pic:spPr>
                                </pic:pic>
                              </a:graphicData>
                            </a:graphic>
                          </wp:inline>
                        </w:drawing>
                      </w:r>
                    </w:p>
                  </w:txbxContent>
                </v:textbox>
              </v:shape>
            </w:pict>
          </mc:Fallback>
        </mc:AlternateContent>
      </w:r>
      <w:r>
        <w:drawing>
          <wp:inline distT="0" distB="0" distL="114300" distR="114300">
            <wp:extent cx="8850630" cy="3761105"/>
            <wp:effectExtent l="0" t="0" r="7620" b="10795"/>
            <wp:docPr id="23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83"/>
                    <pic:cNvPicPr>
                      <a:picLocks noChangeAspect="1"/>
                    </pic:cNvPicPr>
                  </pic:nvPicPr>
                  <pic:blipFill>
                    <a:blip r:embed="rId153"/>
                    <a:stretch>
                      <a:fillRect/>
                    </a:stretch>
                  </pic:blipFill>
                  <pic:spPr>
                    <a:xfrm>
                      <a:off x="0" y="0"/>
                      <a:ext cx="8850630" cy="3761105"/>
                    </a:xfrm>
                    <a:prstGeom prst="rect">
                      <a:avLst/>
                    </a:prstGeom>
                    <a:noFill/>
                    <a:ln>
                      <a:noFill/>
                    </a:ln>
                  </pic:spPr>
                </pic:pic>
              </a:graphicData>
            </a:graphic>
          </wp:inline>
        </w:drawing>
      </w:r>
    </w:p>
    <w:p w14:paraId="75DDA932">
      <w:pPr>
        <w:pStyle w:val="2"/>
        <w:spacing w:before="0" w:after="0" w:line="240" w:lineRule="auto"/>
        <w:ind w:left="431" w:hanging="431"/>
        <w:jc w:val="center"/>
        <w:rPr>
          <w:sz w:val="24"/>
          <w:szCs w:val="24"/>
        </w:rPr>
        <w:sectPr>
          <w:pgSz w:w="16838" w:h="11906" w:orient="landscape"/>
          <w:pgMar w:top="1800" w:right="1440" w:bottom="1800" w:left="1440" w:header="851" w:footer="1077" w:gutter="0"/>
          <w:pgBorders>
            <w:top w:val="none" w:sz="0" w:space="0"/>
            <w:left w:val="none" w:sz="0" w:space="0"/>
            <w:bottom w:val="none" w:sz="0" w:space="0"/>
            <w:right w:val="none" w:sz="0" w:space="0"/>
          </w:pgBorders>
          <w:cols w:space="720" w:num="1"/>
          <w:docGrid w:linePitch="312" w:charSpace="0"/>
        </w:sectPr>
      </w:pPr>
      <w:bookmarkStart w:id="79" w:name="_Toc19470"/>
      <w:r>
        <w:rPr>
          <w:rFonts w:hint="eastAsia"/>
          <w:sz w:val="24"/>
          <w:szCs w:val="24"/>
        </w:rPr>
        <w:t>附图2 输电线路</w:t>
      </w:r>
      <w:r>
        <w:rPr>
          <w:rFonts w:hint="eastAsia"/>
          <w:sz w:val="24"/>
          <w:szCs w:val="24"/>
          <w:lang w:val="en-US" w:eastAsia="zh-CN"/>
        </w:rPr>
        <w:t>路径</w:t>
      </w:r>
      <w:r>
        <w:rPr>
          <w:rFonts w:hint="eastAsia"/>
          <w:sz w:val="24"/>
          <w:szCs w:val="24"/>
        </w:rPr>
        <w:t>图</w:t>
      </w:r>
      <w:bookmarkEnd w:id="79"/>
    </w:p>
    <w:p w14:paraId="7919E68C">
      <w:pPr>
        <w:jc w:val="center"/>
        <w:rPr>
          <w:rFonts w:hint="eastAsia" w:eastAsia="宋体"/>
          <w:lang w:eastAsia="zh-CN"/>
        </w:rPr>
      </w:pPr>
      <w:r>
        <mc:AlternateContent>
          <mc:Choice Requires="wps">
            <w:drawing>
              <wp:anchor distT="0" distB="0" distL="114300" distR="114300" simplePos="0" relativeHeight="251661312" behindDoc="0" locked="0" layoutInCell="1" allowOverlap="1">
                <wp:simplePos x="0" y="0"/>
                <wp:positionH relativeFrom="column">
                  <wp:posOffset>2761615</wp:posOffset>
                </wp:positionH>
                <wp:positionV relativeFrom="paragraph">
                  <wp:posOffset>2164080</wp:posOffset>
                </wp:positionV>
                <wp:extent cx="1217930" cy="345440"/>
                <wp:effectExtent l="12700" t="12700" r="26670" b="1203960"/>
                <wp:wrapNone/>
                <wp:docPr id="81" name="矩形标注 81"/>
                <wp:cNvGraphicFramePr/>
                <a:graphic xmlns:a="http://schemas.openxmlformats.org/drawingml/2006/main">
                  <a:graphicData uri="http://schemas.microsoft.com/office/word/2010/wordprocessingShape">
                    <wps:wsp>
                      <wps:cNvSpPr/>
                      <wps:spPr>
                        <a:xfrm>
                          <a:off x="3292475" y="3347085"/>
                          <a:ext cx="1217930" cy="345440"/>
                        </a:xfrm>
                        <a:prstGeom prst="wedgeRectCallout">
                          <a:avLst>
                            <a:gd name="adj1" fmla="val -32690"/>
                            <a:gd name="adj2" fmla="val 38970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7C8EE91">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7.45pt;margin-top:170.4pt;height:27.2pt;width:95.9pt;z-index:251661312;v-text-anchor:middle;mso-width-relative:page;mso-height-relative:page;" fillcolor="#FFFFFF [3201]" filled="t" stroked="t" coordsize="21600,21600" o:gfxdata="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zqbUI9sAAAALAQAADwAAAAAAAAABACAAAAAiAAAA&#10;ZHJzL2Rvd25yZXYueG1sUEsBAhQAFAAAAAgAh07iQLBdw5+vAgAAWwUAAA4AAAAAAAAAAQAgAAAA&#10;KgEAAGRycy9lMm9Eb2MueG1sUEsFBgAAAAAGAAYAWQEAAEsGAAAAAA==&#10;" adj="3739,94976">
                <v:fill on="t" focussize="0,0"/>
                <v:stroke weight="2pt" color="#000000 [3213]" joinstyle="round"/>
                <v:imagedata o:title=""/>
                <o:lock v:ext="edit" aspectratio="f"/>
                <v:textbox>
                  <w:txbxContent>
                    <w:p w14:paraId="57C8EE91">
                      <w:pPr>
                        <w:jc w:val="center"/>
                      </w:pPr>
                      <w:r>
                        <w:rPr>
                          <w:rFonts w:hint="eastAsia"/>
                        </w:rPr>
                        <w:t>本项目位置</w:t>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2935605</wp:posOffset>
                </wp:positionH>
                <wp:positionV relativeFrom="paragraph">
                  <wp:posOffset>3653790</wp:posOffset>
                </wp:positionV>
                <wp:extent cx="75565" cy="79375"/>
                <wp:effectExtent l="12700" t="12700" r="26035" b="22225"/>
                <wp:wrapNone/>
                <wp:docPr id="80" name="五角星 80"/>
                <wp:cNvGraphicFramePr/>
                <a:graphic xmlns:a="http://schemas.openxmlformats.org/drawingml/2006/main">
                  <a:graphicData uri="http://schemas.microsoft.com/office/word/2010/wordprocessingShape">
                    <wps:wsp>
                      <wps:cNvSpPr/>
                      <wps:spPr>
                        <a:xfrm>
                          <a:off x="4288790" y="4208145"/>
                          <a:ext cx="75565" cy="7937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1.15pt;margin-top:287.7pt;height:6.25pt;width:5.95pt;z-index:251660288;v-text-anchor:middle;mso-width-relative:page;mso-height-relative:page;" fillcolor="#FF0000" filled="t" stroked="t" coordsize="75565,79375" o:gfxdata="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&#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GVl9rbcAAAACwEAAA8AAAAAAAAAAQAgAAAAIgAAAGRy&#10;cy9kb3ducmV2LnhtbFBLAQIUABQAAAAIAIdO4kDHu2CHcwIAAOwEAAAOAAAAAAAAAAEAIAAAACsB&#10;AABkcnMvZTJvRG9jLnhtbFBLBQYAAAAABgAGAFkBAAAQBgAAAAA=&#10;" path="m0,30318l28863,30318,37782,0,46701,30318,75564,30318,52213,49056,61133,79374,37782,60636,14431,79374,23351,49056xe">
                <v:path o:connectlocs="37782,0;0,30318;14431,79374;61133,79374;75564,30318" o:connectangles="247,164,82,82,0"/>
                <v:fill on="t" focussize="0,0"/>
                <v:stroke weight="2pt" color="#FF0000 [3204]" joinstyle="round"/>
                <v:imagedata o:title=""/>
                <o:lock v:ext="edit" aspectratio="f"/>
              </v:shape>
            </w:pict>
          </mc:Fallback>
        </mc:AlternateContent>
      </w:r>
      <w:r>
        <w:drawing>
          <wp:inline distT="0" distB="0" distL="114300" distR="114300">
            <wp:extent cx="7115810" cy="5033645"/>
            <wp:effectExtent l="0" t="0" r="8890" b="14605"/>
            <wp:docPr id="237" name="图片 237" descr="鸡西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鸡西市"/>
                    <pic:cNvPicPr>
                      <a:picLocks noChangeAspect="1"/>
                    </pic:cNvPicPr>
                  </pic:nvPicPr>
                  <pic:blipFill>
                    <a:blip r:embed="rId154"/>
                    <a:stretch>
                      <a:fillRect/>
                    </a:stretch>
                  </pic:blipFill>
                  <pic:spPr>
                    <a:xfrm>
                      <a:off x="0" y="0"/>
                      <a:ext cx="7115810" cy="5033645"/>
                    </a:xfrm>
                    <a:prstGeom prst="rect">
                      <a:avLst/>
                    </a:prstGeom>
                  </pic:spPr>
                </pic:pic>
              </a:graphicData>
            </a:graphic>
          </wp:inline>
        </w:drawing>
      </w:r>
    </w:p>
    <w:p w14:paraId="1FC29421">
      <w:pPr>
        <w:pStyle w:val="2"/>
        <w:spacing w:before="0" w:after="0" w:line="240" w:lineRule="auto"/>
        <w:ind w:left="431" w:hanging="431"/>
        <w:jc w:val="center"/>
        <w:rPr>
          <w:rFonts w:hint="eastAsia" w:eastAsia="黑体"/>
          <w:sz w:val="24"/>
          <w:szCs w:val="24"/>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cols w:space="720" w:num="1"/>
          <w:docGrid w:linePitch="312" w:charSpace="0"/>
        </w:sectPr>
      </w:pPr>
      <w:bookmarkStart w:id="80" w:name="_Toc28383"/>
      <w:r>
        <w:rPr>
          <w:rFonts w:hint="eastAsia"/>
          <w:sz w:val="24"/>
          <w:szCs w:val="24"/>
        </w:rPr>
        <w:t>附图3 本项目在</w:t>
      </w:r>
      <w:r>
        <w:rPr>
          <w:rFonts w:hint="eastAsia"/>
          <w:sz w:val="24"/>
          <w:szCs w:val="24"/>
          <w:lang w:val="en-US" w:eastAsia="zh-CN"/>
        </w:rPr>
        <w:t>鸡西</w:t>
      </w:r>
      <w:r>
        <w:rPr>
          <w:rFonts w:hint="eastAsia"/>
          <w:sz w:val="24"/>
          <w:szCs w:val="24"/>
        </w:rPr>
        <w:t>市环境管控分区单元分布中的</w:t>
      </w:r>
      <w:bookmarkEnd w:id="80"/>
      <w:r>
        <w:rPr>
          <w:rFonts w:hint="eastAsia"/>
          <w:sz w:val="24"/>
          <w:szCs w:val="24"/>
          <w:lang w:val="en-US" w:eastAsia="zh-CN"/>
        </w:rPr>
        <w:t>位置</w:t>
      </w:r>
    </w:p>
    <w:p w14:paraId="1631A169">
      <w:pPr>
        <w:jc w:val="both"/>
      </w:pPr>
    </w:p>
    <w:p w14:paraId="0C79F9FA">
      <w:pPr>
        <w:jc w:val="center"/>
      </w:pPr>
      <w:r>
        <mc:AlternateContent>
          <mc:Choice Requires="wps">
            <w:drawing>
              <wp:anchor distT="0" distB="0" distL="114300" distR="114300" simplePos="0" relativeHeight="251662336" behindDoc="0" locked="0" layoutInCell="1" allowOverlap="1">
                <wp:simplePos x="0" y="0"/>
                <wp:positionH relativeFrom="column">
                  <wp:posOffset>8133080</wp:posOffset>
                </wp:positionH>
                <wp:positionV relativeFrom="paragraph">
                  <wp:posOffset>387350</wp:posOffset>
                </wp:positionV>
                <wp:extent cx="421005" cy="46799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421005" cy="467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41E3AD">
                            <w:r>
                              <w:rPr>
                                <w:rFonts w:hint="eastAsia"/>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0.4pt;margin-top:30.5pt;height:36.85pt;width:33.15pt;z-index:251662336;mso-width-relative:page;mso-height-relative:page;" filled="f" stroked="f" coordsize="21600,21600" o:gfxdata="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NZPidNoAAAAMAQAADwAAAAAAAAABACAAAAAiAAAAZHJz&#10;L2Rvd25yZXYueG1sUEsBAhQAFAAAAAgAh07iQDhNUz47AgAAaQQAAA4AAAAAAAAAAQAgAAAAKQEA&#10;AGRycy9lMm9Eb2MueG1sUEsFBgAAAAAGAAYAWQEAANYFAAAAAA==&#10;">
                <v:fill on="f" focussize="0,0"/>
                <v:stroke on="f" weight="0.5pt"/>
                <v:imagedata o:title=""/>
                <o:lock v:ext="edit" aspectratio="f"/>
                <v:textbox>
                  <w:txbxContent>
                    <w:p w14:paraId="3D41E3AD">
                      <w:r>
                        <w:rPr>
                          <w:rFonts w:hint="eastAsia"/>
                        </w:rPr>
                        <w:t>N</w:t>
                      </w:r>
                    </w:p>
                  </w:txbxContent>
                </v:textbox>
              </v:shape>
            </w:pict>
          </mc:Fallback>
        </mc:AlternateContent>
      </w:r>
      <w:r>
        <w:rPr>
          <w:rFonts w:hint="eastAsia"/>
          <w:lang w:val="en-US" w:eastAsia="zh-CN"/>
        </w:rPr>
        <w:t>,</w:t>
      </w:r>
      <w:r>
        <w:drawing>
          <wp:inline distT="0" distB="0" distL="114300" distR="114300">
            <wp:extent cx="13284835" cy="4625975"/>
            <wp:effectExtent l="0" t="0" r="12065" b="3175"/>
            <wp:docPr id="23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85"/>
                    <pic:cNvPicPr>
                      <a:picLocks noChangeAspect="1"/>
                    </pic:cNvPicPr>
                  </pic:nvPicPr>
                  <pic:blipFill>
                    <a:blip r:embed="rId155"/>
                    <a:stretch>
                      <a:fillRect/>
                    </a:stretch>
                  </pic:blipFill>
                  <pic:spPr>
                    <a:xfrm>
                      <a:off x="0" y="0"/>
                      <a:ext cx="13284835" cy="4625975"/>
                    </a:xfrm>
                    <a:prstGeom prst="rect">
                      <a:avLst/>
                    </a:prstGeom>
                    <a:noFill/>
                    <a:ln>
                      <a:noFill/>
                    </a:ln>
                  </pic:spPr>
                </pic:pic>
              </a:graphicData>
            </a:graphic>
          </wp:inline>
        </w:drawing>
      </w:r>
    </w:p>
    <w:p w14:paraId="47BD54B8">
      <w:pPr>
        <w:jc w:val="center"/>
        <w:rPr>
          <w:rFonts w:hint="eastAsia" w:eastAsia="宋体"/>
          <w:lang w:eastAsia="zh-CN"/>
        </w:rPr>
      </w:pPr>
      <w:r>
        <w:drawing>
          <wp:inline distT="0" distB="0" distL="114300" distR="114300">
            <wp:extent cx="13284200" cy="4636135"/>
            <wp:effectExtent l="0" t="0" r="12700" b="12065"/>
            <wp:docPr id="23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86"/>
                    <pic:cNvPicPr>
                      <a:picLocks noChangeAspect="1"/>
                    </pic:cNvPicPr>
                  </pic:nvPicPr>
                  <pic:blipFill>
                    <a:blip r:embed="rId156"/>
                    <a:stretch>
                      <a:fillRect/>
                    </a:stretch>
                  </pic:blipFill>
                  <pic:spPr>
                    <a:xfrm>
                      <a:off x="0" y="0"/>
                      <a:ext cx="13284200" cy="4636135"/>
                    </a:xfrm>
                    <a:prstGeom prst="rect">
                      <a:avLst/>
                    </a:prstGeom>
                    <a:noFill/>
                    <a:ln>
                      <a:noFill/>
                    </a:ln>
                  </pic:spPr>
                </pic:pic>
              </a:graphicData>
            </a:graphic>
          </wp:inline>
        </w:drawing>
      </w:r>
    </w:p>
    <w:p w14:paraId="7D22EC8E">
      <w:pPr>
        <w:pStyle w:val="2"/>
        <w:spacing w:before="0" w:after="0" w:line="240" w:lineRule="auto"/>
        <w:ind w:left="431" w:hanging="431"/>
        <w:jc w:val="center"/>
        <w:rPr>
          <w:rFonts w:hint="eastAsia"/>
          <w:sz w:val="24"/>
          <w:szCs w:val="24"/>
          <w:lang w:val="en-US" w:eastAsia="zh-CN"/>
        </w:rPr>
        <w:sectPr>
          <w:headerReference r:id="rId7" w:type="default"/>
          <w:pgSz w:w="23814" w:h="16840" w:orient="landscape"/>
          <w:pgMar w:top="1418" w:right="1440" w:bottom="1276" w:left="1440" w:header="851" w:footer="992" w:gutter="0"/>
          <w:pgBorders>
            <w:top w:val="none" w:sz="0" w:space="0"/>
            <w:left w:val="none" w:sz="0" w:space="0"/>
            <w:bottom w:val="none" w:sz="0" w:space="0"/>
            <w:right w:val="none" w:sz="0" w:space="0"/>
          </w:pgBorders>
          <w:cols w:space="720" w:num="1"/>
          <w:docGrid w:type="lines" w:linePitch="312" w:charSpace="0"/>
        </w:sectPr>
      </w:pPr>
      <w:bookmarkStart w:id="81" w:name="_Toc23603"/>
      <w:r>
        <w:rPr>
          <w:rFonts w:hint="eastAsia"/>
          <w:sz w:val="24"/>
          <w:szCs w:val="24"/>
        </w:rPr>
        <w:t>附图</w:t>
      </w:r>
      <w:r>
        <w:rPr>
          <w:rFonts w:hint="eastAsia"/>
          <w:sz w:val="24"/>
          <w:szCs w:val="24"/>
          <w:lang w:val="en-US" w:eastAsia="zh-CN"/>
        </w:rPr>
        <w:t>4 塔型一览图</w:t>
      </w:r>
      <w:bookmarkEnd w:id="81"/>
    </w:p>
    <w:p w14:paraId="770B6054">
      <w:pPr>
        <w:jc w:val="center"/>
        <w:rPr>
          <w:rFonts w:hint="eastAsia"/>
          <w:lang w:eastAsia="zh-CN"/>
        </w:rPr>
      </w:pPr>
      <w:r>
        <w:rPr>
          <w:sz w:val="21"/>
        </w:rPr>
        <mc:AlternateContent>
          <mc:Choice Requires="wps">
            <w:drawing>
              <wp:anchor distT="0" distB="0" distL="114300" distR="114300" simplePos="0" relativeHeight="251685888" behindDoc="0" locked="0" layoutInCell="1" allowOverlap="1">
                <wp:simplePos x="0" y="0"/>
                <wp:positionH relativeFrom="column">
                  <wp:posOffset>2226310</wp:posOffset>
                </wp:positionH>
                <wp:positionV relativeFrom="paragraph">
                  <wp:posOffset>1655445</wp:posOffset>
                </wp:positionV>
                <wp:extent cx="2476500" cy="873125"/>
                <wp:effectExtent l="0" t="0" r="0" b="0"/>
                <wp:wrapNone/>
                <wp:docPr id="244" name="文本框 244"/>
                <wp:cNvGraphicFramePr/>
                <a:graphic xmlns:a="http://schemas.openxmlformats.org/drawingml/2006/main">
                  <a:graphicData uri="http://schemas.microsoft.com/office/word/2010/wordprocessingShape">
                    <wps:wsp>
                      <wps:cNvSpPr txBox="1"/>
                      <wps:spPr>
                        <a:xfrm>
                          <a:off x="6045835" y="3222625"/>
                          <a:ext cx="2476500" cy="873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30C7FE">
                            <w:pPr>
                              <w:rPr>
                                <w:rFonts w:hint="default" w:eastAsia="宋体"/>
                                <w:color w:val="FF0000"/>
                                <w:sz w:val="56"/>
                                <w:szCs w:val="56"/>
                                <w:lang w:val="en-US" w:eastAsia="zh-CN"/>
                              </w:rPr>
                            </w:pPr>
                            <w:r>
                              <w:rPr>
                                <w:rFonts w:hint="eastAsia"/>
                                <w:color w:val="FF0000"/>
                                <w:sz w:val="56"/>
                                <w:szCs w:val="56"/>
                                <w:lang w:val="en-US" w:eastAsia="zh-CN"/>
                              </w:rPr>
                              <w:t>新建间隔位置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3pt;margin-top:130.35pt;height:68.75pt;width:195pt;z-index:251685888;mso-width-relative:page;mso-height-relative:page;" filled="f" stroked="f" coordsize="21600,21600" o:gfxdata="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ymFeI2wAAAAsBAAAPAAAA&#10;AAAAAAEAIAAAACIAAABkcnMvZG93bnJldi54bWxQSwECFAAUAAAACACHTuJAmEOCHksCAAB2BAAA&#10;DgAAAAAAAAABACAAAAAqAQAAZHJzL2Uyb0RvYy54bWxQSwUGAAAAAAYABgBZAQAA5wUAAAAA&#10;">
                <v:fill on="f" focussize="0,0"/>
                <v:stroke on="f" weight="0.5pt"/>
                <v:imagedata o:title=""/>
                <o:lock v:ext="edit" aspectratio="f"/>
                <v:textbox>
                  <w:txbxContent>
                    <w:p w14:paraId="7F30C7FE">
                      <w:pPr>
                        <w:rPr>
                          <w:rFonts w:hint="default" w:eastAsia="宋体"/>
                          <w:color w:val="FF0000"/>
                          <w:sz w:val="56"/>
                          <w:szCs w:val="56"/>
                          <w:lang w:val="en-US" w:eastAsia="zh-CN"/>
                        </w:rPr>
                      </w:pPr>
                      <w:r>
                        <w:rPr>
                          <w:rFonts w:hint="eastAsia"/>
                          <w:color w:val="FF0000"/>
                          <w:sz w:val="56"/>
                          <w:szCs w:val="56"/>
                          <w:lang w:val="en-US" w:eastAsia="zh-CN"/>
                        </w:rPr>
                        <w:t>新建间隔位置</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1845310</wp:posOffset>
                </wp:positionH>
                <wp:positionV relativeFrom="paragraph">
                  <wp:posOffset>1306195</wp:posOffset>
                </wp:positionV>
                <wp:extent cx="8921750" cy="3032125"/>
                <wp:effectExtent l="12700" t="12700" r="19050" b="22225"/>
                <wp:wrapNone/>
                <wp:docPr id="243" name="矩形 243"/>
                <wp:cNvGraphicFramePr/>
                <a:graphic xmlns:a="http://schemas.openxmlformats.org/drawingml/2006/main">
                  <a:graphicData uri="http://schemas.microsoft.com/office/word/2010/wordprocessingShape">
                    <wps:wsp>
                      <wps:cNvSpPr/>
                      <wps:spPr>
                        <a:xfrm>
                          <a:off x="2759710" y="2206625"/>
                          <a:ext cx="8921750" cy="303212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3pt;margin-top:102.85pt;height:238.75pt;width:702.5pt;z-index:251684864;v-text-anchor:middle;mso-width-relative:page;mso-height-relative:page;" filled="f" stroked="t" coordsize="21600,21600" o:gfxdata="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q2h67aAAAADAEAAA8AAAAAAAAAAQAgAAAAIgAAAGRycy9kb3ducmV2&#10;LnhtbFBLAQIUABQAAAAIAIdO4kABwasfbAIAAMUEAAAOAAAAAAAAAAEAIAAAACkBAABkcnMvZTJv&#10;RG9jLnhtbFBLBQYAAAAABgAGAFkBAAAHBgAAAAA=&#10;">
                <v:fill on="f" focussize="0,0"/>
                <v:stroke weight="2pt" color="#FF0000 [2404]" joinstyle="round"/>
                <v:imagedata o:title=""/>
                <o:lock v:ext="edit" aspectratio="f"/>
              </v:rect>
            </w:pict>
          </mc:Fallback>
        </mc:AlternateContent>
      </w:r>
      <w:r>
        <w:drawing>
          <wp:inline distT="0" distB="0" distL="114300" distR="114300">
            <wp:extent cx="11210925" cy="7239000"/>
            <wp:effectExtent l="0" t="0" r="9525" b="0"/>
            <wp:docPr id="24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87"/>
                    <pic:cNvPicPr>
                      <a:picLocks noChangeAspect="1"/>
                    </pic:cNvPicPr>
                  </pic:nvPicPr>
                  <pic:blipFill>
                    <a:blip r:embed="rId157"/>
                    <a:stretch>
                      <a:fillRect/>
                    </a:stretch>
                  </pic:blipFill>
                  <pic:spPr>
                    <a:xfrm>
                      <a:off x="0" y="0"/>
                      <a:ext cx="11210925" cy="7239000"/>
                    </a:xfrm>
                    <a:prstGeom prst="rect">
                      <a:avLst/>
                    </a:prstGeom>
                    <a:noFill/>
                    <a:ln>
                      <a:noFill/>
                    </a:ln>
                  </pic:spPr>
                </pic:pic>
              </a:graphicData>
            </a:graphic>
          </wp:inline>
        </w:drawing>
      </w:r>
    </w:p>
    <w:p w14:paraId="3A80C78C">
      <w:pPr>
        <w:pStyle w:val="2"/>
        <w:jc w:val="center"/>
        <w:rPr>
          <w:rFonts w:hint="eastAsia"/>
          <w:sz w:val="24"/>
          <w:szCs w:val="24"/>
          <w:lang w:val="en-US" w:eastAsia="zh-CN"/>
        </w:rPr>
        <w:sectPr>
          <w:pgSz w:w="23814" w:h="16840" w:orient="landscape"/>
          <w:pgMar w:top="1418" w:right="1440" w:bottom="1276" w:left="144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sz w:val="24"/>
          <w:szCs w:val="24"/>
        </w:rPr>
        <w:t>附图</w:t>
      </w:r>
      <w:r>
        <w:rPr>
          <w:rFonts w:hint="eastAsia"/>
          <w:sz w:val="24"/>
          <w:szCs w:val="24"/>
          <w:lang w:val="en-US" w:eastAsia="zh-CN"/>
        </w:rPr>
        <w:t>5 恒山变电站间隔扩建示意图</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36"/>
        <w:gridCol w:w="6111"/>
      </w:tblGrid>
      <w:tr w14:paraId="7E1D0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4" w:hRule="atLeast"/>
          <w:jc w:val="center"/>
        </w:trPr>
        <w:tc>
          <w:tcPr>
            <w:tcW w:w="6036" w:type="dxa"/>
            <w:vAlign w:val="center"/>
          </w:tcPr>
          <w:p w14:paraId="32DA93C8">
            <w:pPr>
              <w:keepNext w:val="0"/>
              <w:keepLines w:val="0"/>
              <w:suppressLineNumbers w:val="0"/>
              <w:spacing w:before="0" w:beforeAutospacing="0" w:after="0" w:afterAutospacing="0"/>
              <w:ind w:left="0" w:right="0"/>
              <w:jc w:val="center"/>
              <w:rPr>
                <w:rFonts w:hint="eastAsia" w:eastAsiaTheme="minorEastAsia"/>
                <w:color w:val="000000" w:themeColor="text1"/>
                <w:lang w:eastAsia="zh-CN"/>
                <w14:textFill>
                  <w14:solidFill>
                    <w14:schemeClr w14:val="tx1"/>
                  </w14:solidFill>
                </w14:textFill>
              </w:rPr>
            </w:pPr>
            <w:r>
              <w:rPr>
                <w:rFonts w:hint="eastAsia" w:eastAsiaTheme="minorEastAsia"/>
                <w:color w:val="000000" w:themeColor="text1"/>
                <w:lang w:eastAsia="zh-CN"/>
                <w14:textFill>
                  <w14:solidFill>
                    <w14:schemeClr w14:val="tx1"/>
                  </w14:solidFill>
                </w14:textFill>
              </w:rPr>
              <w:drawing>
                <wp:inline distT="0" distB="0" distL="114300" distR="114300">
                  <wp:extent cx="3679825" cy="2767330"/>
                  <wp:effectExtent l="0" t="0" r="15875" b="13970"/>
                  <wp:docPr id="245" name="图片 245" descr="1号主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1号主变"/>
                          <pic:cNvPicPr>
                            <a:picLocks noChangeAspect="1"/>
                          </pic:cNvPicPr>
                        </pic:nvPicPr>
                        <pic:blipFill>
                          <a:blip r:embed="rId158"/>
                          <a:stretch>
                            <a:fillRect/>
                          </a:stretch>
                        </pic:blipFill>
                        <pic:spPr>
                          <a:xfrm>
                            <a:off x="0" y="0"/>
                            <a:ext cx="3679825" cy="2767330"/>
                          </a:xfrm>
                          <a:prstGeom prst="rect">
                            <a:avLst/>
                          </a:prstGeom>
                        </pic:spPr>
                      </pic:pic>
                    </a:graphicData>
                  </a:graphic>
                </wp:inline>
              </w:drawing>
            </w:r>
          </w:p>
        </w:tc>
        <w:tc>
          <w:tcPr>
            <w:tcW w:w="6111" w:type="dxa"/>
            <w:vAlign w:val="center"/>
          </w:tcPr>
          <w:p w14:paraId="43697A07">
            <w:pPr>
              <w:keepNext w:val="0"/>
              <w:keepLines w:val="0"/>
              <w:suppressLineNumbers w:val="0"/>
              <w:spacing w:before="0" w:beforeAutospacing="0" w:after="0" w:afterAutospacing="0"/>
              <w:ind w:left="0" w:right="0"/>
              <w:jc w:val="center"/>
              <w:rPr>
                <w:rFonts w:hint="eastAsia" w:eastAsiaTheme="minorEastAsia"/>
                <w:color w:val="000000" w:themeColor="text1"/>
                <w:lang w:eastAsia="zh-CN"/>
                <w14:textFill>
                  <w14:solidFill>
                    <w14:schemeClr w14:val="tx1"/>
                  </w14:solidFill>
                </w14:textFill>
              </w:rPr>
            </w:pPr>
            <w:r>
              <w:rPr>
                <w:rFonts w:hint="eastAsia" w:eastAsiaTheme="minorEastAsia"/>
                <w:color w:val="000000" w:themeColor="text1"/>
                <w:lang w:eastAsia="zh-CN"/>
                <w14:textFill>
                  <w14:solidFill>
                    <w14:schemeClr w14:val="tx1"/>
                  </w14:solidFill>
                </w14:textFill>
              </w:rPr>
              <w:drawing>
                <wp:inline distT="0" distB="0" distL="114300" distR="114300">
                  <wp:extent cx="3728720" cy="2804160"/>
                  <wp:effectExtent l="0" t="0" r="5080" b="15240"/>
                  <wp:docPr id="246" name="图片 246" descr="2号主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2号主变"/>
                          <pic:cNvPicPr>
                            <a:picLocks noChangeAspect="1"/>
                          </pic:cNvPicPr>
                        </pic:nvPicPr>
                        <pic:blipFill>
                          <a:blip r:embed="rId159"/>
                          <a:stretch>
                            <a:fillRect/>
                          </a:stretch>
                        </pic:blipFill>
                        <pic:spPr>
                          <a:xfrm>
                            <a:off x="0" y="0"/>
                            <a:ext cx="3728720" cy="2804160"/>
                          </a:xfrm>
                          <a:prstGeom prst="rect">
                            <a:avLst/>
                          </a:prstGeom>
                        </pic:spPr>
                      </pic:pic>
                    </a:graphicData>
                  </a:graphic>
                </wp:inline>
              </w:drawing>
            </w:r>
          </w:p>
        </w:tc>
      </w:tr>
      <w:tr w14:paraId="45C56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6036" w:type="dxa"/>
            <w:vAlign w:val="center"/>
          </w:tcPr>
          <w:p w14:paraId="1EBCF62A">
            <w:pPr>
              <w:keepNext w:val="0"/>
              <w:keepLines w:val="0"/>
              <w:suppressLineNumbers w:val="0"/>
              <w:spacing w:before="0" w:beforeAutospacing="0" w:after="0" w:afterAutospacing="0"/>
              <w:ind w:left="0" w:right="0"/>
              <w:jc w:val="center"/>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现有主变压器</w:t>
            </w:r>
          </w:p>
        </w:tc>
        <w:tc>
          <w:tcPr>
            <w:tcW w:w="6111" w:type="dxa"/>
            <w:vAlign w:val="center"/>
          </w:tcPr>
          <w:p w14:paraId="132EF916">
            <w:pPr>
              <w:keepNext w:val="0"/>
              <w:keepLines w:val="0"/>
              <w:suppressLineNumbers w:val="0"/>
              <w:spacing w:before="0" w:beforeAutospacing="0" w:after="0" w:afterAutospacing="0"/>
              <w:ind w:left="0" w:right="0"/>
              <w:jc w:val="center"/>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现有主变压器</w:t>
            </w:r>
          </w:p>
        </w:tc>
      </w:tr>
      <w:tr w14:paraId="328D9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3" w:hRule="atLeast"/>
          <w:jc w:val="center"/>
        </w:trPr>
        <w:tc>
          <w:tcPr>
            <w:tcW w:w="6036" w:type="dxa"/>
            <w:vAlign w:val="center"/>
          </w:tcPr>
          <w:p w14:paraId="0560CF9C">
            <w:pPr>
              <w:keepNext w:val="0"/>
              <w:keepLines w:val="0"/>
              <w:suppressLineNumbers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drawing>
                <wp:inline distT="0" distB="0" distL="114300" distR="114300">
                  <wp:extent cx="3695700" cy="2078990"/>
                  <wp:effectExtent l="0" t="0" r="0" b="16510"/>
                  <wp:docPr id="247" name="图片 247" descr="出现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出现位置"/>
                          <pic:cNvPicPr>
                            <a:picLocks noChangeAspect="1"/>
                          </pic:cNvPicPr>
                        </pic:nvPicPr>
                        <pic:blipFill>
                          <a:blip r:embed="rId160"/>
                          <a:stretch>
                            <a:fillRect/>
                          </a:stretch>
                        </pic:blipFill>
                        <pic:spPr>
                          <a:xfrm>
                            <a:off x="0" y="0"/>
                            <a:ext cx="3695700" cy="2078990"/>
                          </a:xfrm>
                          <a:prstGeom prst="rect">
                            <a:avLst/>
                          </a:prstGeom>
                        </pic:spPr>
                      </pic:pic>
                    </a:graphicData>
                  </a:graphic>
                </wp:inline>
              </w:drawing>
            </w:r>
          </w:p>
        </w:tc>
        <w:tc>
          <w:tcPr>
            <w:tcW w:w="6111" w:type="dxa"/>
            <w:vAlign w:val="center"/>
          </w:tcPr>
          <w:p w14:paraId="09034306">
            <w:pPr>
              <w:keepNext w:val="0"/>
              <w:keepLines w:val="0"/>
              <w:suppressLineNumbers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drawing>
                <wp:inline distT="0" distB="0" distL="114300" distR="114300">
                  <wp:extent cx="3730625" cy="2098675"/>
                  <wp:effectExtent l="0" t="0" r="3175" b="15875"/>
                  <wp:docPr id="248" name="图片 248" descr="化粪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化粪池"/>
                          <pic:cNvPicPr>
                            <a:picLocks noChangeAspect="1"/>
                          </pic:cNvPicPr>
                        </pic:nvPicPr>
                        <pic:blipFill>
                          <a:blip r:embed="rId161"/>
                          <a:stretch>
                            <a:fillRect/>
                          </a:stretch>
                        </pic:blipFill>
                        <pic:spPr>
                          <a:xfrm>
                            <a:off x="0" y="0"/>
                            <a:ext cx="3730625" cy="2098675"/>
                          </a:xfrm>
                          <a:prstGeom prst="rect">
                            <a:avLst/>
                          </a:prstGeom>
                        </pic:spPr>
                      </pic:pic>
                    </a:graphicData>
                  </a:graphic>
                </wp:inline>
              </w:drawing>
            </w:r>
          </w:p>
        </w:tc>
      </w:tr>
      <w:tr w14:paraId="1630C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6036" w:type="dxa"/>
            <w:vAlign w:val="center"/>
          </w:tcPr>
          <w:p w14:paraId="267C01C3">
            <w:pPr>
              <w:keepNext w:val="0"/>
              <w:keepLines w:val="0"/>
              <w:suppressLineNumbers w:val="0"/>
              <w:spacing w:before="0" w:beforeAutospacing="0" w:after="0" w:afterAutospacing="0"/>
              <w:ind w:left="0" w:right="0"/>
              <w:jc w:val="center"/>
              <w:rPr>
                <w:rFonts w:hint="default" w:eastAsiaTheme="minorEastAsia"/>
                <w:color w:val="000000" w:themeColor="text1"/>
                <w:lang w:val="en-US" w:eastAsia="zh-CN"/>
                <w14:textFill>
                  <w14:solidFill>
                    <w14:schemeClr w14:val="tx1"/>
                  </w14:solidFill>
                </w14:textFill>
              </w:rPr>
            </w:pPr>
            <w:r>
              <w:rPr>
                <w:rFonts w:hint="eastAsia" w:eastAsiaTheme="minorEastAsia"/>
                <w:color w:val="000000" w:themeColor="text1"/>
                <w:lang w:val="en-US" w:eastAsia="zh-CN"/>
                <w14:textFill>
                  <w14:solidFill>
                    <w14:schemeClr w14:val="tx1"/>
                  </w14:solidFill>
                </w14:textFill>
              </w:rPr>
              <w:t>出线位置</w:t>
            </w:r>
          </w:p>
        </w:tc>
        <w:tc>
          <w:tcPr>
            <w:tcW w:w="6111" w:type="dxa"/>
            <w:vAlign w:val="center"/>
          </w:tcPr>
          <w:p w14:paraId="0CAA13D8">
            <w:pPr>
              <w:keepNext w:val="0"/>
              <w:keepLines w:val="0"/>
              <w:suppressLineNumbers w:val="0"/>
              <w:spacing w:before="0" w:beforeAutospacing="0" w:after="0" w:afterAutospacing="0"/>
              <w:ind w:left="0" w:right="0"/>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化粪池</w:t>
            </w:r>
          </w:p>
        </w:tc>
      </w:tr>
      <w:tr w14:paraId="14A7B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3" w:hRule="atLeast"/>
          <w:jc w:val="center"/>
        </w:trPr>
        <w:tc>
          <w:tcPr>
            <w:tcW w:w="6036" w:type="dxa"/>
            <w:vAlign w:val="center"/>
          </w:tcPr>
          <w:p w14:paraId="2C101A13">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p w14:paraId="50017D7F">
            <w:pPr>
              <w:keepNext w:val="0"/>
              <w:keepLines w:val="0"/>
              <w:suppressLineNumbers w:val="0"/>
              <w:spacing w:before="0" w:beforeAutospacing="0" w:after="0" w:afterAutospacing="0"/>
              <w:ind w:left="0" w:right="0"/>
              <w:jc w:val="center"/>
              <w:rPr>
                <w:rFonts w:hint="eastAsia" w:eastAsiaTheme="minorEastAsia"/>
                <w:color w:val="000000" w:themeColor="text1"/>
                <w:lang w:eastAsia="zh-CN"/>
                <w14:textFill>
                  <w14:solidFill>
                    <w14:schemeClr w14:val="tx1"/>
                  </w14:solidFill>
                </w14:textFill>
              </w:rPr>
            </w:pPr>
            <w:r>
              <w:rPr>
                <w:rFonts w:hint="eastAsia" w:eastAsiaTheme="minorEastAsia"/>
                <w:color w:val="000000" w:themeColor="text1"/>
                <w:lang w:eastAsia="zh-CN"/>
                <w14:textFill>
                  <w14:solidFill>
                    <w14:schemeClr w14:val="tx1"/>
                  </w14:solidFill>
                </w14:textFill>
              </w:rPr>
              <w:drawing>
                <wp:inline distT="0" distB="0" distL="114300" distR="114300">
                  <wp:extent cx="3694430" cy="2077720"/>
                  <wp:effectExtent l="0" t="0" r="1270" b="17780"/>
                  <wp:docPr id="249" name="图片 249" descr="事故油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事故油池"/>
                          <pic:cNvPicPr>
                            <a:picLocks noChangeAspect="1"/>
                          </pic:cNvPicPr>
                        </pic:nvPicPr>
                        <pic:blipFill>
                          <a:blip r:embed="rId162"/>
                          <a:stretch>
                            <a:fillRect/>
                          </a:stretch>
                        </pic:blipFill>
                        <pic:spPr>
                          <a:xfrm>
                            <a:off x="0" y="0"/>
                            <a:ext cx="3694430" cy="2077720"/>
                          </a:xfrm>
                          <a:prstGeom prst="rect">
                            <a:avLst/>
                          </a:prstGeom>
                        </pic:spPr>
                      </pic:pic>
                    </a:graphicData>
                  </a:graphic>
                </wp:inline>
              </w:drawing>
            </w:r>
          </w:p>
        </w:tc>
        <w:tc>
          <w:tcPr>
            <w:tcW w:w="6111" w:type="dxa"/>
            <w:vAlign w:val="center"/>
          </w:tcPr>
          <w:p w14:paraId="22FB16F0">
            <w:pPr>
              <w:keepNext w:val="0"/>
              <w:keepLines w:val="0"/>
              <w:suppressLineNumbers w:val="0"/>
              <w:spacing w:before="0" w:beforeAutospacing="0" w:after="0" w:afterAutospacing="0"/>
              <w:ind w:left="0" w:right="0"/>
              <w:jc w:val="center"/>
              <w:rPr>
                <w:rFonts w:hint="eastAsia" w:eastAsiaTheme="minorEastAsia"/>
                <w:color w:val="000000" w:themeColor="text1"/>
                <w:lang w:eastAsia="zh-CN"/>
                <w14:textFill>
                  <w14:solidFill>
                    <w14:schemeClr w14:val="tx1"/>
                  </w14:solidFill>
                </w14:textFill>
              </w:rPr>
            </w:pPr>
            <w:r>
              <w:rPr>
                <w:rFonts w:hint="eastAsia" w:eastAsiaTheme="minorEastAsia"/>
                <w:color w:val="000000" w:themeColor="text1"/>
                <w:lang w:eastAsia="zh-CN"/>
                <w14:textFill>
                  <w14:solidFill>
                    <w14:schemeClr w14:val="tx1"/>
                  </w14:solidFill>
                </w14:textFill>
              </w:rPr>
              <w:drawing>
                <wp:inline distT="0" distB="0" distL="114300" distR="114300">
                  <wp:extent cx="3174365" cy="2387600"/>
                  <wp:effectExtent l="0" t="0" r="6985" b="12700"/>
                  <wp:docPr id="250" name="图片 250" descr="微信图片_2024110214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微信图片_20241102144304"/>
                          <pic:cNvPicPr>
                            <a:picLocks noChangeAspect="1"/>
                          </pic:cNvPicPr>
                        </pic:nvPicPr>
                        <pic:blipFill>
                          <a:blip r:embed="rId163"/>
                          <a:stretch>
                            <a:fillRect/>
                          </a:stretch>
                        </pic:blipFill>
                        <pic:spPr>
                          <a:xfrm>
                            <a:off x="0" y="0"/>
                            <a:ext cx="3174365" cy="2387600"/>
                          </a:xfrm>
                          <a:prstGeom prst="rect">
                            <a:avLst/>
                          </a:prstGeom>
                        </pic:spPr>
                      </pic:pic>
                    </a:graphicData>
                  </a:graphic>
                </wp:inline>
              </w:drawing>
            </w:r>
          </w:p>
        </w:tc>
      </w:tr>
      <w:tr w14:paraId="4CE2D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6036" w:type="dxa"/>
            <w:vAlign w:val="center"/>
          </w:tcPr>
          <w:p w14:paraId="4CD99EB9">
            <w:pPr>
              <w:keepNext w:val="0"/>
              <w:keepLines w:val="0"/>
              <w:suppressLineNumbers w:val="0"/>
              <w:spacing w:before="0" w:beforeAutospacing="0" w:after="0" w:afterAutospacing="0"/>
              <w:ind w:left="0" w:right="0"/>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事故油池</w:t>
            </w:r>
          </w:p>
        </w:tc>
        <w:tc>
          <w:tcPr>
            <w:tcW w:w="6111" w:type="dxa"/>
            <w:vAlign w:val="center"/>
          </w:tcPr>
          <w:p w14:paraId="684B82AC">
            <w:pPr>
              <w:keepNext w:val="0"/>
              <w:keepLines w:val="0"/>
              <w:suppressLineNumbers w:val="0"/>
              <w:spacing w:before="0" w:beforeAutospacing="0" w:after="0" w:afterAutospacing="0"/>
              <w:ind w:left="0" w:right="0"/>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蓄电池</w:t>
            </w:r>
          </w:p>
        </w:tc>
      </w:tr>
    </w:tbl>
    <w:p w14:paraId="044191E7">
      <w:pPr>
        <w:keepNext w:val="0"/>
        <w:keepLines w:val="0"/>
        <w:pageBreakBefore w:val="0"/>
        <w:widowControl w:val="0"/>
        <w:kinsoku/>
        <w:wordWrap/>
        <w:overflowPunct/>
        <w:topLinePunct w:val="0"/>
        <w:autoSpaceDE/>
        <w:autoSpaceDN/>
        <w:bidi w:val="0"/>
        <w:adjustRightInd/>
        <w:snapToGrid/>
        <w:jc w:val="center"/>
        <w:textAlignment w:val="auto"/>
        <w:outlineLvl w:val="0"/>
        <w:rPr>
          <w:rFonts w:hint="eastAsia" w:eastAsia="黑体" w:cs="Times New Roman"/>
          <w:b/>
          <w:bCs/>
          <w:color w:val="000000" w:themeColor="text1"/>
          <w:kern w:val="44"/>
          <w:sz w:val="24"/>
          <w:szCs w:val="24"/>
          <w:lang w:val="en-US" w:eastAsia="zh-CN" w:bidi="ar-SA"/>
          <w14:textFill>
            <w14:solidFill>
              <w14:schemeClr w14:val="tx1"/>
            </w14:solidFill>
          </w14:textFill>
        </w:rPr>
        <w:sectPr>
          <w:pgSz w:w="16840" w:h="23814"/>
          <w:pgMar w:top="1440" w:right="1276" w:bottom="1440" w:left="1418"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Times New Roman" w:hAnsi="Times New Roman" w:eastAsia="黑体" w:cs="Times New Roman"/>
          <w:b/>
          <w:bCs/>
          <w:color w:val="000000" w:themeColor="text1"/>
          <w:kern w:val="44"/>
          <w:sz w:val="24"/>
          <w:szCs w:val="24"/>
          <w:lang w:val="en-US" w:eastAsia="zh-CN" w:bidi="ar-SA"/>
          <w14:textFill>
            <w14:solidFill>
              <w14:schemeClr w14:val="tx1"/>
            </w14:solidFill>
          </w14:textFill>
        </w:rPr>
        <w:t>附图</w:t>
      </w:r>
      <w:r>
        <w:rPr>
          <w:rFonts w:hint="eastAsia" w:eastAsia="黑体" w:cs="Times New Roman"/>
          <w:b/>
          <w:bCs/>
          <w:color w:val="000000" w:themeColor="text1"/>
          <w:kern w:val="44"/>
          <w:sz w:val="24"/>
          <w:szCs w:val="24"/>
          <w:lang w:val="en-US" w:eastAsia="zh-CN" w:bidi="ar-SA"/>
          <w14:textFill>
            <w14:solidFill>
              <w14:schemeClr w14:val="tx1"/>
            </w14:solidFill>
          </w14:textFill>
        </w:rPr>
        <w:t>6</w:t>
      </w:r>
      <w:r>
        <w:rPr>
          <w:rFonts w:hint="eastAsia" w:ascii="Times New Roman" w:hAnsi="Times New Roman" w:eastAsia="黑体" w:cs="Times New Roman"/>
          <w:b/>
          <w:bCs/>
          <w:color w:val="000000" w:themeColor="text1"/>
          <w:kern w:val="44"/>
          <w:sz w:val="24"/>
          <w:szCs w:val="24"/>
          <w:lang w:val="en-US" w:eastAsia="zh-CN" w:bidi="ar-SA"/>
          <w14:textFill>
            <w14:solidFill>
              <w14:schemeClr w14:val="tx1"/>
            </w14:solidFill>
          </w14:textFill>
        </w:rPr>
        <w:t xml:space="preserve"> </w:t>
      </w:r>
      <w:r>
        <w:rPr>
          <w:rFonts w:hint="eastAsia" w:eastAsia="黑体" w:cs="Times New Roman"/>
          <w:b/>
          <w:bCs/>
          <w:color w:val="000000" w:themeColor="text1"/>
          <w:kern w:val="44"/>
          <w:sz w:val="24"/>
          <w:szCs w:val="24"/>
          <w:lang w:val="en-US" w:eastAsia="zh-CN" w:bidi="ar-SA"/>
          <w14:textFill>
            <w14:solidFill>
              <w14:schemeClr w14:val="tx1"/>
            </w14:solidFill>
          </w14:textFill>
        </w:rPr>
        <w:t>恒山</w:t>
      </w:r>
      <w:r>
        <w:rPr>
          <w:rFonts w:hint="eastAsia" w:ascii="Times New Roman" w:hAnsi="Times New Roman" w:eastAsia="黑体" w:cs="Times New Roman"/>
          <w:b/>
          <w:bCs/>
          <w:color w:val="000000" w:themeColor="text1"/>
          <w:kern w:val="44"/>
          <w:sz w:val="24"/>
          <w:szCs w:val="24"/>
          <w:lang w:val="en-US" w:eastAsia="zh-CN" w:bidi="ar-SA"/>
          <w14:textFill>
            <w14:solidFill>
              <w14:schemeClr w14:val="tx1"/>
            </w14:solidFill>
          </w14:textFill>
        </w:rPr>
        <w:t>变电站站内</w:t>
      </w:r>
      <w:r>
        <w:rPr>
          <w:rFonts w:hint="eastAsia" w:eastAsia="黑体" w:cs="Times New Roman"/>
          <w:b/>
          <w:bCs/>
          <w:color w:val="000000" w:themeColor="text1"/>
          <w:kern w:val="44"/>
          <w:sz w:val="24"/>
          <w:szCs w:val="24"/>
          <w:lang w:val="en-US" w:eastAsia="zh-CN" w:bidi="ar-SA"/>
          <w14:textFill>
            <w14:solidFill>
              <w14:schemeClr w14:val="tx1"/>
            </w14:solidFill>
          </w14:textFill>
        </w:rPr>
        <w:t>设施</w:t>
      </w:r>
    </w:p>
    <w:p w14:paraId="10BC8CAC">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Times New Roman" w:hAnsi="Times New Roman" w:eastAsia="黑体" w:cs="Times New Roman"/>
          <w:b/>
          <w:bCs/>
          <w:color w:val="000000" w:themeColor="text1"/>
          <w:kern w:val="44"/>
          <w:sz w:val="24"/>
          <w:szCs w:val="24"/>
          <w:lang w:val="en-US" w:eastAsia="zh-CN" w:bidi="ar-SA"/>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5763895</wp:posOffset>
                </wp:positionH>
                <wp:positionV relativeFrom="paragraph">
                  <wp:posOffset>6036310</wp:posOffset>
                </wp:positionV>
                <wp:extent cx="896620" cy="293370"/>
                <wp:effectExtent l="4445" t="4445" r="13335" b="483235"/>
                <wp:wrapNone/>
                <wp:docPr id="255" name="矩形标注 255"/>
                <wp:cNvGraphicFramePr/>
                <a:graphic xmlns:a="http://schemas.openxmlformats.org/drawingml/2006/main">
                  <a:graphicData uri="http://schemas.microsoft.com/office/word/2010/wordprocessingShape">
                    <wps:wsp>
                      <wps:cNvSpPr/>
                      <wps:spPr>
                        <a:xfrm>
                          <a:off x="0" y="0"/>
                          <a:ext cx="896620" cy="293370"/>
                        </a:xfrm>
                        <a:prstGeom prst="wedgeRectCallout">
                          <a:avLst>
                            <a:gd name="adj1" fmla="val -5564"/>
                            <a:gd name="adj2" fmla="val 211255"/>
                          </a:avLst>
                        </a:prstGeom>
                        <a:solidFill>
                          <a:schemeClr val="bg1"/>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718DC4D">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default" w:eastAsiaTheme="minorEastAsia"/>
                                <w:sz w:val="15"/>
                                <w:szCs w:val="15"/>
                                <w:lang w:val="en-US" w:eastAsia="zh-CN"/>
                              </w:rPr>
                            </w:pPr>
                            <w:r>
                              <w:rPr>
                                <w:rFonts w:hint="default" w:ascii="Times New Roman" w:hAnsi="Times New Roman" w:cs="Times New Roman"/>
                                <w:color w:val="000000" w:themeColor="text1"/>
                                <w:sz w:val="15"/>
                                <w:szCs w:val="15"/>
                                <w:lang w:val="en-US" w:eastAsia="zh-CN"/>
                                <w14:textFill>
                                  <w14:solidFill>
                                    <w14:schemeClr w14:val="tx1"/>
                                  </w14:solidFill>
                                </w14:textFill>
                              </w:rPr>
                              <w:t>本项目输</w:t>
                            </w:r>
                            <w:r>
                              <w:rPr>
                                <w:rFonts w:hint="eastAsia"/>
                                <w:color w:val="000000" w:themeColor="text1"/>
                                <w:sz w:val="15"/>
                                <w:szCs w:val="15"/>
                                <w:lang w:val="en-US" w:eastAsia="zh-CN"/>
                                <w14:textFill>
                                  <w14:solidFill>
                                    <w14:schemeClr w14:val="tx1"/>
                                  </w14:solidFill>
                                </w14:textFill>
                              </w:rPr>
                              <w:t>电线路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3.85pt;margin-top:475.3pt;height:23.1pt;width:70.6pt;z-index:251687936;v-text-anchor:middle;mso-width-relative:page;mso-height-relative:page;" fillcolor="#FFFFFF [3212]" filled="t" stroked="t" coordsize="21600,21600" o:gfxdata="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U/HotNkAAAAMAQAADwAAAAAAAAABACAAAAAiAAAAZHJzL2Rvd25yZXYueG1s&#10;UEsBAhQAFAAAAAgAh07iQLuujhKiAgAATgUAAA4AAAAAAAAAAQAgAAAAKAEAAGRycy9lMm9Eb2Mu&#10;eG1sUEsFBgAAAAAGAAYAWQEAADwGAAAAAA==&#10;" adj="9598,56431">
                <v:fill on="t" focussize="0,0"/>
                <v:stroke weight="0.25pt" color="#000000 [3213]" joinstyle="round"/>
                <v:imagedata o:title=""/>
                <o:lock v:ext="edit" aspectratio="f"/>
                <v:textbox>
                  <w:txbxContent>
                    <w:p w14:paraId="4718DC4D">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default" w:eastAsiaTheme="minorEastAsia"/>
                          <w:sz w:val="15"/>
                          <w:szCs w:val="15"/>
                          <w:lang w:val="en-US" w:eastAsia="zh-CN"/>
                        </w:rPr>
                      </w:pPr>
                      <w:r>
                        <w:rPr>
                          <w:rFonts w:hint="default" w:ascii="Times New Roman" w:hAnsi="Times New Roman" w:cs="Times New Roman"/>
                          <w:color w:val="000000" w:themeColor="text1"/>
                          <w:sz w:val="15"/>
                          <w:szCs w:val="15"/>
                          <w:lang w:val="en-US" w:eastAsia="zh-CN"/>
                          <w14:textFill>
                            <w14:solidFill>
                              <w14:schemeClr w14:val="tx1"/>
                            </w14:solidFill>
                          </w14:textFill>
                        </w:rPr>
                        <w:t>本项目输</w:t>
                      </w:r>
                      <w:r>
                        <w:rPr>
                          <w:rFonts w:hint="eastAsia"/>
                          <w:color w:val="000000" w:themeColor="text1"/>
                          <w:sz w:val="15"/>
                          <w:szCs w:val="15"/>
                          <w:lang w:val="en-US" w:eastAsia="zh-CN"/>
                          <w14:textFill>
                            <w14:solidFill>
                              <w14:schemeClr w14:val="tx1"/>
                            </w14:solidFill>
                          </w14:textFill>
                        </w:rPr>
                        <w:t>电线路</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5962015</wp:posOffset>
                </wp:positionH>
                <wp:positionV relativeFrom="paragraph">
                  <wp:posOffset>6738620</wp:posOffset>
                </wp:positionV>
                <wp:extent cx="307340" cy="76200"/>
                <wp:effectExtent l="12700" t="10160" r="22860" b="27940"/>
                <wp:wrapNone/>
                <wp:docPr id="15" name="任意多边形 15"/>
                <wp:cNvGraphicFramePr/>
                <a:graphic xmlns:a="http://schemas.openxmlformats.org/drawingml/2006/main">
                  <a:graphicData uri="http://schemas.microsoft.com/office/word/2010/wordprocessingShape">
                    <wps:wsp>
                      <wps:cNvSpPr/>
                      <wps:spPr>
                        <a:xfrm>
                          <a:off x="0" y="0"/>
                          <a:ext cx="307340" cy="76200"/>
                        </a:xfrm>
                        <a:custGeom>
                          <a:avLst/>
                          <a:gdLst>
                            <a:gd name="connisteX0" fmla="*/ 476250 w 8639810"/>
                            <a:gd name="connsiteY0" fmla="*/ 0 h 2157095"/>
                            <a:gd name="connisteX1" fmla="*/ 398145 w 8639810"/>
                            <a:gd name="connsiteY1" fmla="*/ 61595 h 2157095"/>
                            <a:gd name="connisteX2" fmla="*/ 392430 w 8639810"/>
                            <a:gd name="connsiteY2" fmla="*/ 106680 h 2157095"/>
                            <a:gd name="connisteX3" fmla="*/ 229870 w 8639810"/>
                            <a:gd name="connsiteY3" fmla="*/ 257810 h 2157095"/>
                            <a:gd name="connisteX4" fmla="*/ 241300 w 8639810"/>
                            <a:gd name="connsiteY4" fmla="*/ 341630 h 2157095"/>
                            <a:gd name="connisteX5" fmla="*/ 95250 w 8639810"/>
                            <a:gd name="connsiteY5" fmla="*/ 571500 h 2157095"/>
                            <a:gd name="connisteX6" fmla="*/ 0 w 8639810"/>
                            <a:gd name="connsiteY6" fmla="*/ 952500 h 2157095"/>
                            <a:gd name="connisteX7" fmla="*/ 235585 w 8639810"/>
                            <a:gd name="connsiteY7" fmla="*/ 1339215 h 2157095"/>
                            <a:gd name="connisteX8" fmla="*/ 504190 w 8639810"/>
                            <a:gd name="connsiteY8" fmla="*/ 1255395 h 2157095"/>
                            <a:gd name="connisteX9" fmla="*/ 1087120 w 8639810"/>
                            <a:gd name="connsiteY9" fmla="*/ 1316990 h 2157095"/>
                            <a:gd name="connisteX10" fmla="*/ 1221740 w 8639810"/>
                            <a:gd name="connsiteY10" fmla="*/ 1226820 h 2157095"/>
                            <a:gd name="connisteX11" fmla="*/ 3109595 w 8639810"/>
                            <a:gd name="connsiteY11" fmla="*/ 1591310 h 2157095"/>
                            <a:gd name="connisteX12" fmla="*/ 3832860 w 8639810"/>
                            <a:gd name="connsiteY12" fmla="*/ 2157095 h 2157095"/>
                            <a:gd name="connisteX13" fmla="*/ 4824095 w 8639810"/>
                            <a:gd name="connsiteY13" fmla="*/ 1831975 h 2157095"/>
                            <a:gd name="connisteX14" fmla="*/ 5233035 w 8639810"/>
                            <a:gd name="connsiteY14" fmla="*/ 1988820 h 2157095"/>
                            <a:gd name="connisteX15" fmla="*/ 5720715 w 8639810"/>
                            <a:gd name="connsiteY15" fmla="*/ 1748155 h 2157095"/>
                            <a:gd name="connisteX16" fmla="*/ 6695440 w 8639810"/>
                            <a:gd name="connsiteY16" fmla="*/ 924560 h 2157095"/>
                            <a:gd name="connisteX17" fmla="*/ 8427085 w 8639810"/>
                            <a:gd name="connsiteY17" fmla="*/ 958215 h 2157095"/>
                            <a:gd name="connisteX18" fmla="*/ 8611870 w 8639810"/>
                            <a:gd name="connsiteY18" fmla="*/ 845820 h 2157095"/>
                            <a:gd name="connisteX19" fmla="*/ 8639810 w 8639810"/>
                            <a:gd name="connsiteY19" fmla="*/ 795655 h 21570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8639810" h="2157095">
                              <a:moveTo>
                                <a:pt x="476250" y="0"/>
                              </a:moveTo>
                              <a:lnTo>
                                <a:pt x="398145" y="61595"/>
                              </a:lnTo>
                              <a:lnTo>
                                <a:pt x="392430" y="106680"/>
                              </a:lnTo>
                              <a:lnTo>
                                <a:pt x="229870" y="257810"/>
                              </a:lnTo>
                              <a:lnTo>
                                <a:pt x="241300" y="341630"/>
                              </a:lnTo>
                              <a:lnTo>
                                <a:pt x="95250" y="571500"/>
                              </a:lnTo>
                              <a:lnTo>
                                <a:pt x="0" y="952500"/>
                              </a:lnTo>
                              <a:lnTo>
                                <a:pt x="235585" y="1339215"/>
                              </a:lnTo>
                              <a:lnTo>
                                <a:pt x="504190" y="1255395"/>
                              </a:lnTo>
                              <a:lnTo>
                                <a:pt x="1087120" y="1316990"/>
                              </a:lnTo>
                              <a:lnTo>
                                <a:pt x="1221740" y="1226820"/>
                              </a:lnTo>
                              <a:lnTo>
                                <a:pt x="3109595" y="1591310"/>
                              </a:lnTo>
                              <a:lnTo>
                                <a:pt x="3832860" y="2157095"/>
                              </a:lnTo>
                              <a:lnTo>
                                <a:pt x="4824095" y="1831975"/>
                              </a:lnTo>
                              <a:lnTo>
                                <a:pt x="5233035" y="1988820"/>
                              </a:lnTo>
                              <a:lnTo>
                                <a:pt x="5720715" y="1748155"/>
                              </a:lnTo>
                              <a:lnTo>
                                <a:pt x="6695440" y="924560"/>
                              </a:lnTo>
                              <a:lnTo>
                                <a:pt x="8427085" y="958215"/>
                              </a:lnTo>
                              <a:lnTo>
                                <a:pt x="8611870" y="845820"/>
                              </a:lnTo>
                              <a:lnTo>
                                <a:pt x="8639810" y="795655"/>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69.45pt;margin-top:530.6pt;height:6pt;width:24.2pt;z-index:251686912;mso-width-relative:page;mso-height-relative:page;" filled="f" stroked="t" coordsize="8639810,2157095" o:gfxdata="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" path="m476250,0l398145,61595,392430,106680,229870,257810,241300,341630,95250,571500,0,952500,235585,1339215,504190,1255395,1087120,1316990,1221740,1226820,3109595,1591310,3832860,2157095,4824095,1831975,5233035,1988820,5720715,1748155,6695440,924560,8427085,958215,8611870,845820,8639810,795655e">
                <v:path o:connectlocs="16941,0;14163,2175;13959,3768;8177,9107;8583,12068;3388,20188;0,33647;8380,47308;17935,44347;38671,46523;43460,43337;110616,56213;136344,76200;171605,64715;186152,70255;203500,61754;238173,32660;299772,33849;306346,29878;307340,28106" o:connectangles="0,0,0,0,0,0,0,0,0,0,0,0,0,0,0,0,0,0,0,0"/>
                <v:fill on="f" focussize="0,0"/>
                <v:stroke weight="2pt" color="#FF0000 [2404]" joinstyle="round"/>
                <v:imagedata o:title=""/>
                <o:lock v:ext="edit" aspectratio="f"/>
              </v:shape>
            </w:pict>
          </mc:Fallback>
        </mc:AlternateContent>
      </w:r>
      <w:r>
        <w:rPr>
          <w:rFonts w:hint="eastAsia" w:ascii="Times New Roman" w:hAnsi="Times New Roman" w:eastAsia="黑体" w:cs="Times New Roman"/>
          <w:b/>
          <w:bCs/>
          <w:color w:val="000000" w:themeColor="text1"/>
          <w:kern w:val="44"/>
          <w:sz w:val="24"/>
          <w:szCs w:val="24"/>
          <w:lang w:val="en-US" w:eastAsia="zh-CN" w:bidi="ar-SA"/>
          <w14:textFill>
            <w14:solidFill>
              <w14:schemeClr w14:val="tx1"/>
            </w14:solidFill>
          </w14:textFill>
        </w:rPr>
        <w:object>
          <v:shape id="_x0000_i1041" o:spt="75" alt="" type="#_x0000_t75" style="height:787.6pt;width:684.45pt;" o:ole="t" filled="f" o:preferrelative="t" stroked="f" coordsize="21600,21600">
            <v:path/>
            <v:fill on="f" focussize="0,0"/>
            <v:stroke on="f"/>
            <v:imagedata r:id="rId165" o:title=""/>
            <o:lock v:ext="edit" aspectratio="f"/>
            <w10:wrap type="none"/>
            <w10:anchorlock/>
          </v:shape>
          <o:OLEObject Type="Embed" ProgID="Visio.Drawing.15" ShapeID="_x0000_i1041" DrawAspect="Content" ObjectID="_1468075725" r:id="rId164">
            <o:LockedField>false</o:LockedField>
          </o:OLEObject>
        </w:object>
      </w:r>
    </w:p>
    <w:p w14:paraId="5FFC39ED">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eastAsia="黑体" w:cs="Times New Roman"/>
          <w:b/>
          <w:bCs/>
          <w:color w:val="FF0000"/>
          <w:kern w:val="44"/>
          <w:sz w:val="24"/>
          <w:szCs w:val="24"/>
          <w:lang w:val="en-US" w:eastAsia="zh-CN" w:bidi="ar-SA"/>
        </w:rPr>
      </w:pPr>
      <w:r>
        <w:rPr>
          <w:rFonts w:hint="eastAsia" w:ascii="Times New Roman" w:hAnsi="Times New Roman" w:eastAsia="黑体" w:cs="Times New Roman"/>
          <w:b/>
          <w:bCs/>
          <w:color w:val="FF0000"/>
          <w:kern w:val="44"/>
          <w:sz w:val="24"/>
          <w:szCs w:val="24"/>
          <w:lang w:val="en-US" w:eastAsia="zh-CN" w:bidi="ar-SA"/>
        </w:rPr>
        <w:t>附图</w:t>
      </w:r>
      <w:r>
        <w:rPr>
          <w:rFonts w:hint="eastAsia" w:eastAsia="黑体" w:cs="Times New Roman"/>
          <w:b/>
          <w:bCs/>
          <w:color w:val="FF0000"/>
          <w:kern w:val="44"/>
          <w:sz w:val="24"/>
          <w:szCs w:val="24"/>
          <w:lang w:val="en-US" w:eastAsia="zh-CN" w:bidi="ar-SA"/>
        </w:rPr>
        <w:t>7</w:t>
      </w:r>
      <w:r>
        <w:rPr>
          <w:rFonts w:hint="eastAsia" w:ascii="Times New Roman" w:hAnsi="Times New Roman" w:eastAsia="黑体" w:cs="Times New Roman"/>
          <w:b/>
          <w:bCs/>
          <w:color w:val="FF0000"/>
          <w:kern w:val="44"/>
          <w:sz w:val="24"/>
          <w:szCs w:val="24"/>
          <w:lang w:val="en-US" w:eastAsia="zh-CN" w:bidi="ar-SA"/>
        </w:rPr>
        <w:t xml:space="preserve"> 本项目与基本农田分布位置关系图</w:t>
      </w:r>
    </w:p>
    <w:sectPr>
      <w:pgSz w:w="16840" w:h="23814"/>
      <w:pgMar w:top="1440" w:right="1276" w:bottom="1440" w:left="1418"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MingLiU">
    <w:panose1 w:val="02010609000101010101"/>
    <w:charset w:val="88"/>
    <w:family w:val="modern"/>
    <w:pitch w:val="default"/>
    <w:sig w:usb0="80000001" w:usb1="28091800" w:usb2="00000016" w:usb3="00000000" w:csb0="00100001" w:csb1="00000000"/>
  </w:font>
  <w:font w:name="Wingdings 2">
    <w:panose1 w:val="05020102010507070707"/>
    <w:charset w:val="00"/>
    <w:family w:val="auto"/>
    <w:pitch w:val="default"/>
    <w:sig w:usb0="00000000" w:usb1="00000000" w:usb2="00000000" w:usb3="00000000" w:csb0="80000000" w:csb1="00000000"/>
  </w:font>
  <w:font w:name="仿宋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C0C1DA">
    <w:pPr>
      <w:pStyle w:val="1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99358A">
    <w:pPr>
      <w:pStyle w:val="19"/>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44E867">
    <w:pPr>
      <w:pStyle w:val="19"/>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0047DD6">
                          <w:pPr>
                            <w:pStyle w:val="19"/>
                          </w:pPr>
                          <w:r>
                            <w:fldChar w:fldCharType="begin"/>
                          </w:r>
                          <w:r>
                            <w:instrText xml:space="preserve"> PAGE  \* MERGEFORMAT </w:instrText>
                          </w:r>
                          <w:r>
                            <w:fldChar w:fldCharType="separate"/>
                          </w:r>
                          <w:r>
                            <w:t>2</w:t>
                          </w:r>
                          <w:r>
                            <w:fldChar w:fldCharType="end"/>
                          </w:r>
                        </w:p>
                      </w:txbxContent>
                    </wps:txbx>
                    <wps:bodyPr vert="horz" wrap="none" lIns="0" tIns="0" rIns="0" bIns="0" anchor="t" anchorCtr="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ql5uc8AAAAFAQAADwAAAAAAAAABACAAAAAiAAAA&#10;ZHJzL2Rvd25yZXYueG1sUEsBAhQAFAAAAAgAh07iQKxJXFXXAQAAtAMAAA4AAAAAAAAAAQAgAAAA&#10;HgEAAGRycy9lMm9Eb2MueG1sUEsFBgAAAAAGAAYAWQEAAGcFAAAAAA==&#10;">
              <v:fill on="f" focussize="0,0"/>
              <v:stroke on="f"/>
              <v:imagedata o:title=""/>
              <o:lock v:ext="edit" aspectratio="f"/>
              <v:textbox inset="0mm,0mm,0mm,0mm" style="mso-fit-shape-to-text:t;">
                <w:txbxContent>
                  <w:p w14:paraId="70047DD6">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3CA59">
    <w:pPr>
      <w:pStyle w:val="19"/>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4123BD">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38D50A"/>
    <w:multiLevelType w:val="singleLevel"/>
    <w:tmpl w:val="9938D50A"/>
    <w:lvl w:ilvl="0" w:tentative="0">
      <w:start w:val="1"/>
      <w:numFmt w:val="decimal"/>
      <w:suff w:val="nothing"/>
      <w:lvlText w:val="%1）"/>
      <w:lvlJc w:val="left"/>
    </w:lvl>
  </w:abstractNum>
  <w:abstractNum w:abstractNumId="1">
    <w:nsid w:val="104B3429"/>
    <w:multiLevelType w:val="singleLevel"/>
    <w:tmpl w:val="104B3429"/>
    <w:lvl w:ilvl="0" w:tentative="0">
      <w:start w:val="4"/>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VkMjQwN2ZkMmZmOWZiYWEwNTljMzUzYTZiNTVjYjkifQ=="/>
    <w:docVar w:name="KSO_WPS_MARK_KEY" w:val="efc52999-3841-4cd5-8db3-b40a68ef4041"/>
  </w:docVars>
  <w:rsids>
    <w:rsidRoot w:val="00172A27"/>
    <w:rsid w:val="00001CED"/>
    <w:rsid w:val="00001E67"/>
    <w:rsid w:val="00003CD8"/>
    <w:rsid w:val="00014965"/>
    <w:rsid w:val="0001523A"/>
    <w:rsid w:val="00016ECB"/>
    <w:rsid w:val="000269F6"/>
    <w:rsid w:val="00031939"/>
    <w:rsid w:val="00032D25"/>
    <w:rsid w:val="0005219D"/>
    <w:rsid w:val="00052AD0"/>
    <w:rsid w:val="0005568F"/>
    <w:rsid w:val="0006153D"/>
    <w:rsid w:val="00061B1F"/>
    <w:rsid w:val="000664DB"/>
    <w:rsid w:val="0007127D"/>
    <w:rsid w:val="00071AE5"/>
    <w:rsid w:val="00074783"/>
    <w:rsid w:val="000801E0"/>
    <w:rsid w:val="00082A29"/>
    <w:rsid w:val="0008331D"/>
    <w:rsid w:val="00083C18"/>
    <w:rsid w:val="00092899"/>
    <w:rsid w:val="00093C01"/>
    <w:rsid w:val="00094B56"/>
    <w:rsid w:val="000A178E"/>
    <w:rsid w:val="000A557E"/>
    <w:rsid w:val="000B058F"/>
    <w:rsid w:val="000B3DD7"/>
    <w:rsid w:val="000B693F"/>
    <w:rsid w:val="000C09AC"/>
    <w:rsid w:val="000C0A63"/>
    <w:rsid w:val="000C437E"/>
    <w:rsid w:val="000D1F39"/>
    <w:rsid w:val="000E5F16"/>
    <w:rsid w:val="000F4452"/>
    <w:rsid w:val="000F6DA1"/>
    <w:rsid w:val="000F701B"/>
    <w:rsid w:val="001056A0"/>
    <w:rsid w:val="00115279"/>
    <w:rsid w:val="00117459"/>
    <w:rsid w:val="0011749A"/>
    <w:rsid w:val="00127A68"/>
    <w:rsid w:val="00127C88"/>
    <w:rsid w:val="00140B13"/>
    <w:rsid w:val="00141B68"/>
    <w:rsid w:val="001466DA"/>
    <w:rsid w:val="00154DE1"/>
    <w:rsid w:val="00155B40"/>
    <w:rsid w:val="00157435"/>
    <w:rsid w:val="00163EEA"/>
    <w:rsid w:val="00167A07"/>
    <w:rsid w:val="0017046A"/>
    <w:rsid w:val="001704A3"/>
    <w:rsid w:val="00172A27"/>
    <w:rsid w:val="0017504D"/>
    <w:rsid w:val="00177422"/>
    <w:rsid w:val="00184F10"/>
    <w:rsid w:val="00185546"/>
    <w:rsid w:val="0019146B"/>
    <w:rsid w:val="00194398"/>
    <w:rsid w:val="001A7D2A"/>
    <w:rsid w:val="001B574C"/>
    <w:rsid w:val="001C0AF9"/>
    <w:rsid w:val="001C155A"/>
    <w:rsid w:val="001C2558"/>
    <w:rsid w:val="001C48C0"/>
    <w:rsid w:val="001C498E"/>
    <w:rsid w:val="001D6726"/>
    <w:rsid w:val="001E0AF0"/>
    <w:rsid w:val="001E46C9"/>
    <w:rsid w:val="001E7FBC"/>
    <w:rsid w:val="001F264E"/>
    <w:rsid w:val="001F3347"/>
    <w:rsid w:val="001F4440"/>
    <w:rsid w:val="001F69E4"/>
    <w:rsid w:val="002006D0"/>
    <w:rsid w:val="002008A8"/>
    <w:rsid w:val="00206A65"/>
    <w:rsid w:val="00212D31"/>
    <w:rsid w:val="002130C7"/>
    <w:rsid w:val="002218A8"/>
    <w:rsid w:val="0022306D"/>
    <w:rsid w:val="00225389"/>
    <w:rsid w:val="00226574"/>
    <w:rsid w:val="002278EC"/>
    <w:rsid w:val="002357C7"/>
    <w:rsid w:val="002367C4"/>
    <w:rsid w:val="0024691F"/>
    <w:rsid w:val="00256523"/>
    <w:rsid w:val="0025679E"/>
    <w:rsid w:val="00260C68"/>
    <w:rsid w:val="00260FE8"/>
    <w:rsid w:val="002648B0"/>
    <w:rsid w:val="00275271"/>
    <w:rsid w:val="0027535E"/>
    <w:rsid w:val="00275AA6"/>
    <w:rsid w:val="002807D5"/>
    <w:rsid w:val="00282CCD"/>
    <w:rsid w:val="00285C9E"/>
    <w:rsid w:val="00291625"/>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E3979"/>
    <w:rsid w:val="002F02A4"/>
    <w:rsid w:val="002F272B"/>
    <w:rsid w:val="002F7C6D"/>
    <w:rsid w:val="003027E4"/>
    <w:rsid w:val="0030332C"/>
    <w:rsid w:val="00312296"/>
    <w:rsid w:val="0031340E"/>
    <w:rsid w:val="00316464"/>
    <w:rsid w:val="0032073A"/>
    <w:rsid w:val="00321195"/>
    <w:rsid w:val="00321D8E"/>
    <w:rsid w:val="00325EB5"/>
    <w:rsid w:val="00331F97"/>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93D25"/>
    <w:rsid w:val="0039758E"/>
    <w:rsid w:val="003A1948"/>
    <w:rsid w:val="003A73C5"/>
    <w:rsid w:val="003B152A"/>
    <w:rsid w:val="003B545B"/>
    <w:rsid w:val="003C468C"/>
    <w:rsid w:val="003D3EE9"/>
    <w:rsid w:val="003E7681"/>
    <w:rsid w:val="003F0809"/>
    <w:rsid w:val="003F611C"/>
    <w:rsid w:val="003F755C"/>
    <w:rsid w:val="00406F01"/>
    <w:rsid w:val="00411B36"/>
    <w:rsid w:val="004121D7"/>
    <w:rsid w:val="00416D50"/>
    <w:rsid w:val="00417772"/>
    <w:rsid w:val="00420E6A"/>
    <w:rsid w:val="00433573"/>
    <w:rsid w:val="00433CA9"/>
    <w:rsid w:val="0043521D"/>
    <w:rsid w:val="004362EB"/>
    <w:rsid w:val="00442024"/>
    <w:rsid w:val="0044254C"/>
    <w:rsid w:val="00443F6A"/>
    <w:rsid w:val="00445608"/>
    <w:rsid w:val="00450A17"/>
    <w:rsid w:val="00466321"/>
    <w:rsid w:val="004672AF"/>
    <w:rsid w:val="004727B0"/>
    <w:rsid w:val="00480247"/>
    <w:rsid w:val="0048081D"/>
    <w:rsid w:val="0048117E"/>
    <w:rsid w:val="004855F6"/>
    <w:rsid w:val="00486F0C"/>
    <w:rsid w:val="00494433"/>
    <w:rsid w:val="00494670"/>
    <w:rsid w:val="004A0EB4"/>
    <w:rsid w:val="004A1103"/>
    <w:rsid w:val="004A3823"/>
    <w:rsid w:val="004A59BB"/>
    <w:rsid w:val="004A7EAD"/>
    <w:rsid w:val="004B43A3"/>
    <w:rsid w:val="004B4C49"/>
    <w:rsid w:val="004B58A5"/>
    <w:rsid w:val="004B63D9"/>
    <w:rsid w:val="004C0882"/>
    <w:rsid w:val="004C55BE"/>
    <w:rsid w:val="004E5B30"/>
    <w:rsid w:val="004F0779"/>
    <w:rsid w:val="004F10E1"/>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07BC"/>
    <w:rsid w:val="00542E07"/>
    <w:rsid w:val="00551A6F"/>
    <w:rsid w:val="00551F02"/>
    <w:rsid w:val="00554A7B"/>
    <w:rsid w:val="0055572C"/>
    <w:rsid w:val="0056064F"/>
    <w:rsid w:val="00561B84"/>
    <w:rsid w:val="00571D98"/>
    <w:rsid w:val="005720AE"/>
    <w:rsid w:val="0058030D"/>
    <w:rsid w:val="005812C1"/>
    <w:rsid w:val="00582045"/>
    <w:rsid w:val="00590AE3"/>
    <w:rsid w:val="005918F1"/>
    <w:rsid w:val="005A06B7"/>
    <w:rsid w:val="005A1759"/>
    <w:rsid w:val="005D0369"/>
    <w:rsid w:val="005D53FE"/>
    <w:rsid w:val="005D7A0F"/>
    <w:rsid w:val="005E0438"/>
    <w:rsid w:val="005E1791"/>
    <w:rsid w:val="005E2CE6"/>
    <w:rsid w:val="005E4918"/>
    <w:rsid w:val="005E6324"/>
    <w:rsid w:val="005F228B"/>
    <w:rsid w:val="005F29CD"/>
    <w:rsid w:val="005F4DFB"/>
    <w:rsid w:val="005F6CC0"/>
    <w:rsid w:val="00602638"/>
    <w:rsid w:val="00603E5B"/>
    <w:rsid w:val="00604BC8"/>
    <w:rsid w:val="00615B4C"/>
    <w:rsid w:val="00615B5D"/>
    <w:rsid w:val="00620A5E"/>
    <w:rsid w:val="0062146F"/>
    <w:rsid w:val="006237BE"/>
    <w:rsid w:val="006343AF"/>
    <w:rsid w:val="0063634A"/>
    <w:rsid w:val="0064250D"/>
    <w:rsid w:val="00643191"/>
    <w:rsid w:val="00644948"/>
    <w:rsid w:val="006535EB"/>
    <w:rsid w:val="00663016"/>
    <w:rsid w:val="00671498"/>
    <w:rsid w:val="00674605"/>
    <w:rsid w:val="006748B8"/>
    <w:rsid w:val="00676EE6"/>
    <w:rsid w:val="0068535B"/>
    <w:rsid w:val="0068736E"/>
    <w:rsid w:val="0069290A"/>
    <w:rsid w:val="00697032"/>
    <w:rsid w:val="006975AC"/>
    <w:rsid w:val="006A15FB"/>
    <w:rsid w:val="006A72BF"/>
    <w:rsid w:val="006B332A"/>
    <w:rsid w:val="006B33BD"/>
    <w:rsid w:val="006B6723"/>
    <w:rsid w:val="006C3F75"/>
    <w:rsid w:val="006D170E"/>
    <w:rsid w:val="006D34D1"/>
    <w:rsid w:val="006D608A"/>
    <w:rsid w:val="006E06AF"/>
    <w:rsid w:val="006F1789"/>
    <w:rsid w:val="007002ED"/>
    <w:rsid w:val="00703B3C"/>
    <w:rsid w:val="00706C5D"/>
    <w:rsid w:val="007118E6"/>
    <w:rsid w:val="0071588D"/>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4E30"/>
    <w:rsid w:val="007967E8"/>
    <w:rsid w:val="00797813"/>
    <w:rsid w:val="007A63F2"/>
    <w:rsid w:val="007B5D67"/>
    <w:rsid w:val="007B68DE"/>
    <w:rsid w:val="007C1857"/>
    <w:rsid w:val="007C514F"/>
    <w:rsid w:val="007C6A32"/>
    <w:rsid w:val="007D0F95"/>
    <w:rsid w:val="007D7ECB"/>
    <w:rsid w:val="007E25A1"/>
    <w:rsid w:val="007E4BD2"/>
    <w:rsid w:val="007E7145"/>
    <w:rsid w:val="007F3916"/>
    <w:rsid w:val="007F4F14"/>
    <w:rsid w:val="00801179"/>
    <w:rsid w:val="00802479"/>
    <w:rsid w:val="00805372"/>
    <w:rsid w:val="00805B7B"/>
    <w:rsid w:val="0081293E"/>
    <w:rsid w:val="00814FFB"/>
    <w:rsid w:val="00820568"/>
    <w:rsid w:val="00823005"/>
    <w:rsid w:val="008261F1"/>
    <w:rsid w:val="00831A80"/>
    <w:rsid w:val="008332C8"/>
    <w:rsid w:val="00833743"/>
    <w:rsid w:val="008340A4"/>
    <w:rsid w:val="00836799"/>
    <w:rsid w:val="00837028"/>
    <w:rsid w:val="00837131"/>
    <w:rsid w:val="00845F57"/>
    <w:rsid w:val="008521E0"/>
    <w:rsid w:val="008525B0"/>
    <w:rsid w:val="00856CAB"/>
    <w:rsid w:val="0086111E"/>
    <w:rsid w:val="00867CBC"/>
    <w:rsid w:val="00872608"/>
    <w:rsid w:val="00876C30"/>
    <w:rsid w:val="00877017"/>
    <w:rsid w:val="008773C0"/>
    <w:rsid w:val="00880364"/>
    <w:rsid w:val="00881524"/>
    <w:rsid w:val="00886C4C"/>
    <w:rsid w:val="0088711C"/>
    <w:rsid w:val="00892ECF"/>
    <w:rsid w:val="00892F06"/>
    <w:rsid w:val="00894285"/>
    <w:rsid w:val="008A40AE"/>
    <w:rsid w:val="008A4E19"/>
    <w:rsid w:val="008A67C5"/>
    <w:rsid w:val="008B06C2"/>
    <w:rsid w:val="008B22E1"/>
    <w:rsid w:val="008B3C78"/>
    <w:rsid w:val="008B4AE9"/>
    <w:rsid w:val="008C30AD"/>
    <w:rsid w:val="008D068E"/>
    <w:rsid w:val="008D0F7A"/>
    <w:rsid w:val="008D63BE"/>
    <w:rsid w:val="008E0CFF"/>
    <w:rsid w:val="008E5D6B"/>
    <w:rsid w:val="008E689B"/>
    <w:rsid w:val="008E76F0"/>
    <w:rsid w:val="008E7824"/>
    <w:rsid w:val="008F15FE"/>
    <w:rsid w:val="008F2A94"/>
    <w:rsid w:val="008F2E93"/>
    <w:rsid w:val="008F5187"/>
    <w:rsid w:val="008F56D0"/>
    <w:rsid w:val="008F709C"/>
    <w:rsid w:val="0090227D"/>
    <w:rsid w:val="0090312B"/>
    <w:rsid w:val="00904961"/>
    <w:rsid w:val="0091736D"/>
    <w:rsid w:val="009175BF"/>
    <w:rsid w:val="00931001"/>
    <w:rsid w:val="00931863"/>
    <w:rsid w:val="00933524"/>
    <w:rsid w:val="0094278D"/>
    <w:rsid w:val="00951143"/>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0179"/>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6C97"/>
    <w:rsid w:val="00A37056"/>
    <w:rsid w:val="00A4358F"/>
    <w:rsid w:val="00A46F67"/>
    <w:rsid w:val="00A54AA1"/>
    <w:rsid w:val="00A568FF"/>
    <w:rsid w:val="00A61025"/>
    <w:rsid w:val="00A61496"/>
    <w:rsid w:val="00A61833"/>
    <w:rsid w:val="00A624C6"/>
    <w:rsid w:val="00A63CEC"/>
    <w:rsid w:val="00A7031E"/>
    <w:rsid w:val="00A728B1"/>
    <w:rsid w:val="00A763DE"/>
    <w:rsid w:val="00A803D6"/>
    <w:rsid w:val="00A81282"/>
    <w:rsid w:val="00A8713F"/>
    <w:rsid w:val="00A91167"/>
    <w:rsid w:val="00A9171C"/>
    <w:rsid w:val="00A92607"/>
    <w:rsid w:val="00A92FFD"/>
    <w:rsid w:val="00A95975"/>
    <w:rsid w:val="00A9708D"/>
    <w:rsid w:val="00A97CC0"/>
    <w:rsid w:val="00AA2C17"/>
    <w:rsid w:val="00AA4172"/>
    <w:rsid w:val="00AB1914"/>
    <w:rsid w:val="00AB5330"/>
    <w:rsid w:val="00AB7747"/>
    <w:rsid w:val="00AC2532"/>
    <w:rsid w:val="00AC73CF"/>
    <w:rsid w:val="00AD1507"/>
    <w:rsid w:val="00AD5A70"/>
    <w:rsid w:val="00AD738B"/>
    <w:rsid w:val="00AE1BF4"/>
    <w:rsid w:val="00AE5D97"/>
    <w:rsid w:val="00AE6794"/>
    <w:rsid w:val="00B01110"/>
    <w:rsid w:val="00B02262"/>
    <w:rsid w:val="00B03CEC"/>
    <w:rsid w:val="00B04F9A"/>
    <w:rsid w:val="00B1209F"/>
    <w:rsid w:val="00B12AD0"/>
    <w:rsid w:val="00B24F30"/>
    <w:rsid w:val="00B31ABF"/>
    <w:rsid w:val="00B335AE"/>
    <w:rsid w:val="00B35DA1"/>
    <w:rsid w:val="00B37CE1"/>
    <w:rsid w:val="00B40ACF"/>
    <w:rsid w:val="00B46BAA"/>
    <w:rsid w:val="00B50B5F"/>
    <w:rsid w:val="00B54128"/>
    <w:rsid w:val="00B54191"/>
    <w:rsid w:val="00B55826"/>
    <w:rsid w:val="00B60426"/>
    <w:rsid w:val="00B622DD"/>
    <w:rsid w:val="00B63522"/>
    <w:rsid w:val="00B76F1D"/>
    <w:rsid w:val="00B775CE"/>
    <w:rsid w:val="00B92A19"/>
    <w:rsid w:val="00B9544C"/>
    <w:rsid w:val="00BA29E9"/>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8FE"/>
    <w:rsid w:val="00C33A05"/>
    <w:rsid w:val="00C42500"/>
    <w:rsid w:val="00C434F1"/>
    <w:rsid w:val="00C4409D"/>
    <w:rsid w:val="00C455BE"/>
    <w:rsid w:val="00C5041C"/>
    <w:rsid w:val="00C51E5F"/>
    <w:rsid w:val="00C532D5"/>
    <w:rsid w:val="00C57403"/>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C7E1A"/>
    <w:rsid w:val="00CD2BCD"/>
    <w:rsid w:val="00CD36AA"/>
    <w:rsid w:val="00CD3791"/>
    <w:rsid w:val="00CD65B0"/>
    <w:rsid w:val="00CE02CD"/>
    <w:rsid w:val="00CE10E9"/>
    <w:rsid w:val="00CE7616"/>
    <w:rsid w:val="00CE768F"/>
    <w:rsid w:val="00CF3E42"/>
    <w:rsid w:val="00D0072E"/>
    <w:rsid w:val="00D11A7F"/>
    <w:rsid w:val="00D15727"/>
    <w:rsid w:val="00D15E94"/>
    <w:rsid w:val="00D16332"/>
    <w:rsid w:val="00D24972"/>
    <w:rsid w:val="00D2515E"/>
    <w:rsid w:val="00D308ED"/>
    <w:rsid w:val="00D56178"/>
    <w:rsid w:val="00D56CF0"/>
    <w:rsid w:val="00D56F5C"/>
    <w:rsid w:val="00D63B43"/>
    <w:rsid w:val="00D704B1"/>
    <w:rsid w:val="00D70B63"/>
    <w:rsid w:val="00D72B92"/>
    <w:rsid w:val="00D72ED4"/>
    <w:rsid w:val="00D73F61"/>
    <w:rsid w:val="00D754C0"/>
    <w:rsid w:val="00D776A2"/>
    <w:rsid w:val="00D801C4"/>
    <w:rsid w:val="00D90836"/>
    <w:rsid w:val="00D91D64"/>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D5D4D"/>
    <w:rsid w:val="00DE4FC3"/>
    <w:rsid w:val="00DF0B66"/>
    <w:rsid w:val="00DF1930"/>
    <w:rsid w:val="00DF514A"/>
    <w:rsid w:val="00E0358D"/>
    <w:rsid w:val="00E06327"/>
    <w:rsid w:val="00E15834"/>
    <w:rsid w:val="00E2064B"/>
    <w:rsid w:val="00E25239"/>
    <w:rsid w:val="00E265B1"/>
    <w:rsid w:val="00E275B0"/>
    <w:rsid w:val="00E412D0"/>
    <w:rsid w:val="00E4234A"/>
    <w:rsid w:val="00E47CDB"/>
    <w:rsid w:val="00E566BC"/>
    <w:rsid w:val="00E604F3"/>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945F2"/>
    <w:rsid w:val="00EA15D0"/>
    <w:rsid w:val="00EB041C"/>
    <w:rsid w:val="00EB31EC"/>
    <w:rsid w:val="00EC5874"/>
    <w:rsid w:val="00ED192D"/>
    <w:rsid w:val="00ED30B4"/>
    <w:rsid w:val="00ED31F5"/>
    <w:rsid w:val="00EE57EB"/>
    <w:rsid w:val="00EF2759"/>
    <w:rsid w:val="00EF45EB"/>
    <w:rsid w:val="00EF5099"/>
    <w:rsid w:val="00EF5E33"/>
    <w:rsid w:val="00F00075"/>
    <w:rsid w:val="00F07822"/>
    <w:rsid w:val="00F15C95"/>
    <w:rsid w:val="00F22985"/>
    <w:rsid w:val="00F241AB"/>
    <w:rsid w:val="00F31382"/>
    <w:rsid w:val="00F35829"/>
    <w:rsid w:val="00F37461"/>
    <w:rsid w:val="00F42868"/>
    <w:rsid w:val="00F465A7"/>
    <w:rsid w:val="00F50B7C"/>
    <w:rsid w:val="00F5202D"/>
    <w:rsid w:val="00F52CF6"/>
    <w:rsid w:val="00F54496"/>
    <w:rsid w:val="00F61097"/>
    <w:rsid w:val="00F62E94"/>
    <w:rsid w:val="00F74345"/>
    <w:rsid w:val="00F74441"/>
    <w:rsid w:val="00F77F30"/>
    <w:rsid w:val="00F82589"/>
    <w:rsid w:val="00F82B19"/>
    <w:rsid w:val="00F90AA7"/>
    <w:rsid w:val="00F9212D"/>
    <w:rsid w:val="00FA301A"/>
    <w:rsid w:val="00FA406A"/>
    <w:rsid w:val="00FA5CB6"/>
    <w:rsid w:val="00FC66AC"/>
    <w:rsid w:val="00FD18F4"/>
    <w:rsid w:val="00FD4581"/>
    <w:rsid w:val="00FD74B4"/>
    <w:rsid w:val="00FF6FCE"/>
    <w:rsid w:val="00FF7518"/>
    <w:rsid w:val="00FF7FD8"/>
    <w:rsid w:val="01101675"/>
    <w:rsid w:val="014063FE"/>
    <w:rsid w:val="014878FC"/>
    <w:rsid w:val="01795B8E"/>
    <w:rsid w:val="018C37AC"/>
    <w:rsid w:val="01FF4EDD"/>
    <w:rsid w:val="02151639"/>
    <w:rsid w:val="024024DD"/>
    <w:rsid w:val="026727A0"/>
    <w:rsid w:val="02A323FF"/>
    <w:rsid w:val="02AD7AC3"/>
    <w:rsid w:val="02C646E1"/>
    <w:rsid w:val="0306784A"/>
    <w:rsid w:val="03224947"/>
    <w:rsid w:val="038B04DC"/>
    <w:rsid w:val="038D429B"/>
    <w:rsid w:val="0391246A"/>
    <w:rsid w:val="04521926"/>
    <w:rsid w:val="046D304D"/>
    <w:rsid w:val="04745A55"/>
    <w:rsid w:val="048972FB"/>
    <w:rsid w:val="04AB35EB"/>
    <w:rsid w:val="04D44250"/>
    <w:rsid w:val="04EC6E64"/>
    <w:rsid w:val="04F71865"/>
    <w:rsid w:val="052228A6"/>
    <w:rsid w:val="054F49E4"/>
    <w:rsid w:val="056522DB"/>
    <w:rsid w:val="05742AC8"/>
    <w:rsid w:val="057A71F9"/>
    <w:rsid w:val="058F1B5F"/>
    <w:rsid w:val="05C018BB"/>
    <w:rsid w:val="05FC3EF9"/>
    <w:rsid w:val="062D7EC3"/>
    <w:rsid w:val="063039F1"/>
    <w:rsid w:val="06352F05"/>
    <w:rsid w:val="063E7760"/>
    <w:rsid w:val="063E7D85"/>
    <w:rsid w:val="070875E0"/>
    <w:rsid w:val="070D2672"/>
    <w:rsid w:val="07293586"/>
    <w:rsid w:val="07295285"/>
    <w:rsid w:val="07600C4B"/>
    <w:rsid w:val="07770C56"/>
    <w:rsid w:val="07877A32"/>
    <w:rsid w:val="078908AD"/>
    <w:rsid w:val="07F8491F"/>
    <w:rsid w:val="08474431"/>
    <w:rsid w:val="08563337"/>
    <w:rsid w:val="08601329"/>
    <w:rsid w:val="092217DD"/>
    <w:rsid w:val="093A7294"/>
    <w:rsid w:val="094F6516"/>
    <w:rsid w:val="09B730DA"/>
    <w:rsid w:val="09D05D62"/>
    <w:rsid w:val="0A0A1357"/>
    <w:rsid w:val="0A241565"/>
    <w:rsid w:val="0A731F23"/>
    <w:rsid w:val="0AE05E32"/>
    <w:rsid w:val="0B077569"/>
    <w:rsid w:val="0B494F1B"/>
    <w:rsid w:val="0B825A34"/>
    <w:rsid w:val="0BD27BF6"/>
    <w:rsid w:val="0C634D5D"/>
    <w:rsid w:val="0CAB071A"/>
    <w:rsid w:val="0CB809FD"/>
    <w:rsid w:val="0CE46E9B"/>
    <w:rsid w:val="0CF744A9"/>
    <w:rsid w:val="0D136775"/>
    <w:rsid w:val="0D426F90"/>
    <w:rsid w:val="0DA250D0"/>
    <w:rsid w:val="0DD33315"/>
    <w:rsid w:val="0E110D06"/>
    <w:rsid w:val="0E30784B"/>
    <w:rsid w:val="0E3C5B77"/>
    <w:rsid w:val="0E5434E9"/>
    <w:rsid w:val="0E7B0B5A"/>
    <w:rsid w:val="0E903BF7"/>
    <w:rsid w:val="0EB75826"/>
    <w:rsid w:val="0F13775A"/>
    <w:rsid w:val="0F4F78B0"/>
    <w:rsid w:val="0F9A112B"/>
    <w:rsid w:val="0FEE756B"/>
    <w:rsid w:val="0FEF1D09"/>
    <w:rsid w:val="10394A12"/>
    <w:rsid w:val="10450280"/>
    <w:rsid w:val="106D2F64"/>
    <w:rsid w:val="108C26EE"/>
    <w:rsid w:val="108D1093"/>
    <w:rsid w:val="10AD4D13"/>
    <w:rsid w:val="10AE33E4"/>
    <w:rsid w:val="10B63710"/>
    <w:rsid w:val="10BC7123"/>
    <w:rsid w:val="10F75A10"/>
    <w:rsid w:val="10FC6CBC"/>
    <w:rsid w:val="11142AC3"/>
    <w:rsid w:val="111C2F7A"/>
    <w:rsid w:val="113013DE"/>
    <w:rsid w:val="11891479"/>
    <w:rsid w:val="119E49C4"/>
    <w:rsid w:val="119F4A7B"/>
    <w:rsid w:val="11AF6DFD"/>
    <w:rsid w:val="11E513FD"/>
    <w:rsid w:val="12030C5A"/>
    <w:rsid w:val="1212797A"/>
    <w:rsid w:val="122B06C2"/>
    <w:rsid w:val="123039A6"/>
    <w:rsid w:val="12820562"/>
    <w:rsid w:val="12AE727B"/>
    <w:rsid w:val="12C44C69"/>
    <w:rsid w:val="12EC3B28"/>
    <w:rsid w:val="132841E2"/>
    <w:rsid w:val="13314382"/>
    <w:rsid w:val="139445A3"/>
    <w:rsid w:val="13951726"/>
    <w:rsid w:val="13BB469D"/>
    <w:rsid w:val="13C31462"/>
    <w:rsid w:val="14030CF3"/>
    <w:rsid w:val="14157194"/>
    <w:rsid w:val="141D3421"/>
    <w:rsid w:val="14396509"/>
    <w:rsid w:val="144046ED"/>
    <w:rsid w:val="1447165C"/>
    <w:rsid w:val="144E5BC8"/>
    <w:rsid w:val="14BB2275"/>
    <w:rsid w:val="15193F93"/>
    <w:rsid w:val="155F2F85"/>
    <w:rsid w:val="15A922C4"/>
    <w:rsid w:val="15DA6EFD"/>
    <w:rsid w:val="15F301F9"/>
    <w:rsid w:val="162E0780"/>
    <w:rsid w:val="1671545B"/>
    <w:rsid w:val="176432A4"/>
    <w:rsid w:val="17735226"/>
    <w:rsid w:val="17755713"/>
    <w:rsid w:val="178575D3"/>
    <w:rsid w:val="178D1819"/>
    <w:rsid w:val="17C6075E"/>
    <w:rsid w:val="17F065EE"/>
    <w:rsid w:val="17FF3BBD"/>
    <w:rsid w:val="184B1FAC"/>
    <w:rsid w:val="185E35A9"/>
    <w:rsid w:val="18683F9B"/>
    <w:rsid w:val="18967B70"/>
    <w:rsid w:val="18AB662A"/>
    <w:rsid w:val="192E122D"/>
    <w:rsid w:val="199D4AB5"/>
    <w:rsid w:val="19C61A88"/>
    <w:rsid w:val="19C97010"/>
    <w:rsid w:val="19CD09C3"/>
    <w:rsid w:val="19ED4396"/>
    <w:rsid w:val="19F1314D"/>
    <w:rsid w:val="1A0B4095"/>
    <w:rsid w:val="1A1C162C"/>
    <w:rsid w:val="1A1C66C0"/>
    <w:rsid w:val="1A3A32E7"/>
    <w:rsid w:val="1A42393B"/>
    <w:rsid w:val="1A4A2E8C"/>
    <w:rsid w:val="1A844C43"/>
    <w:rsid w:val="1AAD6142"/>
    <w:rsid w:val="1AFF7E6D"/>
    <w:rsid w:val="1B046F80"/>
    <w:rsid w:val="1B3267B5"/>
    <w:rsid w:val="1BC25DC8"/>
    <w:rsid w:val="1C0105FD"/>
    <w:rsid w:val="1C262893"/>
    <w:rsid w:val="1C4278AE"/>
    <w:rsid w:val="1C43164A"/>
    <w:rsid w:val="1C5E7925"/>
    <w:rsid w:val="1C887FC8"/>
    <w:rsid w:val="1CD05DB3"/>
    <w:rsid w:val="1D1A179D"/>
    <w:rsid w:val="1D2D6E10"/>
    <w:rsid w:val="1D594A76"/>
    <w:rsid w:val="1D5C3CEF"/>
    <w:rsid w:val="1D5F6196"/>
    <w:rsid w:val="1D6132A5"/>
    <w:rsid w:val="1D8E56D5"/>
    <w:rsid w:val="1D9D4FA7"/>
    <w:rsid w:val="1DE724A0"/>
    <w:rsid w:val="1DE87500"/>
    <w:rsid w:val="1DF70389"/>
    <w:rsid w:val="1DFD6DED"/>
    <w:rsid w:val="1E091B85"/>
    <w:rsid w:val="1E0F7486"/>
    <w:rsid w:val="1E4B5AE3"/>
    <w:rsid w:val="1E6A53D2"/>
    <w:rsid w:val="1E7A43DA"/>
    <w:rsid w:val="1EB277FE"/>
    <w:rsid w:val="1F0C088D"/>
    <w:rsid w:val="1F72557D"/>
    <w:rsid w:val="1F811275"/>
    <w:rsid w:val="1FE6097A"/>
    <w:rsid w:val="1FE7539E"/>
    <w:rsid w:val="1FEC1AF9"/>
    <w:rsid w:val="20032921"/>
    <w:rsid w:val="20041A28"/>
    <w:rsid w:val="206927C2"/>
    <w:rsid w:val="206F1448"/>
    <w:rsid w:val="20963CB8"/>
    <w:rsid w:val="209F77F3"/>
    <w:rsid w:val="20B07FB6"/>
    <w:rsid w:val="20E32646"/>
    <w:rsid w:val="2139441F"/>
    <w:rsid w:val="213B74B1"/>
    <w:rsid w:val="215A2310"/>
    <w:rsid w:val="2168501B"/>
    <w:rsid w:val="2189698D"/>
    <w:rsid w:val="219B0A19"/>
    <w:rsid w:val="21A82113"/>
    <w:rsid w:val="21DE318A"/>
    <w:rsid w:val="21E50A26"/>
    <w:rsid w:val="21EF5B80"/>
    <w:rsid w:val="21F6120B"/>
    <w:rsid w:val="22222E58"/>
    <w:rsid w:val="22314EE6"/>
    <w:rsid w:val="224D4462"/>
    <w:rsid w:val="22576990"/>
    <w:rsid w:val="229C4EAB"/>
    <w:rsid w:val="22AC78BD"/>
    <w:rsid w:val="22DE3463"/>
    <w:rsid w:val="22F46972"/>
    <w:rsid w:val="23566F63"/>
    <w:rsid w:val="237A2A25"/>
    <w:rsid w:val="23A32F09"/>
    <w:rsid w:val="24457D9C"/>
    <w:rsid w:val="2447628C"/>
    <w:rsid w:val="24C4051E"/>
    <w:rsid w:val="252D53FE"/>
    <w:rsid w:val="25864BC6"/>
    <w:rsid w:val="259235E0"/>
    <w:rsid w:val="25AC3C10"/>
    <w:rsid w:val="25D81EE3"/>
    <w:rsid w:val="25EC2D81"/>
    <w:rsid w:val="26291EA5"/>
    <w:rsid w:val="26331DC5"/>
    <w:rsid w:val="263947FE"/>
    <w:rsid w:val="264528BD"/>
    <w:rsid w:val="265A1A6A"/>
    <w:rsid w:val="2660395B"/>
    <w:rsid w:val="269632CB"/>
    <w:rsid w:val="26A926A7"/>
    <w:rsid w:val="26B92035"/>
    <w:rsid w:val="26E03714"/>
    <w:rsid w:val="26ED24BC"/>
    <w:rsid w:val="278B4791"/>
    <w:rsid w:val="27BC6110"/>
    <w:rsid w:val="27D15DD1"/>
    <w:rsid w:val="27EA789A"/>
    <w:rsid w:val="2805060A"/>
    <w:rsid w:val="28181F0B"/>
    <w:rsid w:val="281C702E"/>
    <w:rsid w:val="28343D63"/>
    <w:rsid w:val="287A36F4"/>
    <w:rsid w:val="28A76295"/>
    <w:rsid w:val="291D036E"/>
    <w:rsid w:val="29206EB8"/>
    <w:rsid w:val="29B100BA"/>
    <w:rsid w:val="29E325E0"/>
    <w:rsid w:val="2A0147A7"/>
    <w:rsid w:val="2A452503"/>
    <w:rsid w:val="2A533306"/>
    <w:rsid w:val="2A541DCE"/>
    <w:rsid w:val="2A8E65A7"/>
    <w:rsid w:val="2AB45227"/>
    <w:rsid w:val="2ABC4498"/>
    <w:rsid w:val="2AC60E73"/>
    <w:rsid w:val="2AE128D7"/>
    <w:rsid w:val="2AFF4363"/>
    <w:rsid w:val="2B585F6F"/>
    <w:rsid w:val="2B744148"/>
    <w:rsid w:val="2BA936A8"/>
    <w:rsid w:val="2BD678FE"/>
    <w:rsid w:val="2BF37946"/>
    <w:rsid w:val="2C0E4047"/>
    <w:rsid w:val="2C315A5A"/>
    <w:rsid w:val="2CB57584"/>
    <w:rsid w:val="2CC02E72"/>
    <w:rsid w:val="2D1E4F77"/>
    <w:rsid w:val="2D270F87"/>
    <w:rsid w:val="2D7F201C"/>
    <w:rsid w:val="2D9E56F5"/>
    <w:rsid w:val="2DA36E8F"/>
    <w:rsid w:val="2DA43EDA"/>
    <w:rsid w:val="2E006BFE"/>
    <w:rsid w:val="2E367B86"/>
    <w:rsid w:val="2E51491A"/>
    <w:rsid w:val="2E667F96"/>
    <w:rsid w:val="2E8226AB"/>
    <w:rsid w:val="2EB3109A"/>
    <w:rsid w:val="2F4D093E"/>
    <w:rsid w:val="2F6E2E56"/>
    <w:rsid w:val="2F832C79"/>
    <w:rsid w:val="2F9742D6"/>
    <w:rsid w:val="2FEF2D58"/>
    <w:rsid w:val="30580BC9"/>
    <w:rsid w:val="30640A50"/>
    <w:rsid w:val="30877A5D"/>
    <w:rsid w:val="310E0590"/>
    <w:rsid w:val="311E2ED7"/>
    <w:rsid w:val="315C449C"/>
    <w:rsid w:val="316130DD"/>
    <w:rsid w:val="31743955"/>
    <w:rsid w:val="318F0210"/>
    <w:rsid w:val="319E2179"/>
    <w:rsid w:val="31A55C86"/>
    <w:rsid w:val="31B82709"/>
    <w:rsid w:val="31E73277"/>
    <w:rsid w:val="31F7122C"/>
    <w:rsid w:val="322F56A5"/>
    <w:rsid w:val="32400B34"/>
    <w:rsid w:val="328E34BA"/>
    <w:rsid w:val="329B474C"/>
    <w:rsid w:val="329E6876"/>
    <w:rsid w:val="32B902C1"/>
    <w:rsid w:val="32CB6BD7"/>
    <w:rsid w:val="32E274CD"/>
    <w:rsid w:val="32F01183"/>
    <w:rsid w:val="330C3D86"/>
    <w:rsid w:val="33243B83"/>
    <w:rsid w:val="33484C9B"/>
    <w:rsid w:val="338C0B74"/>
    <w:rsid w:val="33B16922"/>
    <w:rsid w:val="33CC5FEA"/>
    <w:rsid w:val="33CF1E43"/>
    <w:rsid w:val="33D934D4"/>
    <w:rsid w:val="33F65269"/>
    <w:rsid w:val="33FE167D"/>
    <w:rsid w:val="33FE2F6A"/>
    <w:rsid w:val="344651A9"/>
    <w:rsid w:val="34CB3726"/>
    <w:rsid w:val="352122EF"/>
    <w:rsid w:val="35497EA4"/>
    <w:rsid w:val="355F614C"/>
    <w:rsid w:val="356327DF"/>
    <w:rsid w:val="35A921E9"/>
    <w:rsid w:val="35D069D9"/>
    <w:rsid w:val="35D10F79"/>
    <w:rsid w:val="36074A7F"/>
    <w:rsid w:val="361D580A"/>
    <w:rsid w:val="36287465"/>
    <w:rsid w:val="36467A3D"/>
    <w:rsid w:val="368749AE"/>
    <w:rsid w:val="36923549"/>
    <w:rsid w:val="36A54505"/>
    <w:rsid w:val="36B75FBF"/>
    <w:rsid w:val="36E60E2C"/>
    <w:rsid w:val="36FB4891"/>
    <w:rsid w:val="370B2F99"/>
    <w:rsid w:val="37254348"/>
    <w:rsid w:val="378428A0"/>
    <w:rsid w:val="37A84573"/>
    <w:rsid w:val="37E62329"/>
    <w:rsid w:val="380D1F73"/>
    <w:rsid w:val="38174125"/>
    <w:rsid w:val="381E7517"/>
    <w:rsid w:val="383C0420"/>
    <w:rsid w:val="38430A11"/>
    <w:rsid w:val="386D171F"/>
    <w:rsid w:val="38944D49"/>
    <w:rsid w:val="38C47DEF"/>
    <w:rsid w:val="38F12CD3"/>
    <w:rsid w:val="38F56ECB"/>
    <w:rsid w:val="38F94775"/>
    <w:rsid w:val="39046460"/>
    <w:rsid w:val="390E5EBF"/>
    <w:rsid w:val="392971ED"/>
    <w:rsid w:val="39C165C7"/>
    <w:rsid w:val="39C47648"/>
    <w:rsid w:val="3A2406E3"/>
    <w:rsid w:val="3A4668DB"/>
    <w:rsid w:val="3A9D5198"/>
    <w:rsid w:val="3A9F6643"/>
    <w:rsid w:val="3AFE37C9"/>
    <w:rsid w:val="3B3763D1"/>
    <w:rsid w:val="3B6C0790"/>
    <w:rsid w:val="3BA60AA0"/>
    <w:rsid w:val="3CA8662A"/>
    <w:rsid w:val="3CCC6578"/>
    <w:rsid w:val="3CDA245A"/>
    <w:rsid w:val="3CEE0A37"/>
    <w:rsid w:val="3D1D2B74"/>
    <w:rsid w:val="3D38451A"/>
    <w:rsid w:val="3D533953"/>
    <w:rsid w:val="3D6D517E"/>
    <w:rsid w:val="3D7637A9"/>
    <w:rsid w:val="3DA92C93"/>
    <w:rsid w:val="3E1925EE"/>
    <w:rsid w:val="3E310085"/>
    <w:rsid w:val="3E45772C"/>
    <w:rsid w:val="3E5E5ADD"/>
    <w:rsid w:val="3E6719E5"/>
    <w:rsid w:val="3E90381A"/>
    <w:rsid w:val="3EAA62D9"/>
    <w:rsid w:val="3EBC460F"/>
    <w:rsid w:val="3EDC33F6"/>
    <w:rsid w:val="3F2C3958"/>
    <w:rsid w:val="3F4D1112"/>
    <w:rsid w:val="3F515EFF"/>
    <w:rsid w:val="3F571ED0"/>
    <w:rsid w:val="3F660E74"/>
    <w:rsid w:val="3FA24D71"/>
    <w:rsid w:val="3FAA537C"/>
    <w:rsid w:val="3FB3722E"/>
    <w:rsid w:val="402C30CE"/>
    <w:rsid w:val="402E279A"/>
    <w:rsid w:val="4031308B"/>
    <w:rsid w:val="40355866"/>
    <w:rsid w:val="403D3AAD"/>
    <w:rsid w:val="404878BF"/>
    <w:rsid w:val="407A6407"/>
    <w:rsid w:val="40AE1B4F"/>
    <w:rsid w:val="411834AA"/>
    <w:rsid w:val="41BA294E"/>
    <w:rsid w:val="41C45779"/>
    <w:rsid w:val="41C53435"/>
    <w:rsid w:val="41ED2491"/>
    <w:rsid w:val="42033B85"/>
    <w:rsid w:val="42373ABB"/>
    <w:rsid w:val="423A3BCC"/>
    <w:rsid w:val="427D482B"/>
    <w:rsid w:val="429D542F"/>
    <w:rsid w:val="42C03726"/>
    <w:rsid w:val="42D77370"/>
    <w:rsid w:val="43201866"/>
    <w:rsid w:val="432A3AD4"/>
    <w:rsid w:val="433A6FE6"/>
    <w:rsid w:val="4350713C"/>
    <w:rsid w:val="436653E0"/>
    <w:rsid w:val="43760295"/>
    <w:rsid w:val="43976E92"/>
    <w:rsid w:val="43EB0533"/>
    <w:rsid w:val="440B0AED"/>
    <w:rsid w:val="444674A1"/>
    <w:rsid w:val="44983FC9"/>
    <w:rsid w:val="44BF52B0"/>
    <w:rsid w:val="44CD14E0"/>
    <w:rsid w:val="44CE1720"/>
    <w:rsid w:val="45596713"/>
    <w:rsid w:val="45642972"/>
    <w:rsid w:val="457C523B"/>
    <w:rsid w:val="458936D3"/>
    <w:rsid w:val="458946E9"/>
    <w:rsid w:val="45AC4CDC"/>
    <w:rsid w:val="4603273C"/>
    <w:rsid w:val="4630494A"/>
    <w:rsid w:val="468A1D0C"/>
    <w:rsid w:val="46AD0B0F"/>
    <w:rsid w:val="46D955A7"/>
    <w:rsid w:val="46FF7608"/>
    <w:rsid w:val="47133957"/>
    <w:rsid w:val="475B7A6A"/>
    <w:rsid w:val="476E219B"/>
    <w:rsid w:val="4779329E"/>
    <w:rsid w:val="47A07E0C"/>
    <w:rsid w:val="47AE6F49"/>
    <w:rsid w:val="47B57109"/>
    <w:rsid w:val="47B938B8"/>
    <w:rsid w:val="485C799C"/>
    <w:rsid w:val="485D7452"/>
    <w:rsid w:val="48686056"/>
    <w:rsid w:val="4870272E"/>
    <w:rsid w:val="488F4A8F"/>
    <w:rsid w:val="48EC6994"/>
    <w:rsid w:val="4926183A"/>
    <w:rsid w:val="495016D3"/>
    <w:rsid w:val="49625D9E"/>
    <w:rsid w:val="497B6D88"/>
    <w:rsid w:val="49B7318D"/>
    <w:rsid w:val="49C216D2"/>
    <w:rsid w:val="49CA3E71"/>
    <w:rsid w:val="49DC7715"/>
    <w:rsid w:val="49EA0CB9"/>
    <w:rsid w:val="49F54E3C"/>
    <w:rsid w:val="4A023139"/>
    <w:rsid w:val="4A3423BF"/>
    <w:rsid w:val="4A476276"/>
    <w:rsid w:val="4A7B576F"/>
    <w:rsid w:val="4A8136EB"/>
    <w:rsid w:val="4ACD5F24"/>
    <w:rsid w:val="4B021511"/>
    <w:rsid w:val="4B296B88"/>
    <w:rsid w:val="4B90789F"/>
    <w:rsid w:val="4C017B05"/>
    <w:rsid w:val="4C072B09"/>
    <w:rsid w:val="4C0D5663"/>
    <w:rsid w:val="4C2F5F25"/>
    <w:rsid w:val="4C316DE4"/>
    <w:rsid w:val="4C4A0649"/>
    <w:rsid w:val="4CD42419"/>
    <w:rsid w:val="4CDE1D5C"/>
    <w:rsid w:val="4CE2665F"/>
    <w:rsid w:val="4CE470D3"/>
    <w:rsid w:val="4D4872B8"/>
    <w:rsid w:val="4D494072"/>
    <w:rsid w:val="4D5A7C40"/>
    <w:rsid w:val="4DEC4FB0"/>
    <w:rsid w:val="4E075D8A"/>
    <w:rsid w:val="4E0C249E"/>
    <w:rsid w:val="4E103D53"/>
    <w:rsid w:val="4E2F1403"/>
    <w:rsid w:val="4E5E1266"/>
    <w:rsid w:val="4E6F2144"/>
    <w:rsid w:val="4E803FF7"/>
    <w:rsid w:val="4ECA37F7"/>
    <w:rsid w:val="4ECC6800"/>
    <w:rsid w:val="4F6B678C"/>
    <w:rsid w:val="4F797B14"/>
    <w:rsid w:val="4F7F04E6"/>
    <w:rsid w:val="4F826147"/>
    <w:rsid w:val="4FC62A8C"/>
    <w:rsid w:val="4FCF2FBD"/>
    <w:rsid w:val="4FE20F0D"/>
    <w:rsid w:val="5002759C"/>
    <w:rsid w:val="50504C4B"/>
    <w:rsid w:val="509C6E7C"/>
    <w:rsid w:val="50AF7B19"/>
    <w:rsid w:val="50C74220"/>
    <w:rsid w:val="50E612F8"/>
    <w:rsid w:val="50E629D5"/>
    <w:rsid w:val="511A4FDB"/>
    <w:rsid w:val="5162104E"/>
    <w:rsid w:val="51912D1E"/>
    <w:rsid w:val="51C029A4"/>
    <w:rsid w:val="520B1493"/>
    <w:rsid w:val="526606C2"/>
    <w:rsid w:val="526C14C6"/>
    <w:rsid w:val="529B5C93"/>
    <w:rsid w:val="52B260FD"/>
    <w:rsid w:val="52E31A6C"/>
    <w:rsid w:val="532E44E9"/>
    <w:rsid w:val="533D6745"/>
    <w:rsid w:val="53644F81"/>
    <w:rsid w:val="53970642"/>
    <w:rsid w:val="53A039CC"/>
    <w:rsid w:val="53A1505A"/>
    <w:rsid w:val="53C46B88"/>
    <w:rsid w:val="54063E08"/>
    <w:rsid w:val="541621BF"/>
    <w:rsid w:val="54217D6C"/>
    <w:rsid w:val="542D20D0"/>
    <w:rsid w:val="543437E8"/>
    <w:rsid w:val="54830EAD"/>
    <w:rsid w:val="548727B7"/>
    <w:rsid w:val="54B44519"/>
    <w:rsid w:val="54B900E4"/>
    <w:rsid w:val="54D07AAE"/>
    <w:rsid w:val="54EB3100"/>
    <w:rsid w:val="54EC2681"/>
    <w:rsid w:val="54ED57F5"/>
    <w:rsid w:val="54FD7780"/>
    <w:rsid w:val="55684751"/>
    <w:rsid w:val="559B174B"/>
    <w:rsid w:val="55CE0CF4"/>
    <w:rsid w:val="55F05528"/>
    <w:rsid w:val="55F835EC"/>
    <w:rsid w:val="561E4A74"/>
    <w:rsid w:val="562F222C"/>
    <w:rsid w:val="564D4FAF"/>
    <w:rsid w:val="56B22A9C"/>
    <w:rsid w:val="56B448F7"/>
    <w:rsid w:val="56EA28A9"/>
    <w:rsid w:val="573502ED"/>
    <w:rsid w:val="579620EA"/>
    <w:rsid w:val="57B72A76"/>
    <w:rsid w:val="57E552B8"/>
    <w:rsid w:val="58825984"/>
    <w:rsid w:val="58962F57"/>
    <w:rsid w:val="5967370C"/>
    <w:rsid w:val="597F6523"/>
    <w:rsid w:val="59B40590"/>
    <w:rsid w:val="5A3C747D"/>
    <w:rsid w:val="5A5A5B50"/>
    <w:rsid w:val="5AB35EA7"/>
    <w:rsid w:val="5ABE2233"/>
    <w:rsid w:val="5B0B0058"/>
    <w:rsid w:val="5B276D18"/>
    <w:rsid w:val="5B2F13F2"/>
    <w:rsid w:val="5BDF5D95"/>
    <w:rsid w:val="5BF91F3B"/>
    <w:rsid w:val="5BFD07E3"/>
    <w:rsid w:val="5C5D1AF2"/>
    <w:rsid w:val="5D020CFE"/>
    <w:rsid w:val="5D373386"/>
    <w:rsid w:val="5D6271DA"/>
    <w:rsid w:val="5DAB7E13"/>
    <w:rsid w:val="5DF87A0F"/>
    <w:rsid w:val="5E39676D"/>
    <w:rsid w:val="5E3D39FB"/>
    <w:rsid w:val="5E5F0F90"/>
    <w:rsid w:val="5EA13635"/>
    <w:rsid w:val="5EE25574"/>
    <w:rsid w:val="5F015469"/>
    <w:rsid w:val="5F1A2B43"/>
    <w:rsid w:val="5F434B19"/>
    <w:rsid w:val="5F9833E7"/>
    <w:rsid w:val="5F98434D"/>
    <w:rsid w:val="5FB837BB"/>
    <w:rsid w:val="5FBA640F"/>
    <w:rsid w:val="5FF437B1"/>
    <w:rsid w:val="60392C69"/>
    <w:rsid w:val="606D5EAE"/>
    <w:rsid w:val="60B47D5B"/>
    <w:rsid w:val="613C7704"/>
    <w:rsid w:val="6148314A"/>
    <w:rsid w:val="614920EC"/>
    <w:rsid w:val="617B36B2"/>
    <w:rsid w:val="61A874F1"/>
    <w:rsid w:val="61CF37EB"/>
    <w:rsid w:val="62364782"/>
    <w:rsid w:val="6281714D"/>
    <w:rsid w:val="62A32F4D"/>
    <w:rsid w:val="62D74220"/>
    <w:rsid w:val="63007391"/>
    <w:rsid w:val="631B2246"/>
    <w:rsid w:val="633168AD"/>
    <w:rsid w:val="636B4063"/>
    <w:rsid w:val="636D5D54"/>
    <w:rsid w:val="63A47D71"/>
    <w:rsid w:val="63D40BE9"/>
    <w:rsid w:val="63E0211F"/>
    <w:rsid w:val="644360B2"/>
    <w:rsid w:val="64A3725D"/>
    <w:rsid w:val="64DC0645"/>
    <w:rsid w:val="64F61447"/>
    <w:rsid w:val="6504610B"/>
    <w:rsid w:val="651E4909"/>
    <w:rsid w:val="65256219"/>
    <w:rsid w:val="65373578"/>
    <w:rsid w:val="654F21B1"/>
    <w:rsid w:val="6550648B"/>
    <w:rsid w:val="65564F2A"/>
    <w:rsid w:val="655F6D1B"/>
    <w:rsid w:val="656F3601"/>
    <w:rsid w:val="65E272CE"/>
    <w:rsid w:val="668A663A"/>
    <w:rsid w:val="669158FE"/>
    <w:rsid w:val="669A647E"/>
    <w:rsid w:val="66D7050D"/>
    <w:rsid w:val="67212AE0"/>
    <w:rsid w:val="673F2C7A"/>
    <w:rsid w:val="67905924"/>
    <w:rsid w:val="679943F7"/>
    <w:rsid w:val="67B5002E"/>
    <w:rsid w:val="67EB6316"/>
    <w:rsid w:val="680F19B9"/>
    <w:rsid w:val="681F6961"/>
    <w:rsid w:val="68610A2F"/>
    <w:rsid w:val="68781474"/>
    <w:rsid w:val="68805514"/>
    <w:rsid w:val="689B153F"/>
    <w:rsid w:val="68E94256"/>
    <w:rsid w:val="68FE2C93"/>
    <w:rsid w:val="691E40E4"/>
    <w:rsid w:val="694E2071"/>
    <w:rsid w:val="697A3B33"/>
    <w:rsid w:val="699E2456"/>
    <w:rsid w:val="6A0A6887"/>
    <w:rsid w:val="6A101616"/>
    <w:rsid w:val="6A355B55"/>
    <w:rsid w:val="6A747C8A"/>
    <w:rsid w:val="6A772416"/>
    <w:rsid w:val="6A7C4311"/>
    <w:rsid w:val="6A7D5978"/>
    <w:rsid w:val="6A9D2EAE"/>
    <w:rsid w:val="6ACD16BE"/>
    <w:rsid w:val="6ADD7E58"/>
    <w:rsid w:val="6AF536BB"/>
    <w:rsid w:val="6AFA7BE4"/>
    <w:rsid w:val="6B322639"/>
    <w:rsid w:val="6B3D03F9"/>
    <w:rsid w:val="6B4A0CBA"/>
    <w:rsid w:val="6B594E10"/>
    <w:rsid w:val="6B79036E"/>
    <w:rsid w:val="6BBD60ED"/>
    <w:rsid w:val="6BD97E64"/>
    <w:rsid w:val="6BE102E3"/>
    <w:rsid w:val="6C636C38"/>
    <w:rsid w:val="6C6A11DD"/>
    <w:rsid w:val="6CD707BE"/>
    <w:rsid w:val="6D0A75EE"/>
    <w:rsid w:val="6D2162CD"/>
    <w:rsid w:val="6D6F30EF"/>
    <w:rsid w:val="6D753B8D"/>
    <w:rsid w:val="6D7A4E0B"/>
    <w:rsid w:val="6DB34098"/>
    <w:rsid w:val="6DB545B6"/>
    <w:rsid w:val="6DDC150B"/>
    <w:rsid w:val="6E151502"/>
    <w:rsid w:val="6E4375A0"/>
    <w:rsid w:val="6E514CED"/>
    <w:rsid w:val="6E79491A"/>
    <w:rsid w:val="6E9C4DD1"/>
    <w:rsid w:val="6EB563D5"/>
    <w:rsid w:val="6EF31EF3"/>
    <w:rsid w:val="6F22592E"/>
    <w:rsid w:val="6F225983"/>
    <w:rsid w:val="6F2B5E14"/>
    <w:rsid w:val="6F4F03C8"/>
    <w:rsid w:val="6F5A4B09"/>
    <w:rsid w:val="6FB10CA5"/>
    <w:rsid w:val="6FF91A4D"/>
    <w:rsid w:val="6FFC5590"/>
    <w:rsid w:val="70301DA3"/>
    <w:rsid w:val="706D1DD0"/>
    <w:rsid w:val="707D334E"/>
    <w:rsid w:val="70856B87"/>
    <w:rsid w:val="70A14A4D"/>
    <w:rsid w:val="70A703CB"/>
    <w:rsid w:val="70C32D40"/>
    <w:rsid w:val="70CC33A4"/>
    <w:rsid w:val="70D527EE"/>
    <w:rsid w:val="70DC550A"/>
    <w:rsid w:val="71273D17"/>
    <w:rsid w:val="715B5300"/>
    <w:rsid w:val="715F4BD7"/>
    <w:rsid w:val="716C3E17"/>
    <w:rsid w:val="716D7ACD"/>
    <w:rsid w:val="71B16E32"/>
    <w:rsid w:val="71D27F8A"/>
    <w:rsid w:val="71D41187"/>
    <w:rsid w:val="71F744C6"/>
    <w:rsid w:val="71F960CF"/>
    <w:rsid w:val="72CD4835"/>
    <w:rsid w:val="72EF0BFA"/>
    <w:rsid w:val="730C1742"/>
    <w:rsid w:val="731F5D5E"/>
    <w:rsid w:val="731F785D"/>
    <w:rsid w:val="736D092B"/>
    <w:rsid w:val="73886292"/>
    <w:rsid w:val="73A17A4B"/>
    <w:rsid w:val="73A34791"/>
    <w:rsid w:val="741E793C"/>
    <w:rsid w:val="74636E79"/>
    <w:rsid w:val="74A53965"/>
    <w:rsid w:val="74B33BB4"/>
    <w:rsid w:val="74B9287F"/>
    <w:rsid w:val="74D56D20"/>
    <w:rsid w:val="753056A7"/>
    <w:rsid w:val="757F42EA"/>
    <w:rsid w:val="758D75E2"/>
    <w:rsid w:val="75E83D14"/>
    <w:rsid w:val="76711552"/>
    <w:rsid w:val="76AB2730"/>
    <w:rsid w:val="770059ED"/>
    <w:rsid w:val="776C0C8F"/>
    <w:rsid w:val="77762421"/>
    <w:rsid w:val="77F43EF6"/>
    <w:rsid w:val="780F09F4"/>
    <w:rsid w:val="781877F2"/>
    <w:rsid w:val="781A1B8B"/>
    <w:rsid w:val="782626F7"/>
    <w:rsid w:val="782657F2"/>
    <w:rsid w:val="782D565A"/>
    <w:rsid w:val="78455E4F"/>
    <w:rsid w:val="789C4F47"/>
    <w:rsid w:val="78A90480"/>
    <w:rsid w:val="78F612BB"/>
    <w:rsid w:val="795A12C3"/>
    <w:rsid w:val="79811327"/>
    <w:rsid w:val="79BF6786"/>
    <w:rsid w:val="7A314EF6"/>
    <w:rsid w:val="7A364017"/>
    <w:rsid w:val="7A4E490F"/>
    <w:rsid w:val="7A4E5E9A"/>
    <w:rsid w:val="7A8265E1"/>
    <w:rsid w:val="7AB00826"/>
    <w:rsid w:val="7AB12E7E"/>
    <w:rsid w:val="7AC01B36"/>
    <w:rsid w:val="7AC1208A"/>
    <w:rsid w:val="7AC6409D"/>
    <w:rsid w:val="7ADB6077"/>
    <w:rsid w:val="7B590D64"/>
    <w:rsid w:val="7B686D42"/>
    <w:rsid w:val="7B6C490D"/>
    <w:rsid w:val="7B841746"/>
    <w:rsid w:val="7C4D7248"/>
    <w:rsid w:val="7C6B04FF"/>
    <w:rsid w:val="7C8A73A0"/>
    <w:rsid w:val="7D0239FF"/>
    <w:rsid w:val="7D044BBA"/>
    <w:rsid w:val="7D0C38B8"/>
    <w:rsid w:val="7D3B72D4"/>
    <w:rsid w:val="7D422E99"/>
    <w:rsid w:val="7D5B424D"/>
    <w:rsid w:val="7D5E40CD"/>
    <w:rsid w:val="7D693BED"/>
    <w:rsid w:val="7DD730B0"/>
    <w:rsid w:val="7E560BF7"/>
    <w:rsid w:val="7E915BE9"/>
    <w:rsid w:val="7EC63495"/>
    <w:rsid w:val="7F4E0A6C"/>
    <w:rsid w:val="7F78540D"/>
    <w:rsid w:val="7FB44FC9"/>
    <w:rsid w:val="7FC54153"/>
    <w:rsid w:val="7FE00E75"/>
    <w:rsid w:val="7FE47E50"/>
    <w:rsid w:val="7FFA22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9" w:semiHidden="0" w:name="heading 3"/>
    <w:lsdException w:qFormat="1" w:uiPriority="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iPriority="99"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autoRedefine/>
    <w:qFormat/>
    <w:uiPriority w:val="9"/>
    <w:pPr>
      <w:keepNext/>
      <w:keepLines/>
      <w:spacing w:before="260" w:after="260" w:line="416" w:lineRule="atLeast"/>
      <w:outlineLvl w:val="2"/>
    </w:pPr>
    <w:rPr>
      <w:b/>
      <w:bCs/>
      <w:szCs w:val="32"/>
    </w:rPr>
  </w:style>
  <w:style w:type="paragraph" w:styleId="5">
    <w:name w:val="heading 5"/>
    <w:basedOn w:val="1"/>
    <w:next w:val="1"/>
    <w:autoRedefine/>
    <w:unhideWhenUsed/>
    <w:qFormat/>
    <w:uiPriority w:val="0"/>
    <w:pPr>
      <w:keepNext/>
      <w:keepLines/>
      <w:snapToGrid w:val="0"/>
      <w:jc w:val="center"/>
      <w:outlineLvl w:val="4"/>
    </w:pPr>
    <w:rPr>
      <w:rFonts w:asciiTheme="minorAscii" w:hAnsiTheme="minorAscii"/>
      <w:b/>
    </w:rPr>
  </w:style>
  <w:style w:type="character" w:default="1" w:styleId="32">
    <w:name w:val="Default Paragraph Font"/>
    <w:autoRedefine/>
    <w:semiHidden/>
    <w:unhideWhenUsed/>
    <w:qFormat/>
    <w:uiPriority w:val="1"/>
  </w:style>
  <w:style w:type="table" w:default="1" w:styleId="30">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table of authorities"/>
    <w:basedOn w:val="1"/>
    <w:next w:val="1"/>
    <w:autoRedefine/>
    <w:qFormat/>
    <w:uiPriority w:val="0"/>
    <w:pPr>
      <w:ind w:left="420" w:leftChars="200" w:firstLine="200" w:firstLineChars="200"/>
    </w:pPr>
    <w:rPr>
      <w:szCs w:val="21"/>
    </w:rPr>
  </w:style>
  <w:style w:type="paragraph" w:styleId="7">
    <w:name w:val="Normal Indent"/>
    <w:basedOn w:val="1"/>
    <w:next w:val="1"/>
    <w:link w:val="44"/>
    <w:autoRedefine/>
    <w:qFormat/>
    <w:uiPriority w:val="0"/>
    <w:pPr>
      <w:spacing w:line="360" w:lineRule="auto"/>
      <w:ind w:firstLine="420" w:firstLineChars="200"/>
    </w:pPr>
    <w:rPr>
      <w:kern w:val="0"/>
      <w:sz w:val="28"/>
      <w:szCs w:val="20"/>
    </w:rPr>
  </w:style>
  <w:style w:type="paragraph" w:styleId="8">
    <w:name w:val="caption"/>
    <w:basedOn w:val="1"/>
    <w:next w:val="1"/>
    <w:link w:val="45"/>
    <w:autoRedefine/>
    <w:unhideWhenUsed/>
    <w:qFormat/>
    <w:uiPriority w:val="0"/>
    <w:pPr>
      <w:spacing w:line="360" w:lineRule="auto"/>
      <w:ind w:firstLine="200" w:firstLineChars="200"/>
      <w:jc w:val="center"/>
    </w:pPr>
    <w:rPr>
      <w:rFonts w:eastAsia="黑体"/>
      <w:sz w:val="24"/>
      <w:szCs w:val="20"/>
    </w:rPr>
  </w:style>
  <w:style w:type="paragraph" w:styleId="9">
    <w:name w:val="annotation text"/>
    <w:basedOn w:val="1"/>
    <w:link w:val="46"/>
    <w:autoRedefine/>
    <w:semiHidden/>
    <w:qFormat/>
    <w:uiPriority w:val="0"/>
    <w:pPr>
      <w:jc w:val="left"/>
    </w:pPr>
    <w:rPr>
      <w:kern w:val="0"/>
      <w:sz w:val="20"/>
    </w:rPr>
  </w:style>
  <w:style w:type="paragraph" w:styleId="10">
    <w:name w:val="Body Text"/>
    <w:basedOn w:val="1"/>
    <w:next w:val="11"/>
    <w:link w:val="47"/>
    <w:autoRedefine/>
    <w:qFormat/>
    <w:uiPriority w:val="0"/>
    <w:pPr>
      <w:widowControl/>
      <w:snapToGrid w:val="0"/>
      <w:spacing w:before="60" w:after="160" w:line="259" w:lineRule="auto"/>
      <w:ind w:right="113"/>
    </w:pPr>
    <w:rPr>
      <w:kern w:val="0"/>
      <w:sz w:val="18"/>
      <w:szCs w:val="18"/>
    </w:rPr>
  </w:style>
  <w:style w:type="paragraph" w:customStyle="1" w:styleId="11">
    <w:name w:val="Normal (Web)1"/>
    <w:basedOn w:val="1"/>
    <w:next w:val="12"/>
    <w:autoRedefine/>
    <w:qFormat/>
    <w:uiPriority w:val="0"/>
    <w:pPr>
      <w:widowControl/>
      <w:jc w:val="left"/>
    </w:pPr>
    <w:rPr>
      <w:rFonts w:ascii="宋体"/>
      <w:kern w:val="0"/>
      <w:sz w:val="24"/>
      <w:szCs w:val="21"/>
    </w:rPr>
  </w:style>
  <w:style w:type="paragraph" w:customStyle="1" w:styleId="12">
    <w:name w:val="Date1"/>
    <w:basedOn w:val="1"/>
    <w:next w:val="1"/>
    <w:autoRedefine/>
    <w:qFormat/>
    <w:uiPriority w:val="0"/>
    <w:pPr>
      <w:ind w:left="2500" w:leftChars="2500"/>
    </w:pPr>
  </w:style>
  <w:style w:type="paragraph" w:styleId="13">
    <w:name w:val="Body Text Indent"/>
    <w:basedOn w:val="1"/>
    <w:link w:val="48"/>
    <w:autoRedefine/>
    <w:semiHidden/>
    <w:qFormat/>
    <w:uiPriority w:val="0"/>
    <w:pPr>
      <w:spacing w:after="120"/>
      <w:ind w:left="420" w:leftChars="200"/>
    </w:pPr>
  </w:style>
  <w:style w:type="paragraph" w:styleId="14">
    <w:name w:val="Block Text"/>
    <w:basedOn w:val="1"/>
    <w:autoRedefine/>
    <w:qFormat/>
    <w:uiPriority w:val="0"/>
    <w:pPr>
      <w:spacing w:line="140" w:lineRule="atLeast"/>
      <w:ind w:left="-1619" w:right="-1594"/>
    </w:pPr>
    <w:rPr>
      <w:kern w:val="1"/>
      <w:sz w:val="28"/>
    </w:rPr>
  </w:style>
  <w:style w:type="paragraph" w:styleId="15">
    <w:name w:val="toc 3"/>
    <w:basedOn w:val="1"/>
    <w:next w:val="1"/>
    <w:autoRedefine/>
    <w:unhideWhenUsed/>
    <w:qFormat/>
    <w:uiPriority w:val="0"/>
    <w:pPr>
      <w:ind w:left="840" w:leftChars="400"/>
    </w:pPr>
  </w:style>
  <w:style w:type="paragraph" w:styleId="16">
    <w:name w:val="Plain Text"/>
    <w:basedOn w:val="1"/>
    <w:link w:val="49"/>
    <w:autoRedefine/>
    <w:qFormat/>
    <w:uiPriority w:val="0"/>
    <w:pPr>
      <w:spacing w:line="360" w:lineRule="auto"/>
      <w:ind w:firstLine="200" w:firstLineChars="200"/>
    </w:pPr>
    <w:rPr>
      <w:rFonts w:ascii="宋体" w:hAnsi="Courier New"/>
      <w:sz w:val="24"/>
      <w:szCs w:val="20"/>
    </w:rPr>
  </w:style>
  <w:style w:type="paragraph" w:styleId="17">
    <w:name w:val="Date"/>
    <w:basedOn w:val="1"/>
    <w:next w:val="1"/>
    <w:link w:val="50"/>
    <w:autoRedefine/>
    <w:qFormat/>
    <w:uiPriority w:val="0"/>
    <w:pPr>
      <w:ind w:left="100" w:leftChars="2500"/>
    </w:pPr>
    <w:rPr>
      <w:kern w:val="0"/>
      <w:sz w:val="20"/>
    </w:rPr>
  </w:style>
  <w:style w:type="paragraph" w:styleId="18">
    <w:name w:val="Balloon Text"/>
    <w:basedOn w:val="1"/>
    <w:link w:val="51"/>
    <w:autoRedefine/>
    <w:semiHidden/>
    <w:qFormat/>
    <w:uiPriority w:val="0"/>
    <w:rPr>
      <w:sz w:val="18"/>
      <w:szCs w:val="18"/>
    </w:rPr>
  </w:style>
  <w:style w:type="paragraph" w:styleId="19">
    <w:name w:val="footer"/>
    <w:basedOn w:val="1"/>
    <w:link w:val="52"/>
    <w:autoRedefine/>
    <w:qFormat/>
    <w:uiPriority w:val="0"/>
    <w:pPr>
      <w:tabs>
        <w:tab w:val="center" w:pos="4153"/>
        <w:tab w:val="right" w:pos="8306"/>
      </w:tabs>
      <w:snapToGrid w:val="0"/>
      <w:jc w:val="left"/>
    </w:pPr>
    <w:rPr>
      <w:sz w:val="18"/>
      <w:szCs w:val="18"/>
    </w:rPr>
  </w:style>
  <w:style w:type="paragraph" w:styleId="20">
    <w:name w:val="header"/>
    <w:basedOn w:val="1"/>
    <w:link w:val="53"/>
    <w:autoRedefine/>
    <w:qFormat/>
    <w:uiPriority w:val="0"/>
    <w:pPr>
      <w:pBdr>
        <w:bottom w:val="single" w:color="auto" w:sz="6" w:space="1"/>
      </w:pBdr>
      <w:tabs>
        <w:tab w:val="center" w:pos="4153"/>
        <w:tab w:val="right" w:pos="8306"/>
      </w:tabs>
      <w:snapToGrid w:val="0"/>
      <w:jc w:val="center"/>
    </w:pPr>
    <w:rPr>
      <w:sz w:val="18"/>
      <w:szCs w:val="18"/>
    </w:rPr>
  </w:style>
  <w:style w:type="paragraph" w:styleId="21">
    <w:name w:val="toc 1"/>
    <w:basedOn w:val="1"/>
    <w:next w:val="1"/>
    <w:autoRedefine/>
    <w:qFormat/>
    <w:uiPriority w:val="0"/>
  </w:style>
  <w:style w:type="paragraph" w:styleId="22">
    <w:name w:val="Subtitle"/>
    <w:basedOn w:val="1"/>
    <w:next w:val="1"/>
    <w:autoRedefine/>
    <w:qFormat/>
    <w:uiPriority w:val="0"/>
    <w:pPr>
      <w:spacing w:before="240" w:after="60"/>
      <w:jc w:val="left"/>
      <w:outlineLvl w:val="1"/>
    </w:pPr>
    <w:rPr>
      <w:b/>
      <w:bCs/>
      <w:kern w:val="28"/>
      <w:szCs w:val="32"/>
    </w:rPr>
  </w:style>
  <w:style w:type="paragraph" w:styleId="23">
    <w:name w:val="toc 2"/>
    <w:basedOn w:val="1"/>
    <w:next w:val="1"/>
    <w:autoRedefine/>
    <w:qFormat/>
    <w:uiPriority w:val="0"/>
    <w:pPr>
      <w:ind w:left="420" w:leftChars="200"/>
    </w:pPr>
  </w:style>
  <w:style w:type="paragraph" w:styleId="24">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5">
    <w:name w:val="Normal (Web)"/>
    <w:basedOn w:val="1"/>
    <w:link w:val="54"/>
    <w:autoRedefine/>
    <w:qFormat/>
    <w:uiPriority w:val="0"/>
    <w:pPr>
      <w:widowControl/>
      <w:spacing w:before="100" w:beforeAutospacing="1" w:after="100" w:afterAutospacing="1"/>
      <w:jc w:val="left"/>
    </w:pPr>
    <w:rPr>
      <w:rFonts w:ascii="宋体" w:hAnsi="宋体"/>
      <w:kern w:val="0"/>
      <w:sz w:val="24"/>
    </w:rPr>
  </w:style>
  <w:style w:type="paragraph" w:styleId="26">
    <w:name w:val="Title"/>
    <w:basedOn w:val="1"/>
    <w:next w:val="1"/>
    <w:autoRedefine/>
    <w:qFormat/>
    <w:uiPriority w:val="10"/>
    <w:pPr>
      <w:widowControl w:val="0"/>
      <w:spacing w:before="120" w:beforeLines="0" w:after="120" w:afterLines="0"/>
      <w:ind w:firstLine="0" w:firstLineChars="0"/>
      <w:outlineLvl w:val="0"/>
    </w:pPr>
    <w:rPr>
      <w:rFonts w:ascii="Cambria" w:hAnsi="Cambria" w:cs="Times New Roman"/>
      <w:b/>
      <w:bCs/>
      <w:sz w:val="32"/>
      <w:szCs w:val="32"/>
    </w:rPr>
  </w:style>
  <w:style w:type="paragraph" w:styleId="27">
    <w:name w:val="annotation subject"/>
    <w:basedOn w:val="9"/>
    <w:next w:val="9"/>
    <w:link w:val="55"/>
    <w:autoRedefine/>
    <w:semiHidden/>
    <w:qFormat/>
    <w:uiPriority w:val="0"/>
    <w:rPr>
      <w:b/>
      <w:bCs/>
    </w:rPr>
  </w:style>
  <w:style w:type="paragraph" w:styleId="28">
    <w:name w:val="Body Text First Indent"/>
    <w:basedOn w:val="10"/>
    <w:autoRedefine/>
    <w:semiHidden/>
    <w:unhideWhenUsed/>
    <w:qFormat/>
    <w:uiPriority w:val="99"/>
    <w:pPr>
      <w:ind w:firstLine="420" w:firstLineChars="100"/>
    </w:pPr>
  </w:style>
  <w:style w:type="paragraph" w:styleId="29">
    <w:name w:val="Body Text First Indent 2"/>
    <w:basedOn w:val="13"/>
    <w:autoRedefine/>
    <w:qFormat/>
    <w:uiPriority w:val="0"/>
    <w:pPr>
      <w:ind w:firstLine="420" w:firstLineChars="200"/>
    </w:pPr>
  </w:style>
  <w:style w:type="table" w:styleId="31">
    <w:name w:val="Table Grid"/>
    <w:basedOn w:val="30"/>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basedOn w:val="32"/>
    <w:autoRedefine/>
    <w:qFormat/>
    <w:uiPriority w:val="0"/>
    <w:rPr>
      <w:b/>
    </w:rPr>
  </w:style>
  <w:style w:type="character" w:styleId="34">
    <w:name w:val="page number"/>
    <w:basedOn w:val="32"/>
    <w:autoRedefine/>
    <w:qFormat/>
    <w:uiPriority w:val="0"/>
  </w:style>
  <w:style w:type="character" w:styleId="35">
    <w:name w:val="Hyperlink"/>
    <w:basedOn w:val="32"/>
    <w:autoRedefine/>
    <w:unhideWhenUsed/>
    <w:qFormat/>
    <w:uiPriority w:val="99"/>
    <w:rPr>
      <w:color w:val="0000FF" w:themeColor="hyperlink"/>
      <w:u w:val="single"/>
      <w14:textFill>
        <w14:solidFill>
          <w14:schemeClr w14:val="hlink"/>
        </w14:solidFill>
      </w14:textFill>
    </w:rPr>
  </w:style>
  <w:style w:type="character" w:styleId="36">
    <w:name w:val="annotation reference"/>
    <w:autoRedefine/>
    <w:semiHidden/>
    <w:qFormat/>
    <w:uiPriority w:val="0"/>
    <w:rPr>
      <w:sz w:val="21"/>
    </w:rPr>
  </w:style>
  <w:style w:type="paragraph" w:customStyle="1" w:styleId="37">
    <w:name w:val="环评正文"/>
    <w:basedOn w:val="1"/>
    <w:autoRedefine/>
    <w:qFormat/>
    <w:uiPriority w:val="0"/>
    <w:pPr>
      <w:spacing w:line="360" w:lineRule="auto"/>
      <w:ind w:firstLine="602" w:firstLineChars="200"/>
      <w:jc w:val="left"/>
    </w:pPr>
    <w:rPr>
      <w:lang w:val="zh-CN"/>
    </w:rPr>
  </w:style>
  <w:style w:type="paragraph" w:customStyle="1" w:styleId="38">
    <w:name w:val="Default"/>
    <w:next w:val="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9">
    <w:name w:val="样式 样式 样式 四号 左侧:  1.53 厘米 + 首行缩进:  2 字符 + 居中 左侧:  2 字符 首行缩进:  2..."/>
    <w:basedOn w:val="40"/>
    <w:autoRedefine/>
    <w:qFormat/>
    <w:uiPriority w:val="0"/>
    <w:pPr>
      <w:snapToGrid w:val="0"/>
      <w:ind w:left="0" w:leftChars="0"/>
      <w:jc w:val="center"/>
    </w:pPr>
    <w:rPr>
      <w:sz w:val="24"/>
    </w:rPr>
  </w:style>
  <w:style w:type="paragraph" w:customStyle="1" w:styleId="40">
    <w:name w:val="样式 样式 四号 左侧:  1.53 厘米 + 首行缩进:  2 字符"/>
    <w:basedOn w:val="41"/>
    <w:autoRedefine/>
    <w:qFormat/>
    <w:uiPriority w:val="0"/>
    <w:pPr>
      <w:ind w:left="200" w:leftChars="200"/>
    </w:pPr>
    <w:rPr>
      <w:szCs w:val="20"/>
    </w:rPr>
  </w:style>
  <w:style w:type="paragraph" w:customStyle="1" w:styleId="41">
    <w:name w:val="样式 四号 左侧:  1.53 厘米"/>
    <w:basedOn w:val="1"/>
    <w:autoRedefine/>
    <w:qFormat/>
    <w:uiPriority w:val="0"/>
    <w:pPr>
      <w:adjustRightInd w:val="0"/>
    </w:pPr>
    <w:rPr>
      <w:w w:val="90"/>
      <w:sz w:val="28"/>
      <w:szCs w:val="28"/>
    </w:rPr>
  </w:style>
  <w:style w:type="paragraph" w:customStyle="1" w:styleId="42">
    <w:name w:val="_Style 4"/>
    <w:basedOn w:val="1"/>
    <w:autoRedefine/>
    <w:qFormat/>
    <w:uiPriority w:val="0"/>
  </w:style>
  <w:style w:type="paragraph" w:customStyle="1" w:styleId="43">
    <w:name w:val="无间隔1"/>
    <w:basedOn w:val="1"/>
    <w:autoRedefine/>
    <w:qFormat/>
    <w:uiPriority w:val="0"/>
    <w:pPr>
      <w:spacing w:line="400" w:lineRule="exact"/>
    </w:pPr>
    <w:rPr>
      <w:sz w:val="24"/>
    </w:rPr>
  </w:style>
  <w:style w:type="character" w:customStyle="1" w:styleId="44">
    <w:name w:val="正文缩进 字符"/>
    <w:link w:val="7"/>
    <w:autoRedefine/>
    <w:qFormat/>
    <w:uiPriority w:val="0"/>
    <w:rPr>
      <w:sz w:val="28"/>
    </w:rPr>
  </w:style>
  <w:style w:type="character" w:customStyle="1" w:styleId="45">
    <w:name w:val="题注 字符"/>
    <w:link w:val="8"/>
    <w:autoRedefine/>
    <w:qFormat/>
    <w:uiPriority w:val="0"/>
    <w:rPr>
      <w:rFonts w:eastAsia="黑体"/>
      <w:kern w:val="2"/>
      <w:sz w:val="24"/>
    </w:rPr>
  </w:style>
  <w:style w:type="character" w:customStyle="1" w:styleId="46">
    <w:name w:val="批注文字 字符"/>
    <w:link w:val="9"/>
    <w:autoRedefine/>
    <w:qFormat/>
    <w:uiPriority w:val="0"/>
    <w:rPr>
      <w:rFonts w:ascii="Times New Roman" w:hAnsi="Times New Roman" w:eastAsia="宋体"/>
      <w:sz w:val="24"/>
    </w:rPr>
  </w:style>
  <w:style w:type="character" w:customStyle="1" w:styleId="47">
    <w:name w:val="正文文本 字符"/>
    <w:link w:val="10"/>
    <w:autoRedefine/>
    <w:qFormat/>
    <w:uiPriority w:val="0"/>
    <w:rPr>
      <w:sz w:val="18"/>
    </w:rPr>
  </w:style>
  <w:style w:type="character" w:customStyle="1" w:styleId="48">
    <w:name w:val="正文文本缩进 字符"/>
    <w:link w:val="13"/>
    <w:autoRedefine/>
    <w:semiHidden/>
    <w:qFormat/>
    <w:uiPriority w:val="0"/>
    <w:rPr>
      <w:rFonts w:ascii="Times New Roman" w:hAnsi="Times New Roman" w:eastAsia="宋体" w:cs="Times New Roman"/>
      <w:sz w:val="24"/>
      <w:szCs w:val="24"/>
    </w:rPr>
  </w:style>
  <w:style w:type="character" w:customStyle="1" w:styleId="49">
    <w:name w:val="纯文本 字符"/>
    <w:link w:val="16"/>
    <w:autoRedefine/>
    <w:qFormat/>
    <w:uiPriority w:val="0"/>
    <w:rPr>
      <w:rFonts w:ascii="宋体" w:hAnsi="Courier New"/>
      <w:kern w:val="2"/>
      <w:sz w:val="24"/>
    </w:rPr>
  </w:style>
  <w:style w:type="character" w:customStyle="1" w:styleId="50">
    <w:name w:val="日期 字符1"/>
    <w:link w:val="17"/>
    <w:autoRedefine/>
    <w:qFormat/>
    <w:uiPriority w:val="0"/>
    <w:rPr>
      <w:rFonts w:ascii="Times New Roman" w:hAnsi="Times New Roman" w:eastAsia="宋体"/>
      <w:sz w:val="24"/>
    </w:rPr>
  </w:style>
  <w:style w:type="character" w:customStyle="1" w:styleId="51">
    <w:name w:val="批注框文本 字符"/>
    <w:link w:val="18"/>
    <w:autoRedefine/>
    <w:semiHidden/>
    <w:qFormat/>
    <w:uiPriority w:val="0"/>
    <w:rPr>
      <w:rFonts w:ascii="Times New Roman" w:hAnsi="Times New Roman" w:eastAsia="宋体" w:cs="Times New Roman"/>
      <w:sz w:val="18"/>
      <w:szCs w:val="18"/>
    </w:rPr>
  </w:style>
  <w:style w:type="character" w:customStyle="1" w:styleId="52">
    <w:name w:val="页脚 字符"/>
    <w:link w:val="19"/>
    <w:autoRedefine/>
    <w:qFormat/>
    <w:uiPriority w:val="0"/>
    <w:rPr>
      <w:rFonts w:cs="Times New Roman"/>
      <w:sz w:val="18"/>
      <w:szCs w:val="18"/>
    </w:rPr>
  </w:style>
  <w:style w:type="character" w:customStyle="1" w:styleId="53">
    <w:name w:val="页眉 字符"/>
    <w:link w:val="20"/>
    <w:autoRedefine/>
    <w:qFormat/>
    <w:uiPriority w:val="0"/>
    <w:rPr>
      <w:rFonts w:cs="Times New Roman"/>
      <w:sz w:val="18"/>
      <w:szCs w:val="18"/>
    </w:rPr>
  </w:style>
  <w:style w:type="character" w:customStyle="1" w:styleId="54">
    <w:name w:val="普通(网站) 字符"/>
    <w:link w:val="25"/>
    <w:autoRedefine/>
    <w:qFormat/>
    <w:uiPriority w:val="0"/>
    <w:rPr>
      <w:rFonts w:ascii="宋体" w:hAnsi="宋体" w:eastAsia="宋体"/>
      <w:sz w:val="24"/>
    </w:rPr>
  </w:style>
  <w:style w:type="character" w:customStyle="1" w:styleId="55">
    <w:name w:val="批注主题 字符"/>
    <w:link w:val="27"/>
    <w:autoRedefine/>
    <w:semiHidden/>
    <w:qFormat/>
    <w:uiPriority w:val="0"/>
    <w:rPr>
      <w:rFonts w:ascii="Times New Roman" w:hAnsi="Times New Roman" w:eastAsia="宋体" w:cs="Times New Roman"/>
      <w:b/>
      <w:bCs/>
      <w:kern w:val="2"/>
      <w:sz w:val="24"/>
      <w:szCs w:val="24"/>
    </w:rPr>
  </w:style>
  <w:style w:type="character" w:customStyle="1" w:styleId="56">
    <w:name w:val="日期 字符"/>
    <w:autoRedefine/>
    <w:semiHidden/>
    <w:qFormat/>
    <w:uiPriority w:val="0"/>
    <w:rPr>
      <w:rFonts w:ascii="Times New Roman" w:hAnsi="Times New Roman" w:eastAsia="宋体" w:cs="Times New Roman"/>
      <w:sz w:val="24"/>
      <w:szCs w:val="24"/>
    </w:rPr>
  </w:style>
  <w:style w:type="character" w:customStyle="1" w:styleId="57">
    <w:name w:val="正文文本 字符1"/>
    <w:autoRedefine/>
    <w:semiHidden/>
    <w:qFormat/>
    <w:uiPriority w:val="0"/>
    <w:rPr>
      <w:rFonts w:ascii="Times New Roman" w:hAnsi="Times New Roman" w:eastAsia="宋体" w:cs="Times New Roman"/>
      <w:sz w:val="24"/>
      <w:szCs w:val="24"/>
    </w:rPr>
  </w:style>
  <w:style w:type="paragraph" w:customStyle="1" w:styleId="58">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59">
    <w:name w:val="表格 Char"/>
    <w:link w:val="60"/>
    <w:autoRedefine/>
    <w:qFormat/>
    <w:uiPriority w:val="0"/>
    <w:rPr>
      <w:rFonts w:ascii="宋体"/>
      <w:sz w:val="21"/>
    </w:rPr>
  </w:style>
  <w:style w:type="paragraph" w:customStyle="1" w:styleId="60">
    <w:name w:val="表格"/>
    <w:basedOn w:val="1"/>
    <w:next w:val="61"/>
    <w:link w:val="59"/>
    <w:autoRedefine/>
    <w:qFormat/>
    <w:uiPriority w:val="0"/>
    <w:pPr>
      <w:adjustRightInd w:val="0"/>
      <w:snapToGrid w:val="0"/>
      <w:spacing w:beforeLines="10" w:afterLines="10" w:line="259" w:lineRule="auto"/>
      <w:jc w:val="center"/>
    </w:pPr>
    <w:rPr>
      <w:rFonts w:ascii="宋体"/>
      <w:kern w:val="0"/>
      <w:sz w:val="20"/>
      <w:szCs w:val="21"/>
    </w:rPr>
  </w:style>
  <w:style w:type="paragraph" w:customStyle="1" w:styleId="61">
    <w:name w:val="11111"/>
    <w:basedOn w:val="1"/>
    <w:autoRedefine/>
    <w:qFormat/>
    <w:uiPriority w:val="0"/>
    <w:pPr>
      <w:spacing w:line="360" w:lineRule="auto"/>
      <w:ind w:firstLine="1040" w:firstLineChars="200"/>
    </w:pPr>
    <w:rPr>
      <w:rFonts w:ascii="Times New Roman" w:hAnsi="Times New Roman" w:eastAsia="宋体" w:cs="宋体"/>
    </w:rPr>
  </w:style>
  <w:style w:type="character" w:customStyle="1" w:styleId="62">
    <w:name w:val="批注文字 字符1"/>
    <w:autoRedefine/>
    <w:semiHidden/>
    <w:qFormat/>
    <w:uiPriority w:val="0"/>
    <w:rPr>
      <w:rFonts w:ascii="Times New Roman" w:hAnsi="Times New Roman" w:eastAsia="宋体" w:cs="Times New Roman"/>
      <w:sz w:val="24"/>
      <w:szCs w:val="24"/>
    </w:rPr>
  </w:style>
  <w:style w:type="character" w:customStyle="1" w:styleId="63">
    <w:name w:val="普通(网站) Char"/>
    <w:autoRedefine/>
    <w:qFormat/>
    <w:uiPriority w:val="0"/>
    <w:rPr>
      <w:rFonts w:ascii="宋体" w:hAnsi="宋体" w:eastAsia="宋体"/>
      <w:sz w:val="24"/>
    </w:rPr>
  </w:style>
  <w:style w:type="character" w:customStyle="1" w:styleId="64">
    <w:name w:val="标题3 Char"/>
    <w:link w:val="65"/>
    <w:autoRedefine/>
    <w:qFormat/>
    <w:uiPriority w:val="0"/>
    <w:rPr>
      <w:b/>
      <w:kern w:val="2"/>
      <w:sz w:val="24"/>
      <w:szCs w:val="24"/>
    </w:rPr>
  </w:style>
  <w:style w:type="paragraph" w:customStyle="1" w:styleId="65">
    <w:name w:val="标题3"/>
    <w:basedOn w:val="15"/>
    <w:next w:val="1"/>
    <w:link w:val="64"/>
    <w:autoRedefine/>
    <w:qFormat/>
    <w:uiPriority w:val="0"/>
    <w:pPr>
      <w:spacing w:line="360" w:lineRule="auto"/>
      <w:ind w:firstLine="200" w:firstLineChars="200"/>
    </w:pPr>
    <w:rPr>
      <w:b/>
      <w:sz w:val="24"/>
    </w:rPr>
  </w:style>
  <w:style w:type="character" w:customStyle="1" w:styleId="66">
    <w:name w:val="表中字 Char Char"/>
    <w:link w:val="67"/>
    <w:autoRedefine/>
    <w:qFormat/>
    <w:uiPriority w:val="0"/>
    <w:rPr>
      <w:kern w:val="2"/>
      <w:sz w:val="21"/>
      <w:szCs w:val="22"/>
      <w:lang w:val="zh-CN"/>
    </w:rPr>
  </w:style>
  <w:style w:type="paragraph" w:customStyle="1" w:styleId="67">
    <w:name w:val="表中字"/>
    <w:basedOn w:val="1"/>
    <w:link w:val="66"/>
    <w:autoRedefine/>
    <w:qFormat/>
    <w:uiPriority w:val="0"/>
    <w:pPr>
      <w:pBdr>
        <w:left w:val="single" w:color="auto" w:sz="4" w:space="4"/>
        <w:right w:val="single" w:color="auto" w:sz="4" w:space="4"/>
      </w:pBdr>
      <w:jc w:val="center"/>
    </w:pPr>
    <w:rPr>
      <w:szCs w:val="22"/>
      <w:lang w:val="zh-CN"/>
    </w:rPr>
  </w:style>
  <w:style w:type="paragraph" w:customStyle="1" w:styleId="68">
    <w:name w:val="表内字"/>
    <w:basedOn w:val="1"/>
    <w:link w:val="69"/>
    <w:autoRedefine/>
    <w:qFormat/>
    <w:uiPriority w:val="0"/>
    <w:pPr>
      <w:jc w:val="center"/>
    </w:pPr>
    <w:rPr>
      <w:szCs w:val="20"/>
    </w:rPr>
  </w:style>
  <w:style w:type="character" w:customStyle="1" w:styleId="69">
    <w:name w:val="表内字 Char"/>
    <w:link w:val="68"/>
    <w:autoRedefine/>
    <w:qFormat/>
    <w:uiPriority w:val="0"/>
    <w:rPr>
      <w:kern w:val="2"/>
      <w:sz w:val="21"/>
    </w:rPr>
  </w:style>
  <w:style w:type="character" w:customStyle="1" w:styleId="70">
    <w:name w:val="图表标题 Char"/>
    <w:link w:val="71"/>
    <w:autoRedefine/>
    <w:qFormat/>
    <w:uiPriority w:val="0"/>
    <w:rPr>
      <w:rFonts w:eastAsia="黑体"/>
      <w:kern w:val="2"/>
      <w:sz w:val="21"/>
    </w:rPr>
  </w:style>
  <w:style w:type="paragraph" w:customStyle="1" w:styleId="71">
    <w:name w:val="图表标题"/>
    <w:basedOn w:val="1"/>
    <w:link w:val="70"/>
    <w:autoRedefine/>
    <w:qFormat/>
    <w:uiPriority w:val="0"/>
    <w:pPr>
      <w:spacing w:before="50" w:beforeLines="50"/>
      <w:jc w:val="center"/>
    </w:pPr>
    <w:rPr>
      <w:rFonts w:eastAsia="黑体"/>
      <w:szCs w:val="20"/>
    </w:rPr>
  </w:style>
  <w:style w:type="paragraph" w:styleId="72">
    <w:name w:val="Quote"/>
    <w:basedOn w:val="1"/>
    <w:next w:val="1"/>
    <w:link w:val="73"/>
    <w:autoRedefine/>
    <w:qFormat/>
    <w:uiPriority w:val="29"/>
    <w:rPr>
      <w:i/>
      <w:iCs/>
      <w:color w:val="000000"/>
    </w:rPr>
  </w:style>
  <w:style w:type="character" w:customStyle="1" w:styleId="73">
    <w:name w:val="引用 字符"/>
    <w:link w:val="72"/>
    <w:autoRedefine/>
    <w:qFormat/>
    <w:uiPriority w:val="29"/>
    <w:rPr>
      <w:i/>
      <w:iCs/>
      <w:color w:val="000000"/>
      <w:kern w:val="2"/>
      <w:sz w:val="21"/>
      <w:szCs w:val="24"/>
    </w:rPr>
  </w:style>
  <w:style w:type="paragraph" w:customStyle="1" w:styleId="74">
    <w:name w:val="正文1"/>
    <w:basedOn w:val="19"/>
    <w:autoRedefine/>
    <w:qFormat/>
    <w:uiPriority w:val="0"/>
    <w:pPr>
      <w:spacing w:line="360" w:lineRule="auto"/>
      <w:ind w:firstLine="200" w:firstLineChars="200"/>
    </w:pPr>
  </w:style>
  <w:style w:type="character" w:customStyle="1" w:styleId="75">
    <w:name w:val="表头 Char Char"/>
    <w:autoRedefine/>
    <w:qFormat/>
    <w:uiPriority w:val="0"/>
    <w:rPr>
      <w:b/>
      <w:kern w:val="2"/>
      <w:sz w:val="21"/>
      <w:szCs w:val="22"/>
    </w:rPr>
  </w:style>
  <w:style w:type="paragraph" w:customStyle="1" w:styleId="76">
    <w:name w:val="表头"/>
    <w:basedOn w:val="60"/>
    <w:next w:val="61"/>
    <w:link w:val="87"/>
    <w:autoRedefine/>
    <w:qFormat/>
    <w:uiPriority w:val="0"/>
    <w:pPr>
      <w:spacing w:line="440" w:lineRule="exact"/>
      <w:ind w:firstLine="200" w:firstLineChars="200"/>
      <w:jc w:val="center"/>
    </w:pPr>
    <w:rPr>
      <w:b/>
      <w:szCs w:val="22"/>
    </w:rPr>
  </w:style>
  <w:style w:type="paragraph" w:customStyle="1" w:styleId="77">
    <w:name w:val="图标标题"/>
    <w:basedOn w:val="1"/>
    <w:autoRedefine/>
    <w:qFormat/>
    <w:uiPriority w:val="1"/>
    <w:pPr>
      <w:jc w:val="center"/>
    </w:pPr>
    <w:rPr>
      <w:rFonts w:eastAsia="黑体" w:cs="黑体"/>
      <w:kern w:val="0"/>
      <w:szCs w:val="22"/>
      <w:lang w:eastAsia="en-US"/>
    </w:rPr>
  </w:style>
  <w:style w:type="paragraph" w:customStyle="1" w:styleId="78">
    <w:name w:val="报告书正文"/>
    <w:basedOn w:val="1"/>
    <w:autoRedefine/>
    <w:qFormat/>
    <w:uiPriority w:val="0"/>
    <w:pPr>
      <w:adjustRightInd w:val="0"/>
      <w:snapToGrid w:val="0"/>
      <w:spacing w:line="360" w:lineRule="auto"/>
      <w:ind w:firstLine="425" w:firstLineChars="200"/>
      <w:jc w:val="left"/>
      <w:textAlignment w:val="baseline"/>
    </w:pPr>
    <w:rPr>
      <w:rFonts w:ascii="Arial" w:hAnsi="Arial"/>
      <w:sz w:val="24"/>
      <w:szCs w:val="20"/>
    </w:rPr>
  </w:style>
  <w:style w:type="paragraph" w:customStyle="1" w:styleId="79">
    <w:name w:val="Char Char Char"/>
    <w:basedOn w:val="1"/>
    <w:autoRedefine/>
    <w:qFormat/>
    <w:uiPriority w:val="0"/>
    <w:pPr>
      <w:spacing w:line="360" w:lineRule="auto"/>
      <w:ind w:firstLine="200" w:firstLineChars="200"/>
    </w:pPr>
    <w:rPr>
      <w:snapToGrid w:val="0"/>
      <w:sz w:val="24"/>
      <w:szCs w:val="28"/>
    </w:rPr>
  </w:style>
  <w:style w:type="paragraph" w:customStyle="1" w:styleId="80">
    <w:name w:val="F05-正文"/>
    <w:basedOn w:val="1"/>
    <w:autoRedefine/>
    <w:qFormat/>
    <w:uiPriority w:val="0"/>
    <w:pPr>
      <w:autoSpaceDE w:val="0"/>
      <w:autoSpaceDN w:val="0"/>
      <w:ind w:firstLine="480" w:firstLineChars="200"/>
    </w:pPr>
    <w:rPr>
      <w:bCs/>
      <w:sz w:val="24"/>
    </w:rPr>
  </w:style>
  <w:style w:type="paragraph" w:customStyle="1" w:styleId="81">
    <w:name w:val="一级标题主标题目录用"/>
    <w:basedOn w:val="1"/>
    <w:autoRedefine/>
    <w:qFormat/>
    <w:uiPriority w:val="0"/>
    <w:pPr>
      <w:tabs>
        <w:tab w:val="right" w:leader="dot" w:pos="8296"/>
      </w:tabs>
      <w:spacing w:before="50" w:beforeLines="50"/>
    </w:pPr>
    <w:rPr>
      <w:rFonts w:hint="eastAsia" w:eastAsia="黑体"/>
      <w:b/>
      <w:sz w:val="30"/>
      <w:szCs w:val="21"/>
    </w:rPr>
  </w:style>
  <w:style w:type="paragraph" w:customStyle="1" w:styleId="82">
    <w:name w:val="F07-表名"/>
    <w:basedOn w:val="8"/>
    <w:autoRedefine/>
    <w:qFormat/>
    <w:uiPriority w:val="0"/>
    <w:rPr>
      <w:kern w:val="0"/>
    </w:rPr>
  </w:style>
  <w:style w:type="paragraph" w:customStyle="1" w:styleId="83">
    <w:name w:val="WPSOffice手动目录 1"/>
    <w:autoRedefine/>
    <w:qFormat/>
    <w:uiPriority w:val="0"/>
    <w:rPr>
      <w:rFonts w:ascii="Times New Roman" w:hAnsi="Times New Roman" w:eastAsia="宋体" w:cs="Times New Roman"/>
      <w:lang w:val="en-US" w:eastAsia="zh-CN" w:bidi="ar-SA"/>
    </w:rPr>
  </w:style>
  <w:style w:type="paragraph" w:customStyle="1" w:styleId="84">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85">
    <w:name w:val="[1]正文"/>
    <w:basedOn w:val="1"/>
    <w:autoRedefine/>
    <w:qFormat/>
    <w:uiPriority w:val="0"/>
    <w:pPr>
      <w:autoSpaceDE w:val="0"/>
      <w:autoSpaceDN w:val="0"/>
      <w:ind w:firstLine="200"/>
    </w:pPr>
    <w:rPr>
      <w:color w:val="000000"/>
      <w:kern w:val="0"/>
      <w:lang w:val="zh-CN"/>
    </w:rPr>
  </w:style>
  <w:style w:type="paragraph" w:customStyle="1" w:styleId="86">
    <w:name w:val="表格内容"/>
    <w:basedOn w:val="1"/>
    <w:autoRedefine/>
    <w:qFormat/>
    <w:uiPriority w:val="0"/>
    <w:pPr>
      <w:jc w:val="center"/>
    </w:pPr>
  </w:style>
  <w:style w:type="character" w:customStyle="1" w:styleId="87">
    <w:name w:val="表头 Char"/>
    <w:link w:val="76"/>
    <w:autoRedefine/>
    <w:qFormat/>
    <w:uiPriority w:val="0"/>
    <w:rPr>
      <w:rFonts w:ascii="Times New Roman" w:hAnsi="Times New Roman" w:eastAsia="仿宋"/>
      <w:b/>
      <w:bCs/>
      <w:color w:val="auto"/>
      <w:kern w:val="2"/>
      <w:szCs w:val="24"/>
    </w:rPr>
  </w:style>
  <w:style w:type="paragraph" w:customStyle="1" w:styleId="88">
    <w:name w:val="正文文本1"/>
    <w:basedOn w:val="1"/>
    <w:autoRedefine/>
    <w:unhideWhenUsed/>
    <w:qFormat/>
    <w:uiPriority w:val="99"/>
    <w:pPr>
      <w:shd w:val="clear" w:color="auto" w:fill="FFFFFF"/>
      <w:spacing w:line="557" w:lineRule="exact"/>
      <w:jc w:val="distribute"/>
    </w:pPr>
    <w:rPr>
      <w:rFonts w:hint="eastAsia" w:ascii="MingLiU" w:hAnsi="MingLiU" w:eastAsia="MingLiU"/>
      <w:sz w:val="26"/>
      <w:szCs w:val="26"/>
    </w:rPr>
  </w:style>
  <w:style w:type="character" w:customStyle="1" w:styleId="89">
    <w:name w:val="font31"/>
    <w:basedOn w:val="32"/>
    <w:autoRedefine/>
    <w:qFormat/>
    <w:uiPriority w:val="0"/>
    <w:rPr>
      <w:rFonts w:hint="eastAsia" w:ascii="宋体" w:hAnsi="宋体" w:eastAsia="宋体" w:cs="宋体"/>
      <w:b/>
      <w:color w:val="000000"/>
      <w:sz w:val="20"/>
      <w:szCs w:val="20"/>
      <w:u w:val="none"/>
    </w:rPr>
  </w:style>
  <w:style w:type="paragraph" w:customStyle="1" w:styleId="90">
    <w:name w:val="p0"/>
    <w:basedOn w:val="1"/>
    <w:autoRedefine/>
    <w:qFormat/>
    <w:uiPriority w:val="0"/>
    <w:pPr>
      <w:widowControl/>
      <w:spacing w:before="100" w:beforeLines="0" w:beforeAutospacing="1" w:after="100" w:afterLines="0" w:afterAutospacing="1" w:line="240" w:lineRule="auto"/>
      <w:ind w:firstLine="0" w:firstLineChars="0"/>
      <w:jc w:val="left"/>
    </w:pPr>
    <w:rPr>
      <w:rFonts w:ascii="宋体" w:hAnsi="宋体" w:eastAsia="宋体"/>
      <w:kern w:val="0"/>
      <w:sz w:val="24"/>
    </w:rPr>
  </w:style>
  <w:style w:type="paragraph" w:customStyle="1" w:styleId="91">
    <w:name w:val="C【表中文字】-"/>
    <w:basedOn w:val="1"/>
    <w:autoRedefine/>
    <w:qFormat/>
    <w:uiPriority w:val="0"/>
    <w:pPr>
      <w:adjustRightInd w:val="0"/>
      <w:snapToGrid w:val="0"/>
      <w:jc w:val="center"/>
    </w:pPr>
    <w:rPr>
      <w:kern w:val="0"/>
      <w:szCs w:val="20"/>
    </w:rPr>
  </w:style>
  <w:style w:type="table" w:customStyle="1" w:styleId="92">
    <w:name w:val="Table Normal"/>
    <w:autoRedefine/>
    <w:semiHidden/>
    <w:unhideWhenUsed/>
    <w:qFormat/>
    <w:uiPriority w:val="0"/>
    <w:tblPr>
      <w:tblCellMar>
        <w:top w:w="0" w:type="dxa"/>
        <w:left w:w="0" w:type="dxa"/>
        <w:bottom w:w="0" w:type="dxa"/>
        <w:right w:w="0" w:type="dxa"/>
      </w:tblCellMar>
    </w:tblPr>
  </w:style>
  <w:style w:type="character" w:customStyle="1" w:styleId="93">
    <w:name w:val="NormalCharacter"/>
    <w:autoRedefine/>
    <w:semiHidden/>
    <w:qFormat/>
    <w:uiPriority w:val="0"/>
    <w:rPr>
      <w:kern w:val="2"/>
      <w:sz w:val="21"/>
      <w:szCs w:val="24"/>
      <w:lang w:val="en-US" w:eastAsia="zh-CN" w:bidi="ar-SA"/>
    </w:rPr>
  </w:style>
  <w:style w:type="paragraph" w:customStyle="1" w:styleId="94">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1.jpe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png"/><Relationship Id="rId9" Type="http://schemas.openxmlformats.org/officeDocument/2006/relationships/image" Target="media/image1.pn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header" Target="header1.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8" Type="http://schemas.openxmlformats.org/officeDocument/2006/relationships/fontTable" Target="fontTable.xml"/><Relationship Id="rId167" Type="http://schemas.openxmlformats.org/officeDocument/2006/relationships/numbering" Target="numbering.xml"/><Relationship Id="rId166" Type="http://schemas.openxmlformats.org/officeDocument/2006/relationships/customXml" Target="../customXml/item1.xml"/><Relationship Id="rId165" Type="http://schemas.openxmlformats.org/officeDocument/2006/relationships/image" Target="media/image156.emf"/><Relationship Id="rId164" Type="http://schemas.openxmlformats.org/officeDocument/2006/relationships/oleObject" Target="embeddings/oleObject1.bin"/><Relationship Id="rId163" Type="http://schemas.openxmlformats.org/officeDocument/2006/relationships/image" Target="media/image155.jpeg"/><Relationship Id="rId162" Type="http://schemas.openxmlformats.org/officeDocument/2006/relationships/image" Target="media/image154.jpeg"/><Relationship Id="rId161" Type="http://schemas.openxmlformats.org/officeDocument/2006/relationships/image" Target="media/image153.jpeg"/><Relationship Id="rId160" Type="http://schemas.openxmlformats.org/officeDocument/2006/relationships/image" Target="media/image152.jpeg"/><Relationship Id="rId16" Type="http://schemas.openxmlformats.org/officeDocument/2006/relationships/image" Target="media/image8.png"/><Relationship Id="rId159" Type="http://schemas.openxmlformats.org/officeDocument/2006/relationships/image" Target="media/image151.jpeg"/><Relationship Id="rId158" Type="http://schemas.openxmlformats.org/officeDocument/2006/relationships/image" Target="media/image150.jpeg"/><Relationship Id="rId157" Type="http://schemas.openxmlformats.org/officeDocument/2006/relationships/image" Target="media/image149.png"/><Relationship Id="rId156" Type="http://schemas.openxmlformats.org/officeDocument/2006/relationships/image" Target="media/image148.png"/><Relationship Id="rId155" Type="http://schemas.openxmlformats.org/officeDocument/2006/relationships/image" Target="media/image147.png"/><Relationship Id="rId154" Type="http://schemas.openxmlformats.org/officeDocument/2006/relationships/image" Target="media/image146.png"/><Relationship Id="rId153" Type="http://schemas.openxmlformats.org/officeDocument/2006/relationships/image" Target="media/image145.png"/><Relationship Id="rId152" Type="http://schemas.openxmlformats.org/officeDocument/2006/relationships/image" Target="media/image144.jpeg"/><Relationship Id="rId151" Type="http://schemas.openxmlformats.org/officeDocument/2006/relationships/image" Target="media/image143.png"/><Relationship Id="rId150" Type="http://schemas.openxmlformats.org/officeDocument/2006/relationships/image" Target="media/image142.png"/><Relationship Id="rId15" Type="http://schemas.openxmlformats.org/officeDocument/2006/relationships/image" Target="media/image7.png"/><Relationship Id="rId149" Type="http://schemas.openxmlformats.org/officeDocument/2006/relationships/image" Target="media/image141.png"/><Relationship Id="rId148" Type="http://schemas.openxmlformats.org/officeDocument/2006/relationships/image" Target="media/image140.png"/><Relationship Id="rId147" Type="http://schemas.openxmlformats.org/officeDocument/2006/relationships/image" Target="media/image139.png"/><Relationship Id="rId146" Type="http://schemas.openxmlformats.org/officeDocument/2006/relationships/image" Target="media/image138.png"/><Relationship Id="rId145" Type="http://schemas.openxmlformats.org/officeDocument/2006/relationships/image" Target="media/image137.png"/><Relationship Id="rId144" Type="http://schemas.openxmlformats.org/officeDocument/2006/relationships/image" Target="media/image136.png"/><Relationship Id="rId143" Type="http://schemas.openxmlformats.org/officeDocument/2006/relationships/image" Target="media/image135.pn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6.pn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5.pn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openxmlformats.org/officeDocument/2006/relationships/image" Target="media/image115.png"/><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3.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jpeg"/><Relationship Id="rId106" Type="http://schemas.openxmlformats.org/officeDocument/2006/relationships/image" Target="media/image98.jpeg"/><Relationship Id="rId105" Type="http://schemas.openxmlformats.org/officeDocument/2006/relationships/image" Target="media/image97.jpeg"/><Relationship Id="rId104" Type="http://schemas.openxmlformats.org/officeDocument/2006/relationships/image" Target="media/image96.jpeg"/><Relationship Id="rId103" Type="http://schemas.openxmlformats.org/officeDocument/2006/relationships/image" Target="media/image95.jpeg"/><Relationship Id="rId102" Type="http://schemas.openxmlformats.org/officeDocument/2006/relationships/image" Target="media/image94.jpeg"/><Relationship Id="rId101" Type="http://schemas.openxmlformats.org/officeDocument/2006/relationships/image" Target="media/image93.jpeg"/><Relationship Id="rId100" Type="http://schemas.openxmlformats.org/officeDocument/2006/relationships/image" Target="media/image92.jpe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194</Pages>
  <Words>69039</Words>
  <Characters>87778</Characters>
  <Lines>1</Lines>
  <Paragraphs>1</Paragraphs>
  <TotalTime>125</TotalTime>
  <ScaleCrop>false</ScaleCrop>
  <LinksUpToDate>false</LinksUpToDate>
  <CharactersWithSpaces>90256</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2021-04-27T02:06:00Z</dcterms:created>
  <dc:creator>lhj</dc:creator>
  <cp:lastModifiedBy>WPS_1656570876</cp:lastModifiedBy>
  <cp:lastPrinted>2020-12-24T01:50:00Z</cp:lastPrinted>
  <dcterms:modified xsi:type="dcterms:W3CDTF">2024-12-02T05:18:06Z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F8B2C99B6D824B69B4E756D66750BA3A_13</vt:lpwstr>
  </property>
</Properties>
</file>